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Day-to-Day Leadership of the Organisation</w:t>
      </w:r>
    </w:p>
    <w:p>
      <w:pPr>
        <w:spacing w:after="240"/>
        <w:jc w:val="center"/>
      </w:pPr>
      <w:r>
        <w:rPr>
          <w:i/>
          <w:iCs/>
          <w:sz w:val="20"/>
          <w:szCs w:val="20"/>
        </w:rPr>
        <w:t xml:space="preserve">HCO Full Accreditation, 6th Edition — ROM.4.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«HCO/ROM/POL/04»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is headed by a leader who shall be responsible for operating the organisation on a day-to-day basis.</w:t>
      </w:r>
    </w:p>
    <w:p>
      <w:pPr>
        <w:pStyle w:val="Heading1"/>
        <w:spacing w:after="120" w:before="280"/>
      </w:pPr>
      <w:r>
        <w:t xml:space="preserve">1. Purpose</w:t>
      </w:r>
    </w:p>
    <w:p>
      <w:pPr>
        <w:spacing w:after="140"/>
      </w:pPr>
      <w:r>
        <w:rPr>
          <w:sz w:val="22"/>
          <w:szCs w:val="22"/>
        </w:rPr>
        <w:t xml:space="preserve">This policy says how «Hospital Name» meets NABH Hospitals 6th Edition standard ROM.4: The organisation is headed by a leader who shall be responsible for operating the organisation on a day-to-day basis.</w:t>
      </w:r>
    </w:p>
    <w:p>
      <w:pPr>
        <w:spacing w:after="140"/>
      </w:pPr>
      <w:r>
        <w:rPr>
          <w:sz w:val="22"/>
          <w:szCs w:val="22"/>
        </w:rPr>
        <w:t xml:space="preserve">It covers objective elements ROM.4.a–e (5 elements).</w:t>
      </w:r>
    </w:p>
    <w:p>
      <w:pPr>
        <w:spacing w:after="140"/>
      </w:pPr>
      <w:r>
        <w:rPr>
          <w:sz w:val="22"/>
          <w:szCs w:val="22"/>
        </w:rPr>
        <w:t xml:space="preserve">Chapter intent (official Standards PDF): The management of the healthcare organisation is aware of and manages all the key components of governance. Those responsible for governance are identified and their roles defined. The standards encourage the governance of the organisation professionally and ethically. Clinical governance framework is established, that includes clinical audits, clinical pathways, education and research. The responsibilities of management are defined. The responsibilities of the leaders at all levels are defined. The management executes its responsibility for compliance with all applicable regulations. Those responsible for governance address the organisations social responsibility. Leaders ensure that patient-safety and risk-management issues are an integral part of patient care and hospital management. The Organisation has a written guidance in place for change management and service continuity plan.</w:t>
      </w:r>
    </w:p>
    <w:p>
      <w:pPr>
        <w:spacing w:after="140"/>
      </w:pPr>
      <w:r>
        <w:rPr>
          <w:sz w:val="22"/>
          <w:szCs w:val="22"/>
        </w:rPr>
        <w:t xml:space="preserve">This policy owns ROM.4. Related AAC, COP, MOM, PRE, IPC and PSQ duties stay with those policies — cross-reference only. Other ROM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those responsible for governance, the person heading the organisation, departmental leaders, and staff who run ethics, sustainability, risk or outsourcing at «Hospital Name», including the «Medical Superintendent», «those responsible for governance» as identified under ROM.1, departmental leaders and the Quality Coordinator.</w:t>
      </w:r>
    </w:p>
    <w:p>
      <w:pPr>
        <w:spacing w:after="140"/>
      </w:pPr>
      <w:r>
        <w:rPr>
          <w:sz w:val="22"/>
          <w:szCs w:val="22"/>
        </w:rPr>
        <w:t xml:space="preserve">It covers 5 objective elements (ROM.4.a, ROM.4.b, ROM.4.c, ROM.4.d, ROM.4.e).</w:t>
      </w:r>
    </w:p>
    <w:p>
      <w:pPr>
        <w:spacing w:after="140"/>
      </w:pPr>
      <w:r>
        <w:rPr>
          <w:sz w:val="22"/>
          <w:szCs w:val="22"/>
        </w:rPr>
        <w:t xml:space="preserve">Boundaries: do not copy SHCO equivalent-chapter wording. Do not overwrite HCO AAC, COP, MOM, PRE, IPC or PSQ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ROM.4 so that the organisation is headed by a leader who shall be responsible for operating the organisation on a day-to-day basis.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person heading the organisation has requisite and appropriate administrative qualifications and experie...</w:t>
      </w:r>
    </w:p>
    <w:p>
      <w:pPr>
        <w:spacing w:after="80"/>
      </w:pPr>
      <w:r>
        <w:rPr>
          <w:sz w:val="22"/>
          <w:szCs w:val="22"/>
        </w:rPr>
        <w:t xml:space="preserve">2. Do not skip: The leader is responsible for and complies with the laid-down and applicable legislations, regulations and ...</w:t>
      </w:r>
    </w:p>
    <w:p>
      <w:pPr>
        <w:spacing w:after="80"/>
      </w:pPr>
      <w:r>
        <w:rPr>
          <w:sz w:val="22"/>
          <w:szCs w:val="22"/>
        </w:rPr>
        <w:t xml:space="preserve">3. Do not skip: The leader appoints / participates in the recruitment of department leaders of the organisation who will as...</w:t>
      </w:r>
    </w:p>
    <w:p>
      <w:pPr>
        <w:spacing w:after="80"/>
      </w:pPr>
      <w:r>
        <w:rPr>
          <w:sz w:val="22"/>
          <w:szCs w:val="22"/>
        </w:rPr>
        <w:t xml:space="preserve">4. Do not skip: The leader ensures that each organisational programme, service, site or department has effective leadership.</w:t>
      </w:r>
    </w:p>
    <w:p>
      <w:pPr>
        <w:spacing w:after="80"/>
      </w:pPr>
      <w:r>
        <w:rPr>
          <w:sz w:val="22"/>
          <w:szCs w:val="22"/>
        </w:rPr>
        <w:t xml:space="preserve">5. Do not skip: The performance of the organisation’s leader is reviewed for effectiveness.</w:t>
      </w:r>
    </w:p>
    <w:p>
      <w:pPr>
        <w:spacing w:after="80"/>
      </w:pPr>
      <w:r>
        <w:rPr>
          <w:sz w:val="22"/>
          <w:szCs w:val="22"/>
        </w:rPr>
        <w:t xml:space="preserve">6. Staff who see a ROM.4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person heading the organisation has requisite and appropriate adm...</w:t>
      </w:r>
    </w:p>
    <w:p>
      <w:pPr>
        <w:spacing w:after="140"/>
      </w:pPr>
      <w:r>
        <w:rPr>
          <w:sz w:val="22"/>
          <w:szCs w:val="22"/>
        </w:rPr>
        <w:t xml:space="preserve">The person heading the organisation has requisite and appropriate administrative qualifications and experience: qualification in hospital management / administration, and administrative experience in a hospital, as «those responsible for governance» define for this hospital's legal form and size.</w:t>
      </w:r>
    </w:p>
    <w:p>
      <w:pPr>
        <w:spacing w:after="140"/>
      </w:pPr>
      <w:r>
        <w:rPr>
          <w:sz w:val="22"/>
          <w:szCs w:val="22"/>
        </w:rPr>
        <w:t xml:space="preserve">Certificates and a CV are on file. «those responsible for governance» check this at appointment and if the role-holder changes. The default title is «Medical Superintendent».</w:t>
      </w:r>
    </w:p>
    <w:p>
      <w:pPr>
        <w:spacing w:after="140"/>
      </w:pPr>
      <w:r>
        <w:rPr>
          <w:sz w:val="22"/>
          <w:szCs w:val="22"/>
        </w:rPr>
        <w:t xml:space="preserve">Method note (from guidebook interpretation): Appropriate qualification implies qualification in hospital management/ administration. Appropriate experience implies administrative experience in a hospital.</w:t>
      </w:r>
    </w:p>
    <w:p>
      <w:pPr>
        <w:pStyle w:val="Heading2"/>
        <w:spacing w:after="100" w:before="220"/>
      </w:pPr>
      <w:r>
        <w:t xml:space="preserve">5.2 The leader is responsible for and complies with the laid-down and app...</w:t>
      </w:r>
    </w:p>
    <w:p>
      <w:pPr>
        <w:spacing w:after="140"/>
      </w:pPr>
      <w:r>
        <w:rPr>
          <w:sz w:val="22"/>
          <w:szCs w:val="22"/>
        </w:rPr>
        <w:t xml:space="preserve">The leader is responsible for and complies with laid-down and applicable legislations, regulations and notifications. A current register of what applies to this hospital (legal form and services actually run) is maintained; India Code is the lookup, not a paste of every central Act.</w:t>
      </w:r>
    </w:p>
    <w:p>
      <w:pPr>
        <w:spacing w:after="140"/>
      </w:pPr>
      <w:r>
        <w:rPr>
          <w:sz w:val="22"/>
          <w:szCs w:val="22"/>
        </w:rPr>
        <w:t xml:space="preserve">The «Medical Superintendent» owns the register and evidence of compliance. This CORE element does not import a named Act as a checklist for the whole standard; statutory duties that already live in other documents of «Hospital Name» remain those documents.</w:t>
      </w:r>
    </w:p>
    <w:p>
      <w:pPr>
        <w:spacing w:after="140"/>
      </w:pPr>
      <w:r>
        <w:rPr>
          <w:sz w:val="22"/>
          <w:szCs w:val="22"/>
        </w:rPr>
        <w:t xml:space="preserve">Method note (from guidebook interpretation): The leader is conversant with the different statutory requirements as per the scope of services and takes measures to adhere to the same. The organisation conducts its functioning as a duly permitted legal entity under the relevant registering authority(s). The leader could develop a mechanism which ensures implementation of various requirements stated in the laws and regulations. There shall be a mechanism to regularly update any amendments in the prevailing laws of the land. A tracker sheet could be developed for this purpose. Applications to update statutory documents must be made in accordance with the timelines set out in the relevant laws/registration authority requirements to ensure continuity of statutory compliances. Research, including clinical trials, shall be conducted in accordance with statutory norms.</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leader appoints / participates in the recruitment of department l...</w:t>
      </w:r>
    </w:p>
    <w:p>
      <w:pPr>
        <w:spacing w:after="140"/>
      </w:pPr>
      <w:r>
        <w:rPr>
          <w:sz w:val="22"/>
          <w:szCs w:val="22"/>
        </w:rPr>
        <w:t xml:space="preserve">The leader appoints or participates in recruiting department leaders who assist day-to-day functioning. Appointment files show the leader's role in the decision.</w:t>
      </w:r>
    </w:p>
    <w:p>
      <w:pPr>
        <w:spacing w:after="140"/>
      </w:pPr>
      <w:r>
        <w:rPr>
          <w:sz w:val="22"/>
          <w:szCs w:val="22"/>
        </w:rPr>
        <w:t xml:space="preserve">A department running without an identified leader is escalated to the «Medical Superintendent» the same week.</w:t>
      </w:r>
    </w:p>
    <w:p>
      <w:pPr>
        <w:spacing w:after="140"/>
      </w:pPr>
      <w:r>
        <w:rPr>
          <w:sz w:val="22"/>
          <w:szCs w:val="22"/>
        </w:rPr>
        <w:t xml:space="preserve">Method note (from guidebook interpretation): This includes at least the next rung of the organogram. Some examples of the department leaders of the organisation are Medical Director or Medical Superintendent, Nursing Director, Head of Human Resources. Each departmental/service leader shall document the services to be provided by the department and have an integrated approach to align these with the services of other departments. The leaders participate in patient safety and quality improvement activities based on institutional priorities.</w:t>
      </w:r>
    </w:p>
    <w:p>
      <w:pPr>
        <w:pStyle w:val="Heading2"/>
        <w:spacing w:after="100" w:before="220"/>
      </w:pPr>
      <w:r>
        <w:t xml:space="preserve">5.4 The leader ensures that each organisational programme, service, site ...</w:t>
      </w:r>
    </w:p>
    <w:p>
      <w:pPr>
        <w:spacing w:after="140"/>
      </w:pPr>
      <w:r>
        <w:rPr>
          <w:sz w:val="22"/>
          <w:szCs w:val="22"/>
        </w:rPr>
        <w:t xml:space="preserve">The leader ensures each organisational programme, service, site or department has effective leadership: a named person, time allocation and a reporting line.</w:t>
      </w:r>
    </w:p>
    <w:p>
      <w:pPr>
        <w:spacing w:after="140"/>
      </w:pPr>
      <w:r>
        <w:rPr>
          <w:sz w:val="22"/>
          <w:szCs w:val="22"/>
        </w:rPr>
        <w:t xml:space="preserve">The «Medical Superintendent» keeps the current leadership map. This Achievement element is evidenced by that map plus how vacancies are covered.</w:t>
      </w:r>
    </w:p>
    <w:p>
      <w:pPr>
        <w:spacing w:after="140"/>
      </w:pPr>
      <w:r>
        <w:rPr>
          <w:sz w:val="22"/>
          <w:szCs w:val="22"/>
        </w:rPr>
        <w:t xml:space="preserve">Method note (from guidebook interpretation): There needs to be a minimum essential qualification and/or relevant experience of the leader. The respective leader shall have domain knowledge of that particular department. The organisation needs to develop its metrics for measuring the effectiveness of leaders.</w:t>
      </w:r>
    </w:p>
    <w:p>
      <w:pPr>
        <w:pStyle w:val="Heading2"/>
        <w:spacing w:after="100" w:before="220"/>
      </w:pPr>
      <w:r>
        <w:t xml:space="preserve">5.5 The performance of the organisation’s leader is reviewed for effectiv...</w:t>
      </w:r>
    </w:p>
    <w:p>
      <w:pPr>
        <w:spacing w:after="140"/>
      </w:pPr>
      <w:r>
        <w:rPr>
          <w:sz w:val="22"/>
          <w:szCs w:val="22"/>
        </w:rPr>
        <w:t xml:space="preserve">The performance of the organisation's leader is reviewed for effectiveness at least «annually» by «those responsible for governance» (or the appointing authority).</w:t>
      </w:r>
    </w:p>
    <w:p>
      <w:pPr>
        <w:spacing w:after="140"/>
      </w:pPr>
      <w:r>
        <w:rPr>
          <w:sz w:val="22"/>
          <w:szCs w:val="22"/>
        </w:rPr>
        <w:t xml:space="preserve">The review is dated and filed. A year without a review is a gap under this Achievement element.</w:t>
      </w:r>
    </w:p>
    <w:p>
      <w:pPr>
        <w:spacing w:after="140"/>
      </w:pPr>
      <w:r>
        <w:rPr>
          <w:sz w:val="22"/>
          <w:szCs w:val="22"/>
        </w:rPr>
        <w:t xml:space="preserve">Method note (from guidebook interpretation): Key result areas of the person heading the organisation can be established, or it can be done through performance appraisal. This shall be done by those responsible for governance. This would be by self-evaluation in instances where those responsible for governance and the leader responsible for the day-to-day functioning of the organisation are the same.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ROM.4 is resourced and followed.</w:t>
      </w:r>
    </w:p>
    <w:p>
      <w:pPr>
        <w:pStyle w:val="ListParagraph"/>
        <w:numPr>
          <w:ilvl w:val="0"/>
          <w:numId w:val="1"/>
        </w:numPr>
        <w:spacing w:after="60"/>
      </w:pPr>
      <w:r>
        <w:rPr>
          <w:sz w:val="22"/>
          <w:szCs w:val="22"/>
        </w:rPr>
        <w:t xml:space="preserve">Acts as the person heading the organisation unless «those responsible for governance» have appointed another leader.</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those responsible for governance</w:t>
      </w:r>
    </w:p>
    <w:p>
      <w:pPr>
        <w:pStyle w:val="ListParagraph"/>
        <w:numPr>
          <w:ilvl w:val="0"/>
          <w:numId w:val="1"/>
        </w:numPr>
        <w:spacing w:after="60"/>
      </w:pPr>
      <w:r>
        <w:rPr>
          <w:sz w:val="22"/>
          <w:szCs w:val="22"/>
        </w:rPr>
        <w:t xml:space="preserve">Hold the duties ROM.1 assigns to the governing entity.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 supports dashboards and committee reviews as this standard requires.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ROM.4.a–e.</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(b)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governance change, statutory-register gap or outsourced-service failure.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Day-to-Day Leadership of the Organisation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Responsibilities of Management, standard ROM.4.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ROM.4 interpretations (source PDF md5 2c4489ee98de4ae9b49cba168ea9f42a; OCR policies/source/hco6_rom_guidebook_ocr.txt).</w:t>
      </w:r>
    </w:p>
    <w:p>
      <w:pPr>
        <w:pStyle w:val="ListParagraph"/>
        <w:numPr>
          <w:ilvl w:val="0"/>
          <w:numId w:val="1"/>
        </w:numPr>
        <w:spacing w:after="60"/>
      </w:pPr>
      <w:r>
        <w:rPr>
          <w:sz w:val="22"/>
          <w:szCs w:val="22"/>
        </w:rPr>
        <w:t xml:space="preserve">Internal documents of «Hospital Name»: governance role document, ethical-management framework, ESG / social-responsibility programme, applicable-legislation register, risk-management plan, outsourcing agreements named for ROM.4.</w:t>
      </w:r>
    </w:p>
    <w:p>
      <w:pPr>
        <w:pStyle w:val="Heading1"/>
        <w:spacing w:after="120" w:before="280"/>
      </w:pPr>
      <w:r>
        <w:t xml:space="preserve">10. Distribution</w:t>
      </w:r>
    </w:p>
    <w:p>
      <w:pPr>
        <w:spacing w:after="140"/>
      </w:pPr>
      <w:r>
        <w:rPr>
          <w:sz w:val="22"/>
          <w:szCs w:val="22"/>
        </w:rPr>
        <w:t xml:space="preserve">Medical Superintendent; those responsible for governance; Quality Coordinator; departmental leaders; staff covered by ROM.4</w:t>
      </w:r>
    </w:p>
    <w:p>
      <w:pPr>
        <w:pStyle w:val="Heading1"/>
        <w:spacing w:after="120" w:before="280"/>
      </w:pPr>
      <w:r>
        <w:t xml:space="preserve">11. Abbreviations</w:t>
      </w:r>
    </w:p>
    <w:p>
      <w:pPr>
        <w:spacing w:after="140"/>
      </w:pPr>
      <w:r>
        <w:rPr>
          <w:sz w:val="22"/>
          <w:szCs w:val="22"/>
        </w:rPr>
        <w:t xml:space="preserve">AERB — Atomic Energy Regulatory Board
CAPA — Corrective and Preventive Action
CORE — Core objective element (NABH)
ESG — Environment, Social and Governance
HCO — Hospital (Full Accreditation programme under NABH Hospitals 6th Edition)
NABH — National Accreditation Board for Hospitals and Healthcare Providers
OE — Objective Element
ROM — Responsibilities of Management (NABH Hospitals 6th Edition chapter)
SWOT — Strengths, Weaknesses, Opportunities and Threats</w:t>
      </w:r>
    </w:p>
    <w:p>
      <w:pPr>
        <w:pStyle w:val="Heading1"/>
        <w:spacing w:after="120" w:before="280"/>
      </w:pPr>
      <w:r>
        <w:t xml:space="preserve">12. Traceability to NABH HCO Full Accreditation 6th Edition ROM.4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person heading the organisation has requisite and appropriate administrative qualifications and experience.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leader is responsible for and complies with the laid-down and applicable legislations, regulations and notifications.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leader appoints / participates in the recruitment of department leaders of the organisation who will assist in the day-to-day functioning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leader ensures that each organisational programme, service, site or department has effective leadership.</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performance of the organisation’s leader is reviewed for effectiveness.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ROM.4.a — The person heading the organisation has requisite and appropriate administrative qualifications and experience.</w:t>
      </w:r>
    </w:p>
    <w:p>
      <w:pPr>
        <w:pStyle w:val="ListParagraph"/>
        <w:numPr>
          <w:ilvl w:val="0"/>
          <w:numId w:val="1"/>
        </w:numPr>
        <w:spacing w:after="60"/>
      </w:pPr>
      <w:r>
        <w:rPr>
          <w:sz w:val="22"/>
          <w:szCs w:val="22"/>
        </w:rPr>
        <w:t xml:space="preserve">Records showing ROM.4.a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ROM.4.a reviewed «quarterly».</w:t>
      </w:r>
    </w:p>
    <w:p>
      <w:pPr>
        <w:pStyle w:val="Heading2"/>
        <w:spacing w:after="100" w:before="220"/>
      </w:pPr>
      <w:r>
        <w:t xml:space="preserve">ROM.4.b — The leader is responsible for and complies with the laid-down and applicable legislations, regulations and notifications.</w:t>
      </w:r>
    </w:p>
    <w:p>
      <w:pPr>
        <w:pStyle w:val="ListParagraph"/>
        <w:numPr>
          <w:ilvl w:val="0"/>
          <w:numId w:val="1"/>
        </w:numPr>
        <w:spacing w:after="60"/>
      </w:pPr>
      <w:r>
        <w:rPr>
          <w:sz w:val="22"/>
          <w:szCs w:val="22"/>
        </w:rPr>
        <w:t xml:space="preserve">Records showing ROM.4.b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ROM.4.b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ROM.4.c — The leader appoints / participates in the recruitment of department leaders of the organisation who will assist in the day-to-day functioning of the organisation.</w:t>
      </w:r>
    </w:p>
    <w:p>
      <w:pPr>
        <w:pStyle w:val="ListParagraph"/>
        <w:numPr>
          <w:ilvl w:val="0"/>
          <w:numId w:val="1"/>
        </w:numPr>
        <w:spacing w:after="60"/>
      </w:pPr>
      <w:r>
        <w:rPr>
          <w:sz w:val="22"/>
          <w:szCs w:val="22"/>
        </w:rPr>
        <w:t xml:space="preserve">Records showing ROM.4.c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ROM.4.c reviewed «quarterly».</w:t>
      </w:r>
    </w:p>
    <w:p>
      <w:pPr>
        <w:pStyle w:val="Heading2"/>
        <w:spacing w:after="100" w:before="220"/>
      </w:pPr>
      <w:r>
        <w:t xml:space="preserve">ROM.4.d — The leader ensures that each organisational programme, service, site or department has effective leadership.</w:t>
      </w:r>
    </w:p>
    <w:p>
      <w:pPr>
        <w:pStyle w:val="ListParagraph"/>
        <w:numPr>
          <w:ilvl w:val="0"/>
          <w:numId w:val="1"/>
        </w:numPr>
        <w:spacing w:after="60"/>
      </w:pPr>
      <w:r>
        <w:rPr>
          <w:sz w:val="22"/>
          <w:szCs w:val="22"/>
        </w:rPr>
        <w:t xml:space="preserve">Records showing ROM.4.d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ROM.4.d reviewed «quarterly».</w:t>
      </w:r>
    </w:p>
    <w:p>
      <w:pPr>
        <w:pStyle w:val="Heading2"/>
        <w:spacing w:after="100" w:before="220"/>
      </w:pPr>
      <w:r>
        <w:t xml:space="preserve">ROM.4.e — The performance of the organisation’s leader is reviewed for effectiveness.</w:t>
      </w:r>
    </w:p>
    <w:p>
      <w:pPr>
        <w:pStyle w:val="ListParagraph"/>
        <w:numPr>
          <w:ilvl w:val="0"/>
          <w:numId w:val="1"/>
        </w:numPr>
        <w:spacing w:after="60"/>
      </w:pPr>
      <w:r>
        <w:rPr>
          <w:sz w:val="22"/>
          <w:szCs w:val="22"/>
        </w:rPr>
        <w:t xml:space="preserve">Records showing ROM.4.e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ROM.4.e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«HCO/ROM/POL/04»  |  Controlled document  |  Day-to-Day Leadership of the Organisation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2026-08-21T07:27:42.004Z</dcterms:created>
  <dcterms:modified xsi:type="dcterms:W3CDTF">2026-08-21T07:27:42.004Z</dcterms:modified>
</cp:coreProperties>
</file>

<file path=docProps/custom.xml><?xml version="1.0" encoding="utf-8"?>
<Properties xmlns="http://schemas.openxmlformats.org/officeDocument/2006/custom-properties" xmlns:vt="http://schemas.openxmlformats.org/officeDocument/2006/docPropsVTypes"/>
</file>