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Safety of Patients, Families, Staff and Visitors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organisation's environment and facilities operate to ensure the safety of patients, their families, staff and visitors.</w:t>
      </w:r>
    </w:p>
    <w:p>
      <w:pPr>
        <w:pStyle w:val="Heading1"/>
      </w:pPr>
      <w:r>
        <w:t>1. Purpose</w:t>
      </w:r>
    </w:p>
    <w:p>
      <w:pPr/>
      <w:r>
        <w:t>This policy defines how «Hospital Name» controls access to high-security areas, identifies and safely manages hazardous materials, implements spill-response plans, conducts electrical safety audits, and manages material not in use.</w:t>
      </w:r>
    </w:p>
    <w:p>
      <w:pPr/>
      <w:r>
        <w:t>This policy covers safety of patients, families, staff and visitors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r>
        <w:t>Words marked like this are defaults. A blank marked ________ must be filled before issue.</w:t>
      </w:r>
    </w:p>
    <w:p>
      <w:pPr>
        <w:pStyle w:val="Heading1"/>
      </w:pPr>
      <w:r>
        <w:t>2. Scope</w:t>
      </w:r>
    </w:p>
    <w:p>
      <w:pPr/>
      <w:r>
        <w:t>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r>
        <w:t>This policy covers safety of patients, families, staff and visitors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pStyle w:val="Heading1"/>
      </w:pPr>
      <w:r>
        <w:t>3. Policy standards</w:t>
      </w:r>
    </w:p>
    <w:p>
      <w:pPr/>
      <w:r>
        <w:t>«Hospital Name» defines extra-security areas and controls access for staff, patients and visitors. Hazardous materials are identified, documented and handled safely at every stage. Spill plans are implemented with floor-accessible summaries and kits. Electrical safety audits are conducted annually. Material not in use is systematically identified and disposed of.</w:t>
      </w:r>
    </w:p>
    <w:p>
      <w:pPr/>
      <w:r>
        <w:t>Staff follow written guidance and keep the records listed in the traceability table.</w:t>
      </w:r>
    </w:p>
    <w:p>
      <w:pPr>
        <w:pStyle w:val="Heading1"/>
      </w:pPr>
      <w:r>
        <w:t>4. Non-negotiable rules</w:t>
      </w:r>
    </w:p>
    <w:p>
      <w:pPr>
        <w:pStyle w:val="ListNumber"/>
      </w:pPr>
      <w:r>
        <w:t>Do not operate critical areas (operating theatre, ICUs including NICU, labour room, emergency) without a written security plan defining access for staff, patients and visitors; designated extra-security areas must have documented controls such as CCTV.</w:t>
      </w:r>
    </w:p>
    <w:p>
      <w:pPr>
        <w:pStyle w:val="ListNumber"/>
      </w:pPr>
      <w:r>
        <w:t>Do not start or continue using a hazardous material that has not been identified and documented, or for which a sorting, storage, handling, transport and disposal procedure does not exist.</w:t>
      </w:r>
    </w:p>
    <w:p>
      <w:pPr>
        <w:pStyle w:val="ListNumber"/>
      </w:pPr>
      <w:r>
        <w:t>Do not use a hazardous material in an area where the summarised Material Safety Data Sheet is not accessible to floor staff and the hazardous-materials spill kit is not reachable.</w:t>
      </w:r>
    </w:p>
    <w:p>
      <w:pPr>
        <w:pStyle w:val="ListNumber"/>
      </w:pPr>
      <w:r>
        <w:t>Do not condemn or dispose of material not in use without following the written identification-and-disposal procedure.</w:t>
      </w:r>
    </w:p>
    <w:p>
      <w:pPr>
        <w:pStyle w:val="ListNumber"/>
      </w:pPr>
      <w:r>
        <w:t>Do not allow a calendar year to pass without a completed electrical safety audit of the facility with documented actions.</w:t>
      </w:r>
    </w:p>
    <w:p>
      <w:pPr>
        <w:pStyle w:val="ListNumber"/>
      </w:pPr>
      <w:r>
        <w:t>Do not bypass the stop-work authority in section 6 when the trigger conditions are met.</w:t>
      </w:r>
    </w:p>
    <w:p>
      <w:pPr>
        <w:pStyle w:val="ListNumber"/>
      </w:pPr>
      <w:r>
        <w:t>Staff who see a FMS.3 rule broken report it the same shift to the Engineering In-Charge or the Medical Superintendent.</w:t>
      </w:r>
    </w:p>
    <w:p>
      <w:pPr>
        <w:pStyle w:val="Heading1"/>
      </w:pPr>
      <w:r>
        <w:t>5. What we do</w:t>
      </w:r>
    </w:p>
    <w:p>
      <w:pPr>
        <w:pStyle w:val="Heading2"/>
      </w:pPr>
      <w:r>
        <w:t>5.1 Operational planning identifies areas which need to have extra security...</w:t>
      </w:r>
    </w:p>
    <w:p>
      <w:pPr/>
      <w:r>
        <w:t>Operational planning identifies extra-security areas and describes access for staff, patients and visitors (at a minimum operating theatre, intensive-care units including neonatal if in scope, labour room and emergency). Vulnerable spots (dark areas, long corridors, critical-area doors) have a defined control such as closed-circuit television.</w:t>
      </w:r>
    </w:p>
    <w:p>
      <w:pPr/>
      <w:r>
        <w:t>Written security guidance exists.</w:t>
      </w:r>
    </w:p>
    <w:p>
      <w:pPr>
        <w:pStyle w:val="Heading2"/>
      </w:pPr>
      <w:r>
        <w:t>5.2 Patient safety aspects in terms of structural safety of hospitals...</w:t>
      </w:r>
    </w:p>
    <w:p>
      <w:pPr/>
      <w:r>
        <w:t>When this hospital plans, designs or constructs a new building, or re-plans or retrofits an existing one, patient-safety structural aspects of critical areas are considered. Indian Seismic Code IS 1893 (Part 1), latest version, is the minimum structural reference named in the Guidebook.</w:t>
      </w:r>
    </w:p>
    <w:p>
      <w:pPr/>
      <w:r>
        <w:t>The Engineering In-Charge files what was applied. This element is evidenced on actual building work, not by a policy sentence alone.</w:t>
      </w:r>
    </w:p>
    <w:p>
      <w:pPr>
        <w:pStyle w:val="Heading2"/>
      </w:pPr>
      <w:r>
        <w:t>5.3 The organisation conducts electrical safety audits for the facility</w:t>
      </w:r>
    </w:p>
    <w:p>
      <w:pPr/>
      <w:r>
        <w:t>The organisation conducts electrical safety audits of the facility at least once a year to reduce risk to people and property and to prevent fire from short-circuiting. National Electrical Code of India 2023 is a reference. Thermal imaging may be used.</w:t>
      </w:r>
    </w:p>
    <w:p>
      <w:pPr/>
      <w:r>
        <w:t>The Engineering In-Charge holds the last audit and actions.</w:t>
      </w:r>
    </w:p>
    <w:p>
      <w:pPr>
        <w:pStyle w:val="Heading2"/>
      </w:pPr>
      <w:r>
        <w:t>5.4 There is a procedure which addresses the identification and disposal of...</w:t>
      </w:r>
    </w:p>
    <w:p>
      <w:pPr/>
      <w:r>
        <w:t>There is a written procedure for identifying and disposing of material not in use (non-functioning items, excess stock, general scrap). Condemnation records sit with the Engineering In-Charge.</w:t>
      </w:r>
    </w:p>
    <w:p>
      <w:pPr>
        <w:pStyle w:val="Heading2"/>
      </w:pPr>
      <w:r>
        <w:t>5.5 Hazardous materials are identified and used safely within the...</w:t>
      </w:r>
    </w:p>
    <w:p>
      <w:pPr/>
      <w:r>
        <w:t>Hazardous materials used here are identified and used safely: sorting, storage, handling, transport and disposal, using Material Safety Data Sheets. Common examples the Guidebook names include chemicals, blood and cultures, mercury, nuclear isotopes, medical gases, liquefied petroleum gas, steam and ethylene oxide.</w:t>
      </w:r>
    </w:p>
    <w:p>
      <w:pPr/>
      <w:r>
        <w:t>Using an unidentified hazardous material is a stop-work trigger (section 6).</w:t>
      </w:r>
    </w:p>
    <w:p>
      <w:pPr>
        <w:pStyle w:val="Heading2"/>
      </w:pPr>
      <w:r>
        <w:t>5.6 The plan for managing spills of hazardous materials is implemented</w:t>
      </w:r>
    </w:p>
    <w:p>
      <w:pPr/>
      <w:r>
        <w:t>The spill plan for hazardous materials is implemented: a summarised Material Safety Data Sheet the floor can read, a hazardous-materials kit where those materials are stored, and trained handlers.</w:t>
      </w:r>
    </w:p>
    <w:p>
      <w:pPr/>
      <w:r>
        <w:t>A kit in a locked office the floor cannot reach does not satisfy this element.</w:t>
      </w:r>
    </w:p>
    <w:p>
      <w:pPr>
        <w:pStyle w:val="Heading1"/>
      </w:pPr>
      <w:r>
        <w:t>6. Stop-work authority</w:t>
      </w:r>
    </w:p>
    <w:p>
      <w:pPr/>
      <w:r>
        <w:t>Do not use a hazardous material that has not been identified, or for which the spill plan is not implemented (no Material Safety Data Sheet path, no kit, or staff not trained for that material).</w:t>
      </w:r>
    </w:p>
    <w:p>
      <w:pPr/>
      <w:r>
        <w:t>Stop-work applies to using that material. Immediate life-saving care that already depends on a stocked clinical product continues while the spill path is restored.</w:t>
      </w:r>
    </w:p>
    <w:p>
      <w:pPr/>
      <w:r>
        <w:t>The person who stops tells the Engineering In-Charge and the Medical Superintendent the same shift. Refusing an unidentified hazardous material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FMS.3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Safety of Patients, Families, Staff and Visitors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Medical Superintendent; Engineering In-Charge; Quality Coordinator; departmental leaders; staff covered by FMS.3</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AHU</w:t>
            </w:r>
          </w:p>
        </w:tc>
        <w:tc>
          <w:tcPr>
            <w:tcW w:type="dxa" w:w="4320"/>
          </w:tcPr>
          <w:p>
            <w:r>
              <w:t>Air Handling Unit</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DG</w:t>
            </w:r>
          </w:p>
        </w:tc>
        <w:tc>
          <w:tcPr>
            <w:tcW w:type="dxa" w:w="4320"/>
          </w:tcPr>
          <w:p>
            <w:r>
              <w:t>Diesel Generator</w:t>
            </w:r>
          </w:p>
        </w:tc>
      </w:tr>
      <w:tr>
        <w:tc>
          <w:tcPr>
            <w:tcW w:type="dxa" w:w="4320"/>
          </w:tcPr>
          <w:p>
            <w:r>
              <w:t>ELV</w:t>
            </w:r>
          </w:p>
        </w:tc>
        <w:tc>
          <w:tcPr>
            <w:tcW w:type="dxa" w:w="4320"/>
          </w:tcPr>
          <w:p>
            <w:r>
              <w:t>Extra Low Voltage</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HVAC</w:t>
            </w:r>
          </w:p>
        </w:tc>
        <w:tc>
          <w:tcPr>
            <w:tcW w:type="dxa" w:w="4320"/>
          </w:tcPr>
          <w:p>
            <w:r>
              <w:t>Heating, Ventilation and Air Conditioning</w:t>
            </w:r>
          </w:p>
        </w:tc>
      </w:tr>
      <w:tr>
        <w:tc>
          <w:tcPr>
            <w:tcW w:type="dxa" w:w="4320"/>
          </w:tcPr>
          <w:p>
            <w:r>
              <w:t>MSDS</w:t>
            </w:r>
          </w:p>
        </w:tc>
        <w:tc>
          <w:tcPr>
            <w:tcW w:type="dxa" w:w="4320"/>
          </w:tcPr>
          <w:p>
            <w:r>
              <w:t>Material Safety Data Sheet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RO</w:t>
            </w:r>
          </w:p>
        </w:tc>
        <w:tc>
          <w:tcPr>
            <w:tcW w:type="dxa" w:w="4320"/>
          </w:tcPr>
          <w:p>
            <w:r>
              <w:t>Reverse Osmosis</w:t>
            </w:r>
          </w:p>
        </w:tc>
      </w:tr>
      <w:tr>
        <w:tc>
          <w:tcPr>
            <w:tcW w:type="dxa" w:w="4320"/>
          </w:tcPr>
          <w:p>
            <w:r>
              <w:t>STP</w:t>
            </w:r>
          </w:p>
        </w:tc>
        <w:tc>
          <w:tcPr>
            <w:tcW w:type="dxa" w:w="4320"/>
          </w:tcPr>
          <w:p>
            <w:r>
              <w:t>Sewage Treatment Plant</w:t>
            </w:r>
          </w:p>
        </w:tc>
      </w:tr>
    </w:tbl>
    <w:p>
      <w:pPr>
        <w:pStyle w:val="Heading1"/>
      </w:pPr>
      <w:r>
        <w:t>12. Traceability to NABH HCO Full Accreditation 6th Edition FMS.3</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FMS.3.a</w:t>
            </w:r>
          </w:p>
        </w:tc>
        <w:tc>
          <w:tcPr>
            <w:tcW w:type="dxa" w:w="1728"/>
          </w:tcPr>
          <w:p>
            <w:r>
              <w:t>Commitment*</w:t>
            </w:r>
          </w:p>
        </w:tc>
        <w:tc>
          <w:tcPr>
            <w:tcW w:type="dxa" w:w="1728"/>
          </w:tcPr>
          <w:p>
            <w:r>
              <w:t>Operational planning identifies areas which need to have extra security and describes access to different areas in the hospital by staff, patients, and visitors.</w:t>
            </w:r>
          </w:p>
        </w:tc>
        <w:tc>
          <w:tcPr>
            <w:tcW w:type="dxa" w:w="1728"/>
          </w:tcPr>
          <w:p>
            <w:r>
              <w:t>Section 3; 5.1</w:t>
            </w:r>
          </w:p>
        </w:tc>
        <w:tc>
          <w:tcPr>
            <w:tcW w:type="dxa" w:w="1728"/>
          </w:tcPr>
          <w:p>
            <w:r>
              <w:t>Engineering In-Charge</w:t>
            </w:r>
          </w:p>
        </w:tc>
      </w:tr>
      <w:tr>
        <w:tc>
          <w:tcPr>
            <w:tcW w:type="dxa" w:w="1728"/>
          </w:tcPr>
          <w:p>
            <w:r>
              <w:t>FMS.3.b</w:t>
            </w:r>
          </w:p>
        </w:tc>
        <w:tc>
          <w:tcPr>
            <w:tcW w:type="dxa" w:w="1728"/>
          </w:tcPr>
          <w:p>
            <w:r>
              <w:t>Excellence</w:t>
            </w:r>
          </w:p>
        </w:tc>
        <w:tc>
          <w:tcPr>
            <w:tcW w:type="dxa" w:w="1728"/>
          </w:tcPr>
          <w:p>
            <w:r>
              <w:t>Patient safety aspects in terms of structural safety of hospitals, especially of critical areas are considered while planning, design and construction of new hospitals and re-planning, assessment and retrofitting of existing hospitals.</w:t>
            </w:r>
          </w:p>
        </w:tc>
        <w:tc>
          <w:tcPr>
            <w:tcW w:type="dxa" w:w="1728"/>
          </w:tcPr>
          <w:p>
            <w:r>
              <w:t>Section 3; 5.2</w:t>
            </w:r>
          </w:p>
        </w:tc>
        <w:tc>
          <w:tcPr>
            <w:tcW w:type="dxa" w:w="1728"/>
          </w:tcPr>
          <w:p>
            <w:r>
              <w:t>Engineering In-Charge</w:t>
            </w:r>
          </w:p>
        </w:tc>
      </w:tr>
      <w:tr>
        <w:tc>
          <w:tcPr>
            <w:tcW w:type="dxa" w:w="1728"/>
          </w:tcPr>
          <w:p>
            <w:r>
              <w:t>FMS.3.c</w:t>
            </w:r>
          </w:p>
        </w:tc>
        <w:tc>
          <w:tcPr>
            <w:tcW w:type="dxa" w:w="1728"/>
          </w:tcPr>
          <w:p>
            <w:r>
              <w:t>Commitment</w:t>
            </w:r>
          </w:p>
        </w:tc>
        <w:tc>
          <w:tcPr>
            <w:tcW w:type="dxa" w:w="1728"/>
          </w:tcPr>
          <w:p>
            <w:r>
              <w:t>The organisation conducts electrical safety audits for the facility.</w:t>
            </w:r>
          </w:p>
        </w:tc>
        <w:tc>
          <w:tcPr>
            <w:tcW w:type="dxa" w:w="1728"/>
          </w:tcPr>
          <w:p>
            <w:r>
              <w:t>Section 3; 5.3</w:t>
            </w:r>
          </w:p>
        </w:tc>
        <w:tc>
          <w:tcPr>
            <w:tcW w:type="dxa" w:w="1728"/>
          </w:tcPr>
          <w:p>
            <w:r>
              <w:t>Engineering In-Charge</w:t>
            </w:r>
          </w:p>
        </w:tc>
      </w:tr>
      <w:tr>
        <w:tc>
          <w:tcPr>
            <w:tcW w:type="dxa" w:w="1728"/>
          </w:tcPr>
          <w:p>
            <w:r>
              <w:t>FMS.3.d</w:t>
            </w:r>
          </w:p>
        </w:tc>
        <w:tc>
          <w:tcPr>
            <w:tcW w:type="dxa" w:w="1728"/>
          </w:tcPr>
          <w:p>
            <w:r>
              <w:t>Commitment*</w:t>
            </w:r>
          </w:p>
        </w:tc>
        <w:tc>
          <w:tcPr>
            <w:tcW w:type="dxa" w:w="1728"/>
          </w:tcPr>
          <w:p>
            <w:r>
              <w:t>There is a procedure which addresses the identification and disposal of material(s) not in use in the organisation.</w:t>
            </w:r>
          </w:p>
        </w:tc>
        <w:tc>
          <w:tcPr>
            <w:tcW w:type="dxa" w:w="1728"/>
          </w:tcPr>
          <w:p>
            <w:r>
              <w:t>Section 3; 5.4</w:t>
            </w:r>
          </w:p>
        </w:tc>
        <w:tc>
          <w:tcPr>
            <w:tcW w:type="dxa" w:w="1728"/>
          </w:tcPr>
          <w:p>
            <w:r>
              <w:t>Engineering In-Charge</w:t>
            </w:r>
          </w:p>
        </w:tc>
      </w:tr>
      <w:tr>
        <w:tc>
          <w:tcPr>
            <w:tcW w:type="dxa" w:w="1728"/>
          </w:tcPr>
          <w:p>
            <w:r>
              <w:t>FMS.3.e</w:t>
            </w:r>
          </w:p>
        </w:tc>
        <w:tc>
          <w:tcPr>
            <w:tcW w:type="dxa" w:w="1728"/>
          </w:tcPr>
          <w:p>
            <w:r>
              <w:t>CORE*</w:t>
            </w:r>
          </w:p>
        </w:tc>
        <w:tc>
          <w:tcPr>
            <w:tcW w:type="dxa" w:w="1728"/>
          </w:tcPr>
          <w:p>
            <w:r>
              <w:t>Hazardous materials are identified and used safely within the organisation.</w:t>
            </w:r>
          </w:p>
        </w:tc>
        <w:tc>
          <w:tcPr>
            <w:tcW w:type="dxa" w:w="1728"/>
          </w:tcPr>
          <w:p>
            <w:r>
              <w:t>Section 3; 5.5; Section 6 Stop-work</w:t>
            </w:r>
          </w:p>
        </w:tc>
        <w:tc>
          <w:tcPr>
            <w:tcW w:type="dxa" w:w="1728"/>
          </w:tcPr>
          <w:p>
            <w:r>
              <w:t>Engineering In-Charge</w:t>
            </w:r>
          </w:p>
        </w:tc>
      </w:tr>
      <w:tr>
        <w:tc>
          <w:tcPr>
            <w:tcW w:type="dxa" w:w="1728"/>
          </w:tcPr>
          <w:p>
            <w:r>
              <w:t>FMS.3.f</w:t>
            </w:r>
          </w:p>
        </w:tc>
        <w:tc>
          <w:tcPr>
            <w:tcW w:type="dxa" w:w="1728"/>
          </w:tcPr>
          <w:p>
            <w:r>
              <w:t>Commitment*</w:t>
            </w:r>
          </w:p>
        </w:tc>
        <w:tc>
          <w:tcPr>
            <w:tcW w:type="dxa" w:w="1728"/>
          </w:tcPr>
          <w:p>
            <w:r>
              <w:t>The plan for managing spills of hazardous materials is implemented.</w:t>
            </w:r>
          </w:p>
        </w:tc>
        <w:tc>
          <w:tcPr>
            <w:tcW w:type="dxa" w:w="1728"/>
          </w:tcPr>
          <w:p>
            <w:r>
              <w:t>Section 3; 5.6</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FMS.3.a — Operational planning identifies areas which need to have extra security and describes access to different areas in the hospital by staff, patients, and visitors.</w:t>
      </w:r>
    </w:p>
    <w:p>
      <w:pPr>
        <w:pStyle w:val="ListBullet"/>
      </w:pPr>
      <w:r>
        <w:t>Written security operational plan naming extra-security areas (operating theatre, ICU/NICU, labour room, emergency) and access rules for staff, patients and visitors.</w:t>
      </w:r>
    </w:p>
    <w:p>
      <w:pPr>
        <w:pStyle w:val="ListBullet"/>
      </w:pPr>
      <w:r>
        <w:t>Vulnerable-spot control record — closed-circuit television coverage or equivalent for dark areas and long corridors.</w:t>
      </w:r>
    </w:p>
    <w:p>
      <w:pPr>
        <w:pStyle w:val="ListBullet"/>
      </w:pPr>
      <w:r>
        <w:t>Review or update record of the security plan.</w:t>
      </w:r>
    </w:p>
    <w:p>
      <w:pPr>
        <w:pStyle w:val="Heading2"/>
      </w:pPr>
      <w:r>
        <w:t>FMS.3.b — Patient safety aspects in terms of structural safety of hospitals, especially of critical areas are considered while planning, design and construction of new hospitals and re-planning, assessment and retrofitting of existing hospitals.</w:t>
      </w:r>
    </w:p>
    <w:p>
      <w:pPr>
        <w:pStyle w:val="ListBullet"/>
      </w:pPr>
      <w:r>
        <w:t>Structural-safety design reference actually applied (for example Indian Seismic Code IS 1893 Part 1) for the specific building project.</w:t>
      </w:r>
    </w:p>
    <w:p>
      <w:pPr>
        <w:pStyle w:val="ListBullet"/>
      </w:pPr>
      <w:r>
        <w:t>Engineering sign-off record for that construction, re-planning or retrofit project.</w:t>
      </w:r>
    </w:p>
    <w:p>
      <w:pPr>
        <w:pStyle w:val="ListBullet"/>
      </w:pPr>
      <w:r>
        <w:t>Evidence of what was applied to real building work, not a policy statement alone.</w:t>
      </w:r>
    </w:p>
    <w:p>
      <w:pPr>
        <w:pStyle w:val="Heading2"/>
      </w:pPr>
      <w:r>
        <w:t>FMS.3.c — The organisation conducts electrical safety audits for the facility.</w:t>
      </w:r>
    </w:p>
    <w:p>
      <w:pPr>
        <w:pStyle w:val="ListBullet"/>
      </w:pPr>
      <w:r>
        <w:t>Completed electrical safety audit report, at least annually.</w:t>
      </w:r>
    </w:p>
    <w:p>
      <w:pPr>
        <w:pStyle w:val="ListBullet"/>
      </w:pPr>
      <w:r>
        <w:t>Action-taken record against audit findings.</w:t>
      </w:r>
    </w:p>
    <w:p>
      <w:pPr>
        <w:pStyle w:val="ListBullet"/>
      </w:pPr>
      <w:r>
        <w:t>Reference to the National Electrical Code or thermal-imaging method used.</w:t>
      </w:r>
    </w:p>
    <w:p>
      <w:pPr>
        <w:pStyle w:val="Heading2"/>
      </w:pPr>
      <w:r>
        <w:t>FMS.3.d — There is a procedure which addresses the identification and disposal of material(s) not in use in the organisation.</w:t>
      </w:r>
    </w:p>
    <w:p>
      <w:pPr>
        <w:pStyle w:val="ListBullet"/>
      </w:pPr>
      <w:r>
        <w:t>Written procedure for identifying and disposing of material not in use.</w:t>
      </w:r>
    </w:p>
    <w:p>
      <w:pPr>
        <w:pStyle w:val="ListBullet"/>
      </w:pPr>
      <w:r>
        <w:t>Condemnation register listing items, dates and disposal method.</w:t>
      </w:r>
    </w:p>
    <w:p>
      <w:pPr>
        <w:pStyle w:val="ListBullet"/>
      </w:pPr>
      <w:r>
        <w:t>Engineering In-Charge sign-off on the register.</w:t>
      </w:r>
    </w:p>
    <w:p>
      <w:pPr>
        <w:pStyle w:val="Heading2"/>
      </w:pPr>
      <w:r>
        <w:t>FMS.3.e — Hazardous materials are identified and used safely within the organisation.</w:t>
      </w:r>
    </w:p>
    <w:p>
      <w:pPr>
        <w:pStyle w:val="ListBullet"/>
      </w:pPr>
      <w:r>
        <w:t>Current hazardous-materials inventory (for example chemicals, blood/cultures, mercury, isotopes, medical gases, LPG, steam, ethylene oxide).</w:t>
      </w:r>
    </w:p>
    <w:p>
      <w:pPr>
        <w:pStyle w:val="ListBullet"/>
      </w:pPr>
      <w:r>
        <w:t>Material Safety Data Sheet on file for each identified material.</w:t>
      </w:r>
    </w:p>
    <w:p>
      <w:pPr>
        <w:pStyle w:val="ListBullet"/>
      </w:pPr>
      <w:r>
        <w:t>Handling, storage, transport and disposal record for a sample of materials.</w:t>
      </w:r>
    </w:p>
    <w:p>
      <w:pPr>
        <w:pStyle w:val="Heading2"/>
      </w:pPr>
      <w:r>
        <w:t>FMS.3.f — The plan for managing spills of hazardous materials is implemented.</w:t>
      </w:r>
    </w:p>
    <w:p>
      <w:pPr>
        <w:pStyle w:val="ListBullet"/>
      </w:pPr>
      <w:r>
        <w:t>Summarised Material Safety Data Sheet accessible on the floor where the material is stored.</w:t>
      </w:r>
    </w:p>
    <w:p>
      <w:pPr>
        <w:pStyle w:val="ListBullet"/>
      </w:pPr>
      <w:r>
        <w:t>Hazardous-materials spill-kit inventory and location log.</w:t>
      </w:r>
    </w:p>
    <w:p>
      <w:pPr>
        <w:pStyle w:val="ListBullet"/>
      </w:pPr>
      <w:r>
        <w:t>Training record for staff handling that material.</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FMS.3.</w:t>
      </w:r>
    </w:p>
    <w:p>
      <w:pPr>
        <w:pStyle w:val="ListBullet"/>
      </w:pPr>
      <w:r>
        <w:t>NABH Guidebook to Accreditation Standards for Hospitals, 6th Edition — FMS.3 interpretations.</w:t>
      </w:r>
    </w:p>
    <w:p>
      <w:pPr>
        <w:pStyle w:val="ListBullet"/>
      </w:pPr>
      <w:r>
        <w:t>Internal documents of «Hospital Name»: facility-inspection records, as-built drawings, utility and medical-equipment logs, medical-gas records, fire and non-fire plans named for FMS.3.</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