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Medical Gases, Vacuum and Compressed Air</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 has a programme for medical gases, vacuum and compressed air.</w:t>
      </w:r>
    </w:p>
    <w:p>
      <w:pPr>
        <w:pStyle w:val="Heading1"/>
      </w:pPr>
      <w:r>
        <w:t>1. Purpose</w:t>
      </w:r>
    </w:p>
    <w:p>
      <w:pPr/>
      <w:r>
        <w:t>This policy defines how «Hospital Name» governs the procurement, handling, storage, distribution, use and replenishment of medical gases, compressed air and vacuum; maintains safety measures at every level; keeps operational and maintenance plans current; and provides and tests backup sources.</w:t>
      </w:r>
    </w:p>
    <w:p>
      <w:pPr/>
      <w:r>
        <w:t>This policy covers medical gases, vacuum and compressed air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medical gases, vacuum and compressed air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Written guidance governs every stage of medical-gas management at «Hospital Name». Gases are handled, stored and distributed with standardised colour coding, alarms, valve boxes, pin-indexed outlets and automatic changeover. An operational, inspection, testing and maintenance plan follows the manufacturer. Backup sources are in place and tested regularly.</w:t>
      </w:r>
    </w:p>
    <w:p>
      <w:pPr/>
      <w:r>
        <w:t>Staff follow written guidance and keep the records listed in the traceability table.</w:t>
      </w:r>
    </w:p>
    <w:p>
      <w:pPr>
        <w:pStyle w:val="Heading1"/>
      </w:pPr>
      <w:r>
        <w:t>4. Non-negotiable rules</w:t>
      </w:r>
    </w:p>
    <w:p>
      <w:pPr>
        <w:pStyle w:val="ListNumber"/>
      </w:pPr>
      <w:r>
        <w:t>Do not procure, store, distribute or use any medical gas without written guidance covering colour coding, signage, handling and replenishment in place for that gas.</w:t>
      </w:r>
    </w:p>
    <w:p>
      <w:pPr>
        <w:pStyle w:val="ListNumber"/>
      </w:pPr>
      <w:r>
        <w:t>Do not use a medical-gas outlet or manifold that lacks the required colour coding, alarm, valve box, pin-indexed outlet or automatic changeover to the alternate source.</w:t>
      </w:r>
    </w:p>
    <w:p>
      <w:pPr>
        <w:pStyle w:val="ListNumber"/>
      </w:pPr>
      <w:r>
        <w:t>Do not silence a plant-room alarm for a medical-gas system without a documented reason and corrective action.</w:t>
      </w:r>
    </w:p>
    <w:p>
      <w:pPr>
        <w:pStyle w:val="ListNumber"/>
      </w:pPr>
      <w:r>
        <w:t>Do not operate piped medical gas, compressed air or vacuum without an implemented operational, inspection, testing and maintenance plan following the manufacturer.</w:t>
      </w:r>
    </w:p>
    <w:p>
      <w:pPr>
        <w:pStyle w:val="ListNumber"/>
      </w:pPr>
      <w:r>
        <w:t>Do not operate without a required alternate source (stand-by compressor, stand-by vacuum pump, stand-by manifold or bulk cylinders) for each gas, compressed air and vacuum line in use.</w:t>
      </w:r>
    </w:p>
    <w:p>
      <w:pPr>
        <w:pStyle w:val="ListNumber"/>
      </w:pPr>
      <w:r>
        <w:t>Do not count an alternate source as available if it has not been tested at the defined frequency with documented results.</w:t>
      </w:r>
    </w:p>
    <w:p>
      <w:pPr>
        <w:pStyle w:val="ListNumber"/>
      </w:pPr>
      <w:r>
        <w:t>Do not bypass the stop-work authority in section 6 when the trigger conditions are met.</w:t>
      </w:r>
    </w:p>
    <w:p>
      <w:pPr>
        <w:pStyle w:val="ListNumber"/>
      </w:pPr>
      <w:r>
        <w:t>Staff who see a FMS.6 rule broken report it the same shift to the Engineering In-Charge or the Medical Superintendent.</w:t>
      </w:r>
    </w:p>
    <w:p>
      <w:pPr>
        <w:pStyle w:val="Heading1"/>
      </w:pPr>
      <w:r>
        <w:t>5. What we do</w:t>
      </w:r>
    </w:p>
    <w:p>
      <w:pPr>
        <w:pStyle w:val="Heading2"/>
      </w:pPr>
      <w:r>
        <w:t>5.1 Written guidance governs the implementation of procurement, handling...</w:t>
      </w:r>
    </w:p>
    <w:p>
      <w:pPr/>
      <w:r>
        <w:t>Written guidance governs procurement, handling, storage, distribution, usage and replenishment of all medical gases used here, including colour coding and full/empty signage. HTM 02-01 or the National Fire Protection Association medical-gas handbook is a reference.</w:t>
      </w:r>
    </w:p>
    <w:p>
      <w:pPr/>
      <w:r>
        <w:t>The Guidebook names the Explosives Act, Gas Cylinder Rules and Static and Mobile Pressure Vessels (Unfired) Rules. Those duties stay with the named statute; this policy does not paste the Act.</w:t>
      </w:r>
    </w:p>
    <w:p>
      <w:pPr>
        <w:pStyle w:val="Heading2"/>
      </w:pPr>
      <w:r>
        <w:t>5.2 Medical gases are handled, stored, distributed and used in a safe manner</w:t>
      </w:r>
    </w:p>
    <w:p>
      <w:pPr/>
      <w:r>
        <w:t>Medical gases are handled, stored, distributed and used safely: colour-coded cylinders and pipelines; alarms and valve boxes; twenty-four-hour monitoring of plant alarms; pin-indexed outlets; automatic change-over to the alternate source.</w:t>
      </w:r>
    </w:p>
    <w:p>
      <w:pPr/>
      <w:r>
        <w:t>A live leak or a silenced required alarm is a stop-work trigger (section 6).</w:t>
      </w:r>
    </w:p>
    <w:p>
      <w:pPr>
        <w:pStyle w:val="Heading2"/>
      </w:pPr>
      <w:r>
        <w:t>5.3 There is an operational, inspection, testing and maintenance plan for...</w:t>
      </w:r>
    </w:p>
    <w:p>
      <w:pPr/>
      <w:r>
        <w:t>There is an operational, inspection, testing and maintenance plan for piped medical gas, compressed air and vacuum, following the manufacturer. Compressed-air purity is checked at a terminal outlet at least once a year, at least one terminal in the operating theatre and one in intensive care if those areas exist.</w:t>
      </w:r>
    </w:p>
    <w:p>
      <w:pPr>
        <w:pStyle w:val="Heading2"/>
      </w:pPr>
      <w:r>
        <w:t>5.4 Alternate sources for medical gases, vacuum and compressed air are...</w:t>
      </w:r>
    </w:p>
    <w:p>
      <w:pPr/>
      <w:r>
        <w:t>Alternate sources for medical gases, vacuum and compressed air are provided for failure (stand-by compressor and vacuum pump; stand-by manifold or bulk cylinders).</w:t>
      </w:r>
    </w:p>
    <w:p>
      <w:pPr/>
      <w:r>
        <w:t>No required alternate source is a stop-work trigger (section 6).</w:t>
      </w:r>
    </w:p>
    <w:p>
      <w:pPr>
        <w:pStyle w:val="Heading2"/>
      </w:pPr>
      <w:r>
        <w:t>5.5 The organisation regularly tests the functioning of these alternate...</w:t>
      </w:r>
    </w:p>
    <w:p>
      <w:pPr/>
      <w:r>
        <w:t>The organisation tests these alternate sources at a defined frequency (default monthly). Results are documented.</w:t>
      </w:r>
    </w:p>
    <w:p>
      <w:pPr>
        <w:pStyle w:val="Heading1"/>
      </w:pPr>
      <w:r>
        <w:t>6. Stop-work authority</w:t>
      </w:r>
    </w:p>
    <w:p>
      <w:pPr/>
      <w:r>
        <w:t>Do not use a medical-gas outlet or manifold when there is a live leak, a required alarm that has been silenced without a recorded reason, or no required alternate source for that gas, vacuum or compressed air.</w:t>
      </w:r>
    </w:p>
    <w:p>
      <w:pPr/>
      <w:r>
        <w:t>Stop-work applies to using that outlet or manifold. Immediate life-saving care uses cylinders or the written alternate source.</w:t>
      </w:r>
    </w:p>
    <w:p>
      <w:pPr/>
      <w:r>
        <w:t>The person who stops tells the Engineering In-Charge and the Medical Superintendent the same shift. Refusing an unsafe gas outlet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FMS.6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8.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Documentary evidence is on file for each asterisked objective element in the sample.</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9.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Medical Gases, Vacuum and Compressed Air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Medical Superintendent; Engineering In-Charge; Quality Coordinator; departmental leaders; staff covered by FMS.6</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12. Traceability to NABH HCO Full Accreditation 6th Edition FMS.6</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FMS.6.a</w:t>
            </w:r>
          </w:p>
        </w:tc>
        <w:tc>
          <w:tcPr>
            <w:tcW w:type="dxa" w:w="1728"/>
          </w:tcPr>
          <w:p>
            <w:r>
              <w:t>Commitment*</w:t>
            </w:r>
          </w:p>
        </w:tc>
        <w:tc>
          <w:tcPr>
            <w:tcW w:type="dxa" w:w="1728"/>
          </w:tcPr>
          <w:p>
            <w:r>
              <w:t>Written guidance governs the implementation of procurement, handling, storage, distribution, usage and replenishment of medical gases.</w:t>
            </w:r>
          </w:p>
        </w:tc>
        <w:tc>
          <w:tcPr>
            <w:tcW w:type="dxa" w:w="1728"/>
          </w:tcPr>
          <w:p>
            <w:r>
              <w:t>Section 3; 5.1</w:t>
            </w:r>
          </w:p>
        </w:tc>
        <w:tc>
          <w:tcPr>
            <w:tcW w:type="dxa" w:w="1728"/>
          </w:tcPr>
          <w:p>
            <w:r>
              <w:t>Engineering In-Charge</w:t>
            </w:r>
          </w:p>
        </w:tc>
      </w:tr>
      <w:tr>
        <w:tc>
          <w:tcPr>
            <w:tcW w:type="dxa" w:w="1728"/>
          </w:tcPr>
          <w:p>
            <w:r>
              <w:t>FMS.6.b</w:t>
            </w:r>
          </w:p>
        </w:tc>
        <w:tc>
          <w:tcPr>
            <w:tcW w:type="dxa" w:w="1728"/>
          </w:tcPr>
          <w:p>
            <w:r>
              <w:t>CORE</w:t>
            </w:r>
          </w:p>
        </w:tc>
        <w:tc>
          <w:tcPr>
            <w:tcW w:type="dxa" w:w="1728"/>
          </w:tcPr>
          <w:p>
            <w:r>
              <w:t>Medical gases are handled, stored, distributed and used in a safe manner.</w:t>
            </w:r>
          </w:p>
        </w:tc>
        <w:tc>
          <w:tcPr>
            <w:tcW w:type="dxa" w:w="1728"/>
          </w:tcPr>
          <w:p>
            <w:r>
              <w:t>Section 3; 5.2; Section 6 Stop-work</w:t>
            </w:r>
          </w:p>
        </w:tc>
        <w:tc>
          <w:tcPr>
            <w:tcW w:type="dxa" w:w="1728"/>
          </w:tcPr>
          <w:p>
            <w:r>
              <w:t>Engineering In-Charge</w:t>
            </w:r>
          </w:p>
        </w:tc>
      </w:tr>
      <w:tr>
        <w:tc>
          <w:tcPr>
            <w:tcW w:type="dxa" w:w="1728"/>
          </w:tcPr>
          <w:p>
            <w:r>
              <w:t>FMS.6.c</w:t>
            </w:r>
          </w:p>
        </w:tc>
        <w:tc>
          <w:tcPr>
            <w:tcW w:type="dxa" w:w="1728"/>
          </w:tcPr>
          <w:p>
            <w:r>
              <w:t>Commitment*</w:t>
            </w:r>
          </w:p>
        </w:tc>
        <w:tc>
          <w:tcPr>
            <w:tcW w:type="dxa" w:w="1728"/>
          </w:tcPr>
          <w:p>
            <w:r>
              <w:t>There is an operational, inspection, testing and maintenance plan for piped medical gas, compressed air and vacuum installation.</w:t>
            </w:r>
          </w:p>
        </w:tc>
        <w:tc>
          <w:tcPr>
            <w:tcW w:type="dxa" w:w="1728"/>
          </w:tcPr>
          <w:p>
            <w:r>
              <w:t>Section 3; 5.3</w:t>
            </w:r>
          </w:p>
        </w:tc>
        <w:tc>
          <w:tcPr>
            <w:tcW w:type="dxa" w:w="1728"/>
          </w:tcPr>
          <w:p>
            <w:r>
              <w:t>Engineering In-Charge</w:t>
            </w:r>
          </w:p>
        </w:tc>
      </w:tr>
      <w:tr>
        <w:tc>
          <w:tcPr>
            <w:tcW w:type="dxa" w:w="1728"/>
          </w:tcPr>
          <w:p>
            <w:r>
              <w:t>FMS.6.d</w:t>
            </w:r>
          </w:p>
        </w:tc>
        <w:tc>
          <w:tcPr>
            <w:tcW w:type="dxa" w:w="1728"/>
          </w:tcPr>
          <w:p>
            <w:r>
              <w:t>CORE</w:t>
            </w:r>
          </w:p>
        </w:tc>
        <w:tc>
          <w:tcPr>
            <w:tcW w:type="dxa" w:w="1728"/>
          </w:tcPr>
          <w:p>
            <w:r>
              <w:t>Alternate sources for medical gases, vacuum and compressed air are provided for, in case of failure.</w:t>
            </w:r>
          </w:p>
        </w:tc>
        <w:tc>
          <w:tcPr>
            <w:tcW w:type="dxa" w:w="1728"/>
          </w:tcPr>
          <w:p>
            <w:r>
              <w:t>Section 3; 5.4; Section 6 Stop-work</w:t>
            </w:r>
          </w:p>
        </w:tc>
        <w:tc>
          <w:tcPr>
            <w:tcW w:type="dxa" w:w="1728"/>
          </w:tcPr>
          <w:p>
            <w:r>
              <w:t>Engineering In-Charge</w:t>
            </w:r>
          </w:p>
        </w:tc>
      </w:tr>
      <w:tr>
        <w:tc>
          <w:tcPr>
            <w:tcW w:type="dxa" w:w="1728"/>
          </w:tcPr>
          <w:p>
            <w:r>
              <w:t>FMS.6.e</w:t>
            </w:r>
          </w:p>
        </w:tc>
        <w:tc>
          <w:tcPr>
            <w:tcW w:type="dxa" w:w="1728"/>
          </w:tcPr>
          <w:p>
            <w:r>
              <w:t>Commitment</w:t>
            </w:r>
          </w:p>
        </w:tc>
        <w:tc>
          <w:tcPr>
            <w:tcW w:type="dxa" w:w="1728"/>
          </w:tcPr>
          <w:p>
            <w:r>
              <w:t>The organisation regularly tests the functioning of these alternate sources.</w:t>
            </w:r>
          </w:p>
        </w:tc>
        <w:tc>
          <w:tcPr>
            <w:tcW w:type="dxa" w:w="1728"/>
          </w:tcPr>
          <w:p>
            <w:r>
              <w:t>Section 3; 5.5</w:t>
            </w:r>
          </w:p>
        </w:tc>
        <w:tc>
          <w:tcPr>
            <w:tcW w:type="dxa" w:w="1728"/>
          </w:tcPr>
          <w:p>
            <w:r>
              <w:t>Engineering In-Charge</w:t>
            </w:r>
          </w:p>
        </w:tc>
      </w:tr>
    </w:tbl>
    <w:p>
      <w:pPr>
        <w:pStyle w:val="Heading1"/>
      </w:pPr>
      <w:r>
        <w:t>13. Required Records / Evidence Checklist</w:t>
      </w:r>
    </w:p>
    <w:p>
      <w:pPr/>
      <w:r>
        <w:t>Records the hospital holds under this policy, listed by objective element.</w:t>
      </w:r>
    </w:p>
    <w:p>
      <w:pPr>
        <w:pStyle w:val="Heading2"/>
      </w:pPr>
      <w:r>
        <w:t>FMS.6.a — Written guidance governs the implementation of procurement, handling, storage, distribution, usage and replenishment of medical gases.</w:t>
      </w:r>
    </w:p>
    <w:p>
      <w:pPr>
        <w:pStyle w:val="ListBullet"/>
      </w:pPr>
      <w:r>
        <w:t>Written medical-gas procurement, handling, storage, distribution, usage and replenishment guidance, including colour-coding and signage.</w:t>
      </w:r>
    </w:p>
    <w:p>
      <w:pPr>
        <w:pStyle w:val="ListBullet"/>
      </w:pPr>
      <w:r>
        <w:t>Reference used (for example HTM 02-01 or the NFPA medical-gas handbook).</w:t>
      </w:r>
    </w:p>
    <w:p>
      <w:pPr>
        <w:pStyle w:val="ListBullet"/>
      </w:pPr>
      <w:r>
        <w:t>Statutory-provision record (Explosives Act, Gas Cylinder Rules, Static and Mobile Pressure Vessels Rules) where those apply to this hospital's gases.</w:t>
      </w:r>
    </w:p>
    <w:p>
      <w:pPr>
        <w:pStyle w:val="Heading2"/>
      </w:pPr>
      <w:r>
        <w:t>FMS.6.b — Medical gases are handled, stored, distributed and used in a safe manner.</w:t>
      </w:r>
    </w:p>
    <w:p>
      <w:pPr>
        <w:pStyle w:val="ListBullet"/>
      </w:pPr>
      <w:r>
        <w:t>Colour-coded cylinder and pipeline inventory with alarm and valve-box log.</w:t>
      </w:r>
    </w:p>
    <w:p>
      <w:pPr>
        <w:pStyle w:val="ListBullet"/>
      </w:pPr>
      <w:r>
        <w:t>Twenty-four-hour plant-alarm monitoring record.</w:t>
      </w:r>
    </w:p>
    <w:p>
      <w:pPr>
        <w:pStyle w:val="ListBullet"/>
      </w:pPr>
      <w:r>
        <w:t>Pin-indexed outlet and automatic-changeover verification record.</w:t>
      </w:r>
    </w:p>
    <w:p>
      <w:pPr>
        <w:pStyle w:val="Heading2"/>
      </w:pPr>
      <w:r>
        <w:t>FMS.6.c — There is an operational, inspection, testing and maintenance plan for piped medical gas, compressed air and vacuum installation.</w:t>
      </w:r>
    </w:p>
    <w:p>
      <w:pPr>
        <w:pStyle w:val="ListBullet"/>
      </w:pPr>
      <w:r>
        <w:t>Documented operational, inspection, testing and maintenance plan for piped medical gas, compressed air and vacuum.</w:t>
      </w:r>
    </w:p>
    <w:p>
      <w:pPr>
        <w:pStyle w:val="ListBullet"/>
      </w:pPr>
      <w:r>
        <w:t>Compressed-air purity test record, at least annually, at operating-theatre and intensive-care terminal outlets.</w:t>
      </w:r>
    </w:p>
    <w:p>
      <w:pPr>
        <w:pStyle w:val="ListBullet"/>
      </w:pPr>
      <w:r>
        <w:t>Manufacturer-following maintenance log.</w:t>
      </w:r>
    </w:p>
    <w:p>
      <w:pPr>
        <w:pStyle w:val="Heading2"/>
      </w:pPr>
      <w:r>
        <w:t>FMS.6.d — Alternate sources for medical gases, vacuum and compressed air are provided for, in case of failure.</w:t>
      </w:r>
    </w:p>
    <w:p>
      <w:pPr>
        <w:pStyle w:val="ListBullet"/>
      </w:pPr>
      <w:r>
        <w:t>Stand-by compressor/vacuum-pump and stand-by manifold or bulk-cylinder inventory.</w:t>
      </w:r>
    </w:p>
    <w:p>
      <w:pPr>
        <w:pStyle w:val="ListBullet"/>
      </w:pPr>
      <w:r>
        <w:t>Automatic-changeover test record.</w:t>
      </w:r>
    </w:p>
    <w:p>
      <w:pPr>
        <w:pStyle w:val="ListBullet"/>
      </w:pPr>
      <w:r>
        <w:t>Alternate-source readiness confirmation log.</w:t>
      </w:r>
    </w:p>
    <w:p>
      <w:pPr>
        <w:pStyle w:val="Heading2"/>
      </w:pPr>
      <w:r>
        <w:t>FMS.6.e — The organisation regularly tests the functioning of these alternate sources.</w:t>
      </w:r>
    </w:p>
    <w:p>
      <w:pPr>
        <w:pStyle w:val="ListBullet"/>
      </w:pPr>
      <w:r>
        <w:t>Test log for alternate medical-gas sources at the defined interval (default monthly).</w:t>
      </w:r>
    </w:p>
    <w:p>
      <w:pPr>
        <w:pStyle w:val="ListBullet"/>
      </w:pPr>
      <w:r>
        <w:t>Manufacturer or written-plan interval reference used.</w:t>
      </w:r>
    </w:p>
    <w:p>
      <w:pPr>
        <w:pStyle w:val="ListBullet"/>
      </w:pPr>
      <w:r>
        <w:t>Corrective-action record for any failed test.</w:t>
      </w:r>
    </w:p>
    <w:p>
      <w:pPr>
        <w:pStyle w:val="Heading1"/>
      </w:pPr>
      <w:r>
        <w:t>14. References</w:t>
      </w:r>
    </w:p>
    <w:p>
      <w:pPr>
        <w:pStyle w:val="ListBullet"/>
      </w:pPr>
      <w:r>
        <w:t>National Accreditation Board for Hospitals and Healthcare Providers (NABH), Accreditation Standards for Hospitals, 6th Edition (January 2025) — Facility Management and Safety, standard FMS.6.</w:t>
      </w:r>
    </w:p>
    <w:p>
      <w:pPr>
        <w:pStyle w:val="ListBullet"/>
      </w:pPr>
      <w:r>
        <w:t>NABH Guidebook to Accreditation Standards for Hospitals, 6th Edition — FMS.6 interpretations.</w:t>
      </w:r>
    </w:p>
    <w:p>
      <w:pPr>
        <w:pStyle w:val="ListBullet"/>
      </w:pPr>
      <w:r>
        <w:t>Internal documents of «Hospital Name»: facility-inspection records, as-built drawings, utility and medical-equipment logs, medical-gas records, fire and non-fire plans named for FMS.6.</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Several requirements in this document are statutory rather than advisory — in particular those arising under statutory provisions for medical gases as named in NABH FMS.6, including the Explosives Act, Gas Cylinder Rules and Static and Mobile Pressure Vessels (Unfired) Rules where they apply to this hospital's gases.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