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Administered Safely</w:t>
      </w:r>
    </w:p>
    <w:p>
      <w:pPr>
        <w:spacing w:after="240"/>
        <w:jc w:val="center"/>
      </w:pPr>
      <w:r>
        <w:rPr>
          <w:i/>
          <w:iCs/>
          <w:sz w:val="20"/>
          <w:szCs w:val="20"/>
        </w:rPr>
        <w:t xml:space="preserve">Safe administration: five rights, verification, documentation and governance.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MOM.5 owns dispensing. This policy begins when the medication reaches the administering staff.</w:t>
      </w:r>
    </w:p>
    <w:p>
      <w:pPr>
        <w:pStyle w:val="ListParagraph"/>
        <w:numPr>
          <w:ilvl w:val="0"/>
          <w:numId w:val="1"/>
        </w:numPr>
        <w:spacing w:after="60"/>
      </w:pPr>
      <w:r>
        <w:rPr>
          <w:sz w:val="22"/>
          <w:szCs w:val="22"/>
        </w:rPr>
        <w:t xml:space="preserve">MOM.7 owns monitoring after administration and adverse-event reporting.</w:t>
      </w:r>
    </w:p>
    <w:p>
      <w:pPr>
        <w:pStyle w:val="ListParagraph"/>
        <w:numPr>
          <w:ilvl w:val="0"/>
          <w:numId w:val="1"/>
        </w:numPr>
        <w:spacing w:after="60"/>
      </w:pPr>
      <w:r>
        <w:rPr>
          <w:sz w:val="22"/>
          <w:szCs w:val="22"/>
        </w:rPr>
        <w:t xml:space="preserve">PSQ (patient safety goals) owns the patient-identification system. This policy applies it at the point of medication administration.</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 xml:space="preserve">Root-cause analysis is required when the same administration lapse recurs within six months.</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IM — intramuscular
IV — intravenous
MAR — medication administration record
MOM — Management of Medication (NABH SHCO chapter 7)
NABH — National Accreditation Board for Hospitals and Healthcare Providers
OE — objective element
PSQ — Patient Safety and Quality Improvement (NABH SHCO chapter 3)
SC — subcutaneous
SHCO — Standards for Small Healthcare Organisations</w:t>
      </w:r>
    </w:p>
    <w:p>
      <w:pPr>
        <w:pStyle w:val="Heading1"/>
        <w:spacing w:after="120" w:before="280"/>
      </w:pPr>
      <w:r>
        <w:t xml:space="preserve">13. Traceability to NABH SHCO 3rd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MOM/POL/06  |  Controlled document  |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