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FMS.2.g — Hazardous materials are identified and used safely within the organisation.</w:t>
      </w:r>
    </w:p>
    <w:p>
      <w:r>
        <w:t>FMS.2 Record 7 — Hazardous-material inventory and safe-use record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The facility-wide inventory of hazardous materials this hospital actually holds (housekeeping chemicals, fuels, mercury if present, engineering solvents, bulk stores) with labelling, segregation, PPE and the spill method -- the chapter's second asterisked, documented-evidence record.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 20-litre diesel drum in the generator room is listed with its label, storage segregation, required PPE, and the spill-containment method, distinct from HIC.2's blood-spill SOP and MOM.8's cytotoxic-spill SOP.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NABH asterisks this OE -- a Core requirement where the organisation must show hazardous materials are identified and used safely at the point of use, not filed as a safety data sheet nobody has attached to the actual container.</w:t>
            </w:r>
          </w:p>
        </w:tc>
      </w:tr>
    </w:tbl>
    <w:p/>
    <w:p>
      <w:r>
        <w:t>How to fill this in — column by column</w:t>
      </w:r>
    </w:p>
    <w:p>
      <w:r>
        <w:t>Material: Named hazardous material (housekeeping chemical, fuel, mercury, solvent, etc.), or recorded absence of a class not held.</w:t>
      </w:r>
    </w:p>
    <w:p>
      <w:r>
        <w:t>Location: Where it is stored/used.</w:t>
      </w:r>
    </w:p>
    <w:p>
      <w:r>
        <w:t>Labelled and Segregated? (Y/N): Whether the actual container is labelled and correctly segregated.</w:t>
      </w:r>
    </w:p>
    <w:p>
      <w:r>
        <w:t>PPE Required: PPE specified for safe use.</w:t>
      </w:r>
    </w:p>
    <w:p>
      <w:r>
        <w:t>Spill Method Reference: This hospital's building-chemical/mercury/fuel spill method (not HIC.2 blood, MOM.8 cytotoxic, or HIC.3 BMW).</w:t>
      </w:r>
    </w:p>
    <w:p>
      <w:r>
        <w:t>Confirmed By: Named facilities lead.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Bureau of Indian Standards. (2016). </w:t>
      </w:r>
      <w:hyperlink r:id="rId9">
        <w:r>
          <w:rPr>
            <w:color w:val="0563C1"/>
            <w:u w:val="single"/>
          </w:rPr>
          <w:t>National Building Code of India, 2016</w:t>
        </w:r>
      </w:hyperlink>
      <w:r>
        <w:t>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Material</w:t>
            </w:r>
          </w:p>
        </w:tc>
        <w:tc>
          <w:tcPr>
            <w:tcW w:type="dxa" w:w="1440"/>
          </w:tcPr>
          <w:p>
            <w:r>
              <w:t>Location</w:t>
            </w:r>
          </w:p>
        </w:tc>
        <w:tc>
          <w:tcPr>
            <w:tcW w:type="dxa" w:w="1440"/>
          </w:tcPr>
          <w:p>
            <w:r>
              <w:t>Labelled and Segregated? (Y/N)</w:t>
            </w:r>
          </w:p>
        </w:tc>
        <w:tc>
          <w:tcPr>
            <w:tcW w:type="dxa" w:w="1440"/>
          </w:tcPr>
          <w:p>
            <w:r>
              <w:t>PPE Required</w:t>
            </w:r>
          </w:p>
        </w:tc>
        <w:tc>
          <w:tcPr>
            <w:tcW w:type="dxa" w:w="1440"/>
          </w:tcPr>
          <w:p>
            <w:r>
              <w:t>Spill Method Reference</w:t>
            </w:r>
          </w:p>
        </w:tc>
        <w:tc>
          <w:tcPr>
            <w:tcW w:type="dxa" w:w="1440"/>
          </w:tcPr>
          <w:p>
            <w:r>
              <w:t>Confirmed By</w:t>
            </w:r>
          </w:p>
        </w:tc>
      </w:tr>
      <w:t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c>
          <w:tcPr>
            <w:tcW w:type="dxa" w:w="1440"/>
            <w:shd w:val="clear" w:color="auto" w:fill="FFF2CC"/>
          </w:tcPr>
          <w:p>
            <w:r>
              <w:t>Diesel (generator fuel)</w:t>
            </w:r>
          </w:p>
        </w:tc>
        <w:tc>
          <w:tcPr>
            <w:tcW w:type="dxa" w:w="1440"/>
            <w:shd w:val="clear" w:color="auto" w:fill="FFF2CC"/>
          </w:tcPr>
          <w:p>
            <w:r>
              <w:t>Generator room, 20-litre drum, bunded storage</w:t>
            </w:r>
          </w:p>
        </w:tc>
        <w:tc>
          <w:tcPr>
            <w:tcW w:type="dxa" w:w="1440"/>
            <w:shd w:val="clear" w:color="auto" w:fill="FFF2CC"/>
          </w:tcPr>
          <w:p>
            <w:r>
              <w:t>Y</w:t>
            </w:r>
          </w:p>
        </w:tc>
        <w:tc>
          <w:tcPr>
            <w:tcW w:type="dxa" w:w="1440"/>
            <w:shd w:val="clear" w:color="auto" w:fill="FFF2CC"/>
          </w:tcPr>
          <w:p>
            <w:r>
              <w:t>Gloves, eye protection</w:t>
            </w:r>
          </w:p>
        </w:tc>
        <w:tc>
          <w:tcPr>
            <w:tcW w:type="dxa" w:w="1440"/>
            <w:shd w:val="clear" w:color="auto" w:fill="FFF2CC"/>
          </w:tcPr>
          <w:p>
            <w:r>
              <w:t>Facility hazardous-materials spill procedure, s.3 (fuel)</w:t>
            </w:r>
          </w:p>
        </w:tc>
        <w:tc>
          <w:tcPr>
            <w:tcW w:type="dxa" w:w="1440"/>
            <w:shd w:val="clear" w:color="auto" w:fill="FFF2CC"/>
          </w:tcPr>
          <w:p>
            <w:r>
              <w:t>Facilities Lead «Name»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bis.gov.in/others/national-building-cod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