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FMS.3.b — Medical equipment and support service equipment are inventoried, and proper logs are maintained as required.</w:t>
      </w:r>
    </w:p>
    <w:p>
      <w:r>
        <w:t>FMS.3 Record 2 — Medical and support-service equipment inventory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The hospital-wide inventory of every item that can harm a patient if it fails or is missing -- unique identifier, location, owner department, criticality, and ownership status.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consigned analyser in the laboratory is listed on the inventory with its consignment status, even though the hospital does not own it outright.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NABH requires equipment to be inventoried with proper logs maintained -- a Commitment requirement checked against whether every in-use item is actually on the list, owned, loaned or outsourced alike.</w:t>
            </w:r>
          </w:p>
        </w:tc>
      </w:tr>
    </w:tbl>
    <w:p/>
    <w:p>
      <w:r>
        <w:t>How to fill this in — column by column</w:t>
      </w:r>
    </w:p>
    <w:p>
      <w:r>
        <w:t>Unique Identifier: Asset tag or serial number.</w:t>
      </w:r>
    </w:p>
    <w:p>
      <w:r>
        <w:t>Item/Description: What the equipment is.</w:t>
      </w:r>
    </w:p>
    <w:p>
      <w:r>
        <w:t>Location/Owner Department: Where it is and which department owns it.</w:t>
      </w:r>
    </w:p>
    <w:p>
      <w:r>
        <w:t>Criticality: Hospital-defined criticality rating.</w:t>
      </w:r>
    </w:p>
    <w:p>
      <w:r>
        <w:t>Ownership Status: Owned / loaned / consigned / outsourced.</w:t>
      </w:r>
    </w:p>
    <w:p>
      <w:r>
        <w:t>Confirmed By: Named biomedical/engineering lead.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Facility Management and Safety chapter, standard FMS.3.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Unique Identifier</w:t>
            </w:r>
          </w:p>
        </w:tc>
        <w:tc>
          <w:tcPr>
            <w:tcW w:type="dxa" w:w="1440"/>
          </w:tcPr>
          <w:p>
            <w:r>
              <w:t>Item/Description</w:t>
            </w:r>
          </w:p>
        </w:tc>
        <w:tc>
          <w:tcPr>
            <w:tcW w:type="dxa" w:w="1440"/>
          </w:tcPr>
          <w:p>
            <w:r>
              <w:t>Location/Owner Department</w:t>
            </w:r>
          </w:p>
        </w:tc>
        <w:tc>
          <w:tcPr>
            <w:tcW w:type="dxa" w:w="1440"/>
          </w:tcPr>
          <w:p>
            <w:r>
              <w:t>Criticality</w:t>
            </w:r>
          </w:p>
        </w:tc>
        <w:tc>
          <w:tcPr>
            <w:tcW w:type="dxa" w:w="1440"/>
          </w:tcPr>
          <w:p>
            <w:r>
              <w:t>Ownership Status</w:t>
            </w:r>
          </w:p>
        </w:tc>
        <w:tc>
          <w:tcPr>
            <w:tcW w:type="dxa" w:w="1440"/>
          </w:tcPr>
          <w:p>
            <w:r>
              <w:t>Confirmed By</w:t>
            </w:r>
          </w:p>
        </w:tc>
      </w:tr>
      <w:t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c>
          <w:tcPr>
            <w:tcW w:type="dxa" w:w="1440"/>
            <w:shd w:val="clear" w:color="auto" w:fill="FFF2CC"/>
          </w:tcPr>
          <w:p>
            <w:r>
              <w:t>BME-0231</w:t>
            </w:r>
          </w:p>
        </w:tc>
        <w:tc>
          <w:tcPr>
            <w:tcW w:type="dxa" w:w="1440"/>
            <w:shd w:val="clear" w:color="auto" w:fill="FFF2CC"/>
          </w:tcPr>
          <w:p>
            <w:r>
              <w:t>Patient monitor</w:t>
            </w:r>
          </w:p>
        </w:tc>
        <w:tc>
          <w:tcPr>
            <w:tcW w:type="dxa" w:w="1440"/>
            <w:shd w:val="clear" w:color="auto" w:fill="FFF2CC"/>
          </w:tcPr>
          <w:p>
            <w:r>
              <w:t>ICU</w:t>
            </w:r>
          </w:p>
        </w:tc>
        <w:tc>
          <w:tcPr>
            <w:tcW w:type="dxa" w:w="1440"/>
            <w:shd w:val="clear" w:color="auto" w:fill="FFF2CC"/>
          </w:tcPr>
          <w:p>
            <w:r>
              <w:t>Critical</w:t>
            </w:r>
          </w:p>
        </w:tc>
        <w:tc>
          <w:tcPr>
            <w:tcW w:type="dxa" w:w="1440"/>
            <w:shd w:val="clear" w:color="auto" w:fill="FFF2CC"/>
          </w:tcPr>
          <w:p>
            <w:r>
              <w:t>Owned</w:t>
            </w:r>
          </w:p>
        </w:tc>
        <w:tc>
          <w:tcPr>
            <w:tcW w:type="dxa" w:w="1440"/>
            <w:shd w:val="clear" w:color="auto" w:fill="FFF2CC"/>
          </w:tcPr>
          <w:p>
            <w:r>
              <w:t>Biomedical Lead «Name»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