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FMS.3.f — There is monitoring of medical equipment and medical devices related to adverse events, and compliance hazard notices on recalls.</w:t>
      </w:r>
    </w:p>
    <w:p>
      <w:r>
        <w:t>FMS.3 Record 6 — Adverse event and recall-compliance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of device-related adverse events, manufacturer/CDSCO hazard notices and recalls, with the inventory search, quarantine and compliance sign-off for each. The chapter's second asterisked, documented-evidence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manufacturer recall notice for a specific infusion-set batch is received; the inventory is searched, two affected sets are found in stores, quarantined the same day, and returned to the vendor.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an Achievement requirement where the organisation must show hazard notices and recalls actually reached the user and were acted on, not filed in the quality office.</w:t>
            </w:r>
          </w:p>
        </w:tc>
      </w:tr>
    </w:tbl>
    <w:p/>
    <w:p>
      <w:r>
        <w:t>How to fill this in — column by column</w:t>
      </w:r>
    </w:p>
    <w:p>
      <w:r>
        <w:t>Date: Date the adverse event or hazard notice/recall was received.</w:t>
      </w:r>
    </w:p>
    <w:p>
      <w:r>
        <w:t>Source: CDSCO, manufacturer, vendor, or internal report.</w:t>
      </w:r>
    </w:p>
    <w:p>
      <w:r>
        <w:t>Device/Batch Affected: What the notice concerns.</w:t>
      </w:r>
    </w:p>
    <w:p>
      <w:r>
        <w:t>Inventory Searched? (Y/N): Whether the inventory was checked for affected items.</w:t>
      </w:r>
    </w:p>
    <w:p>
      <w:r>
        <w:t>Quarantined/Returned/Destroyed: Action taken on any affected items found.</w:t>
      </w:r>
    </w:p>
    <w:p>
      <w:r>
        <w:t>Compliance Signed By: Named person who signed compliance.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Central Drugs Standard Control Organisation. </w:t>
      </w:r>
      <w:hyperlink r:id="rId9">
        <w:r>
          <w:rPr>
            <w:color w:val="0563C1"/>
            <w:u w:val="single"/>
          </w:rPr>
          <w:t>Medical Devices and Diagnostics</w:t>
        </w:r>
      </w:hyperlink>
      <w:r>
        <w:t>.</w:t>
      </w:r>
    </w:p>
    <w:p>
      <w:pPr>
        <w:pStyle w:val="ListParagraph"/>
      </w:pPr>
      <w:r>
        <w:t xml:space="preserve">• </w:t>
      </w:r>
      <w:r>
        <w:t xml:space="preserve">Government of India. (2017). </w:t>
      </w:r>
      <w:hyperlink r:id="rId10">
        <w:r>
          <w:rPr>
            <w:color w:val="0563C1"/>
            <w:u w:val="single"/>
          </w:rPr>
          <w:t>Medical Devices Rules, 2017</w:t>
        </w:r>
      </w:hyperlink>
      <w:r>
        <w:t>.pdf), read with the Drugs and Cosmetics Act, 1940.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Device/Batch Affected</w:t>
            </w:r>
          </w:p>
        </w:tc>
        <w:tc>
          <w:tcPr>
            <w:tcW w:type="dxa" w:w="1440"/>
          </w:tcPr>
          <w:p>
            <w:r>
              <w:t>Inventory Searched? (Y/N)</w:t>
            </w:r>
          </w:p>
        </w:tc>
        <w:tc>
          <w:tcPr>
            <w:tcW w:type="dxa" w:w="1440"/>
          </w:tcPr>
          <w:p>
            <w:r>
              <w:t>Quarantined/Returned/Destroyed</w:t>
            </w:r>
          </w:p>
        </w:tc>
        <w:tc>
          <w:tcPr>
            <w:tcW w:type="dxa" w:w="1440"/>
          </w:tcPr>
          <w:p>
            <w:r>
              <w:t>Compliance Signed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02/04/2026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Manufacturer recall notice</w:t>
            </w:r>
          </w:p>
        </w:tc>
        <w:tc>
          <w:tcPr>
            <w:tcW w:type="dxa" w:w="1440"/>
            <w:shd w:val="clear" w:color="auto" w:fill="FFF2CC"/>
          </w:tcPr>
          <w:p>
            <w:r>
              <w:t>Infusion-set batch #IS-2291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2 units found in stores, quarantined and returned to vendor</w:t>
            </w:r>
          </w:p>
        </w:tc>
        <w:tc>
          <w:tcPr>
            <w:tcW w:type="dxa" w:w="1440"/>
            <w:shd w:val="clear" w:color="auto" w:fill="FFF2CC"/>
          </w:tcPr>
          <w:p>
            <w:r>
              <w:t>Biomedical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dsco.gov.in/opencms/opencms/en/Medical-Device-Diagnostics/" TargetMode="External"/><Relationship Id="rId10" Type="http://schemas.openxmlformats.org/officeDocument/2006/relationships/hyperlink" Target="https://cdsco.gov.in/opencms/resources/UploadCDSCOWeb/2022/m_device/mdr,%202017%20(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