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Standard Operating Procedure</w:t>
      </w:r>
    </w:p>
    <w:p>
      <w:r>
        <w:t>Planned Facilities, Utilities and Environment-Friendly Measures</w:t>
      </w:r>
    </w:p>
    <w:p>
      <w:r>
        <w:t>«Hospital Name» — SOP-FMS.1 — Version 1.0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SOP No.</w:t>
            </w:r>
          </w:p>
        </w:tc>
        <w:tc>
          <w:tcPr>
            <w:tcW w:type="dxa" w:w="2160"/>
          </w:tcPr>
          <w:p>
            <w:r>
              <w:t>SOP-FMS.1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«________»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Annual, or on change</w:t>
            </w:r>
          </w:p>
        </w:tc>
      </w:tr>
    </w:tbl>
    <w:p/>
    <w:p>
      <w:pPr>
        <w:pStyle w:val="Heading1"/>
      </w:pPr>
      <w:r>
        <w:t>1. Purpose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This SOP tells facilities, engineering, clinical and quality staff, in one place, how this hospital keeps its built space matched to what it actually treats; keeps potable water and electricity live around the clock, including at night; proves its backup sources actually carry load rather than just crank once a week; and records real energy and environment initiatives instead of a green-hospital poster. If you hold drawings, watch utilities, run a backup test, or own the energy file, this SOP is for you.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night-shift engineer finds the OT scrub sink dry at 2am. This SOP is what tells them which record to check, what counts as a failure (a dry point of use, whatever the roof tank shows on paper), and which alternate source should have carried it -- and that the alternate source's last loaded test, not just its last no-load crank, is what proves it should have worked.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We do this because a building that looks fine on a drawing can still fail a patient at 2am. Matching space to what we actually treat, keeping water and power live through the night, and proving backups really carry load under pressure -- these are what stand between a patient and a building that quietly stopped working for them.</w:t>
            </w:r>
          </w:p>
        </w:tc>
      </w:tr>
    </w:tbl>
    <w:p/>
    <w:p>
      <w:r>
        <w:t>To define how «Hospital Name» keeps its physical facilities, drawings, wayfinding, potable water, electricity and their backups matched to the services it actually runs, available round the clock, and genuinely tested -- and how it records real initiatives toward an energy-efficient and environment-friendly hospital, rather than a certificate on a wall.</w:t>
      </w:r>
    </w:p>
    <w:p>
      <w:pPr>
        <w:pStyle w:val="Heading1"/>
      </w:pPr>
      <w:r>
        <w:t>2. Scope</w:t>
      </w:r>
    </w:p>
    <w:p>
      <w:r>
        <w:t>so everyone knows which building failure belongs here and which belongs to a different SOP -- that's what gets the right person responding fast, instead of a dry tap or a dark corridor being nobody's problem for an hour.</w:t>
      </w:r>
    </w:p>
    <w:p>
      <w:r>
        <w:t>Applies to every area of «Hospital Name» that depends on built space, potable water or electricity: clinical, diagnostic, utility, storage and staff areas alike. Does not cover medical and support-service equipment, medical gases, fire and non-fire emergency response, radiation signage, or biomedical-waste handling -- those remain their own SOPs. See Related SOPs.</w:t>
      </w:r>
    </w:p>
    <w:p>
      <w:pPr>
        <w:pStyle w:val="Heading1"/>
      </w:pPr>
      <w:r>
        <w:t>3. Responsibility</w:t>
      </w:r>
    </w:p>
    <w:p>
      <w:r>
        <w:t>a dark essential circuit or a dry clinical tap left unowned stays broken. Naming exactly who holds drawings, who watches utilities and who owns the backup tests is what gets it fixed before a patient is affected, not after.</w:t>
      </w:r>
    </w:p>
    <w:p>
      <w:r>
        <w:rPr>
          <w:b/>
        </w:rPr>
        <w:t xml:space="preserve">Head of the Institution: </w:t>
      </w:r>
      <w:r>
        <w:t>Is accountable that facilities actually operate as this SOP requires.</w:t>
      </w:r>
    </w:p>
    <w:p>
      <w:r>
        <w:rPr>
          <w:b/>
        </w:rPr>
        <w:t xml:space="preserve">Named Facilities/Engineering Lead: </w:t>
      </w:r>
      <w:r>
        <w:t>Holds drawings, utility availability and quality-test records, loaded backup-test records, and the energy-initiative file.</w:t>
      </w:r>
    </w:p>
    <w:p>
      <w:r>
        <w:rPr>
          <w:b/>
        </w:rPr>
        <w:t xml:space="preserve">Clinical Heads: </w:t>
      </w:r>
      <w:r>
        <w:t>Confirm that built space still matches the services their department actually runs.</w:t>
      </w:r>
    </w:p>
    <w:p>
      <w:r>
        <w:rPr>
          <w:b/>
        </w:rPr>
        <w:t xml:space="preserve">Quality/Accreditation Coordinator: </w:t>
      </w:r>
      <w:r>
        <w:t>Audits a sample of the records this SOP produces, at «Hospital to define» frequency, and flags a mismatch rather than filing it.</w:t>
      </w:r>
    </w:p>
    <w:p>
      <w:r>
        <w:rPr>
          <w:b/>
        </w:rPr>
        <w:t xml:space="preserve">All Staff: </w:t>
      </w:r>
      <w:r>
        <w:t>Treat a dark essential circuit, a dry clinical tap, a drawing that doesn't match the floor, or a green poster with no initiative behind it, as defects to report.</w:t>
      </w:r>
    </w:p>
    <w:p>
      <w:pPr>
        <w:pStyle w:val="Heading1"/>
      </w:pPr>
      <w:r>
        <w:t>4. What to do</w:t>
      </w:r>
    </w:p>
    <w:p>
      <w:pPr>
        <w:pStyle w:val="Heading2"/>
      </w:pPr>
      <w:r>
        <w:t>Keeping built space matched to what we actually treat</w:t>
      </w:r>
    </w:p>
    <w:p>
      <w:r>
        <w:t>A corridor pressed into service as a ward, or a sluice used as a sterile store, puts patients in a space that was never built to keep them safe. Matching the building to what we actually treat is what prevents that.</w:t>
      </w:r>
    </w:p>
    <w:p>
      <w:r>
        <w:t>Our service directory is the single source of what this hospital actually provides; this step is the built match to it -- waiting, clinical, diagnostic, utility, storage and staff space that can physically hold those services.</w:t>
      </w:r>
    </w:p>
    <w:p>
      <w:r>
        <w:t>«Hospital to define: how facilities and space are shown to be appropriate to the services actually offered.»</w:t>
      </w:r>
    </w:p>
    <w:p>
      <w:r>
        <w:t>A service not in the directory is a recorded absence here, not a gap to be explained away.</w:t>
      </w:r>
    </w:p>
    <w:p>
      <w:pPr>
        <w:pStyle w:val="Heading2"/>
      </w:pPr>
      <w:r>
        <w:t>Keeping building drawings current</w:t>
      </w:r>
    </w:p>
    <w:p>
      <w:r>
        <w:t>If a fire crew or a contractor is working from a drawing that doesn't match what was actually built, they can open the wrong panel or miss a wall that's no longer there. Current drawings are what keep that from happening.</w:t>
      </w:r>
    </w:p>
    <w:p>
      <w:r>
        <w:t>We keep one controlled, as-built set covering architectural, structural, electrical, plumbing, fire/detection and medical-gas drawings.</w:t>
      </w:r>
    </w:p>
    <w:p>
      <w:r>
        <w:t>«Hospital to define: how as-built drawings are kept current and who holds the controlled set.»</w:t>
      </w:r>
    </w:p>
    <w:p>
      <w:r>
        <w:t>The set is updated whenever the building or a major service run changes -- an update log, not a one-time filing.</w:t>
      </w:r>
    </w:p>
    <w:p>
      <w:pPr>
        <w:pStyle w:val="Heading2"/>
      </w:pPr>
      <w:r>
        <w:t>Signs people can actually read and follow</w:t>
      </w:r>
    </w:p>
    <w:p>
      <w:r>
        <w:t>A first-time family that can't find the entrance, registration, toilets or an exit -- in a language they actually read -- is lost in a building when they're already stressed. A sign nobody can read is a sign that was never posted.</w:t>
      </w:r>
    </w:p>
    <w:p>
      <w:r>
        <w:t>«Hospital to define: internal and external signage in the languages and scripts our actual patients need.»</w:t>
      </w:r>
    </w:p>
    <w:p>
      <w:r>
        <w:t>Signage is checked for faded, missing or contradictory signs on a set schedule.</w:t>
      </w:r>
    </w:p>
    <w:p>
      <w:pPr>
        <w:pStyle w:val="Heading2"/>
      </w:pPr>
      <w:r>
        <w:t>Water and power that stay on, day and night</w:t>
      </w:r>
    </w:p>
    <w:p>
      <w:r>
        <w:t>A roof tank that looks full on paper while the OT scrub sink is dry because a valve is shut, or a theatre going dark because a changeover never closed, is a patient-safety failure that happens at the exact moment someone needs water or power most -- often at 3am, not during the morning check.</w:t>
      </w:r>
    </w:p>
    <w:p>
      <w:r>
        <w:t>Points of use for drinking, clinical wash, kitchen, CSSD and dialysis (where we offer it) must actually deliver water on demand, day and night.</w:t>
      </w:r>
    </w:p>
    <w:p>
      <w:r>
        <w:t>«Hospital to define: potable-water quality-testing parameters, sample points and interval.» Where dialysis isn't offered, that's a recorded absence, not a gap.</w:t>
      </w:r>
    </w:p>
    <w:p>
      <w:r>
        <w:t>Essential clinical and life-safety circuits -- at minimum emergency, OT, labour, ICU/HDU, nursery and blood bank where present, ventilators and their compressors, emergency lighting, fire detection, and medical-gas plant alarms -- stay energised at all times.</w:t>
      </w:r>
    </w:p>
    <w:p>
      <w:r>
        <w:t>«Hospital to define: how round-the-clock availability is watched, recorded and restored,» covering night and holiday coverage, not only daytime checks.</w:t>
      </w:r>
    </w:p>
    <w:p>
      <w:pPr>
        <w:pStyle w:val="Heading2"/>
      </w:pPr>
      <w:r>
        <w:t>Backup power and water that are actually tested</w:t>
      </w:r>
    </w:p>
    <w:p>
      <w:r>
        <w:t>A weekly no-load crank proves the starter motor works, not that the generator will carry theatre, ICU and emergency lighting together when it's actually needed. A sealed tanker contract nobody has called at night is not a backup -- it's a promise.</w:t>
      </w:r>
    </w:p>
    <w:p>
      <w:r>
        <w:t>Alternate electricity is the source that carries our essential circuits when incoming supply fails: diesel generator, UPS/inverter for circuits that can't tolerate a start delay, and any automatic mains-failure changeover.</w:t>
      </w:r>
    </w:p>
    <w:p>
      <w:r>
        <w:t>«Hospital to define: the alternate-electricity source, essential-circuit list, loaded-test method and test frequency» -- a loaded test under the essential-circuit load, not the workshop socket.</w:t>
      </w:r>
    </w:p>
    <w:p>
      <w:r>
        <w:t>Alternate water is the source that actually moves water to points of use when the main supply fails: reserve tanks with working float valves, a second borewell if available, a tanker contract that can deliver at night, pumps that auto-start.</w:t>
      </w:r>
    </w:p>
    <w:p>
      <w:r>
        <w:t>«Hospital to define: the alternate-water source, the test that proves water actually moves, and the test frequency» -- a tank-to-tap movement record, not a sealed contract.</w:t>
      </w:r>
    </w:p>
    <w:p>
      <w:pPr>
        <w:pStyle w:val="Heading2"/>
      </w:pPr>
      <w:r>
        <w:t>Real energy and environment initiatives</w:t>
      </w:r>
    </w:p>
    <w:p>
      <w:r>
        <w:t>A filed electricity bill or a single LED retrofit offered as the whole programme doesn't actually reduce what this hospital consumes or throws away. A real initiative with a measured result is what makes this more than a poster on a wall.</w:t>
      </w:r>
    </w:p>
    <w:p>
      <w:r>
        <w:t>«Hospital to define: the energy-efficient and environment-friendly initiatives this hospital actually runs this year,» each with a named owner, a baseline, and a recorded result -- not a poster.</w:t>
      </w:r>
    </w:p>
    <w:p>
      <w:r>
        <w:t>Eligible initiatives include measured electricity or fuel use, lighting or HVAC set-back in non-clinical hours, solar if installed, rainwater or condensate reuse if installed, segregation of municipal (non-biomedical) waste, and reduction of single-use non-clinical materials.</w:t>
      </w:r>
    </w:p>
    <w:p>
      <w:r>
        <w:t>Shutting HVAC in clinical areas in the name of efficiency is not this -- that's the water-and-power item above failing instead.</w:t>
      </w:r>
    </w:p>
    <w:p>
      <w:pPr>
        <w:pStyle w:val="Heading1"/>
      </w:pPr>
      <w:r>
        <w:t>5. Records</w:t>
      </w:r>
    </w:p>
    <w:p>
      <w:r>
        <w:t>This SOP produces and maintains Records 1-6 (see the FMS.1 Records folder).</w:t>
      </w:r>
    </w:p>
    <w:p>
      <w:pPr>
        <w:pStyle w:val="Heading1"/>
      </w:pPr>
      <w:r>
        <w:t>6. Related SOPs</w:t>
      </w:r>
    </w:p>
    <w:p>
      <w:pPr>
        <w:pStyle w:val="ListParagraph"/>
      </w:pPr>
      <w:r>
        <w:t>Hospital's Service Directory (AAC.1)</w:t>
      </w:r>
    </w:p>
    <w:p>
      <w:pPr>
        <w:pStyle w:val="ListParagraph"/>
      </w:pPr>
      <w:r>
        <w:t>Radiation/PC-PNDT Signage Policy (AAC.6.e)</w:t>
      </w:r>
    </w:p>
    <w:p>
      <w:pPr>
        <w:pStyle w:val="ListParagraph"/>
      </w:pPr>
      <w:r>
        <w:t>Medical and Support-Service Equipment Programme (FMS.3)</w:t>
      </w:r>
    </w:p>
    <w:p>
      <w:pPr>
        <w:pStyle w:val="ListParagraph"/>
      </w:pPr>
      <w:r>
        <w:t>Medical Gases, Vacuum and Compressed Air SOP (FMS.4)</w:t>
      </w:r>
    </w:p>
    <w:p>
      <w:pPr>
        <w:pStyle w:val="ListParagraph"/>
      </w:pPr>
      <w:r>
        <w:t>Fire and Non-Fire Emergencies SOP (FMS.5)</w:t>
      </w:r>
    </w:p>
    <w:p>
      <w:pPr>
        <w:pStyle w:val="ListParagraph"/>
      </w:pPr>
      <w:r>
        <w:t>Support-Services Infection-Control Policy (HIC.3)</w:t>
      </w:r>
    </w:p>
    <w:p>
      <w:pPr>
        <w:pStyle w:val="Heading1"/>
      </w:pPr>
      <w:r>
        <w:t>7. Review</w:t>
      </w:r>
    </w:p>
    <w:p>
      <w:r>
        <w:t>This SOP is reviewed annually, or sooner if a loaded backup test fails, if the service directory changes, or if a related SOP listed above is updated.</w:t>
      </w:r>
    </w:p>
    <w:p>
      <w:r>
        <w:br w:type="page"/>
      </w:r>
    </w:p>
    <w:p>
      <w:pPr>
        <w:pStyle w:val="Heading1"/>
      </w:pPr>
      <w:r>
        <w:t>Appendix — NABH Standard Cross-Reference and Evidence Basis</w:t>
      </w:r>
    </w:p>
    <w:p>
      <w:r>
        <w:t>For the Quality Coordinator and NABH assessment use only. The reasoning and real-world triggers for each requirement are already in the body above -- this appendix adds only what the body deliberately leaves out: the exact objective-element code, how this SOP's scope is kept separate from neighbouring standards, and the verified technical source for anything cited.</w:t>
      </w:r>
    </w:p>
    <w:p>
      <w:pPr>
        <w:pStyle w:val="Heading2"/>
      </w:pPr>
      <w:r>
        <w:t>Keeping built space matched to what we actually treat — FMS.1.a</w:t>
      </w:r>
    </w:p>
    <w:p>
      <w:r>
        <w:rPr>
          <w:i/>
        </w:rPr>
        <w:t>Boundary with other standards:</w:t>
      </w:r>
    </w:p>
    <w:p>
      <w:pPr>
        <w:pStyle w:val="ListParagraph"/>
      </w:pPr>
      <w:r>
        <w:t>• The AAC.1 service directory is the single source of truth this step is matched against.</w:t>
      </w:r>
    </w:p>
    <w:p>
      <w:r>
        <w:rPr>
          <w:i/>
        </w:rPr>
        <w:t>Verified source(s):</w:t>
      </w:r>
    </w:p>
    <w:p>
      <w:pPr>
        <w:pStyle w:val="ListParagraph"/>
      </w:pPr>
      <w:r>
        <w:t xml:space="preserve">• </w:t>
      </w:r>
      <w:r>
        <w:t xml:space="preserve">National Health Mission. (2022). </w:t>
      </w:r>
      <w:hyperlink r:id="rId9">
        <w:r>
          <w:rPr>
            <w:color w:val="0563C1"/>
            <w:u w:val="single"/>
          </w:rPr>
          <w:t>Indian Public Health Standards</w:t>
        </w:r>
      </w:hyperlink>
      <w:r>
        <w:t>.</w:t>
      </w:r>
    </w:p>
    <w:p>
      <w:pPr>
        <w:pStyle w:val="ListParagraph"/>
      </w:pPr>
      <w:r>
        <w:t xml:space="preserve">• </w:t>
      </w:r>
      <w:r>
        <w:t xml:space="preserve">Bureau of Indian Standards. (2016). </w:t>
      </w:r>
      <w:hyperlink r:id="rId10">
        <w:r>
          <w:rPr>
            <w:color w:val="0563C1"/>
            <w:u w:val="single"/>
          </w:rPr>
          <w:t>National Building Code of India, 2016</w:t>
        </w:r>
      </w:hyperlink>
      <w:r>
        <w:t>.</w:t>
      </w:r>
    </w:p>
    <w:p>
      <w:pPr>
        <w:pStyle w:val="Heading2"/>
      </w:pPr>
      <w:r>
        <w:t>Keeping building drawings current — FMS.1.b</w:t>
      </w:r>
    </w:p>
    <w:p>
      <w:r>
        <w:rPr>
          <w:i/>
        </w:rPr>
        <w:t>Boundary with other standards:</w:t>
      </w:r>
    </w:p>
    <w:p>
      <w:pPr>
        <w:pStyle w:val="ListParagraph"/>
      </w:pPr>
      <w:r>
        <w:t>• Named facilities lead holds the controlled set; FMS.4 and FMS.5 are users of specific sheets, not second masters of this record.</w:t>
      </w:r>
    </w:p>
    <w:p>
      <w:r>
        <w:rPr>
          <w:i/>
        </w:rPr>
        <w:t>Verified source(s):</w:t>
      </w:r>
    </w:p>
    <w:p>
      <w:pPr>
        <w:pStyle w:val="ListParagraph"/>
      </w:pPr>
      <w:r>
        <w:t xml:space="preserve">• </w:t>
      </w:r>
      <w:r>
        <w:t xml:space="preserve">Bureau of Indian Standards. (2016). </w:t>
      </w:r>
      <w:hyperlink r:id="rId10">
        <w:r>
          <w:rPr>
            <w:color w:val="0563C1"/>
            <w:u w:val="single"/>
          </w:rPr>
          <w:t>National Building Code of India, 2016</w:t>
        </w:r>
      </w:hyperlink>
      <w:r>
        <w:t>.</w:t>
      </w:r>
    </w:p>
    <w:p>
      <w:pPr>
        <w:pStyle w:val="Heading2"/>
      </w:pPr>
      <w:r>
        <w:t>Signs people can actually read and follow — FMS.1.c</w:t>
      </w:r>
    </w:p>
    <w:p>
      <w:r>
        <w:rPr>
          <w:i/>
        </w:rPr>
        <w:t>Boundary with other standards:</w:t>
      </w:r>
    </w:p>
    <w:p>
      <w:pPr>
        <w:pStyle w:val="ListParagraph"/>
      </w:pPr>
      <w:r>
        <w:t>• Radiation/PC-PNDT signage and emergency exit displays are separate documents; this step must be consistent with both but doesn't duplicate or replace either.</w:t>
      </w:r>
    </w:p>
    <w:p>
      <w:pPr>
        <w:pStyle w:val="Heading2"/>
      </w:pPr>
      <w:r>
        <w:t>Water and power that stay on, day and night — FMS.1.d (Core)</w:t>
      </w:r>
    </w:p>
    <w:p>
      <w:r>
        <w:rPr>
          <w:i/>
        </w:rPr>
        <w:t>Boundary with other standards:</w:t>
      </w:r>
    </w:p>
    <w:p>
      <w:pPr>
        <w:pStyle w:val="ListParagraph"/>
      </w:pPr>
      <w:r>
        <w:t>• Kitchen water is owned by HIC.3 and used here only as a utility point; dialysis water follows the haemodialysis-water framework.</w:t>
      </w:r>
    </w:p>
    <w:p>
      <w:pPr>
        <w:pStyle w:val="ListParagraph"/>
      </w:pPr>
      <w:r>
        <w:t>• Fire detection (FMS.5) and medical-gas plant/manifold alarms (FMS.4) are named here as essential circuits, not restated as this step's own programme.</w:t>
      </w:r>
    </w:p>
    <w:p>
      <w:r>
        <w:rPr>
          <w:i/>
        </w:rPr>
        <w:t>Verified source(s):</w:t>
      </w:r>
    </w:p>
    <w:p>
      <w:pPr>
        <w:pStyle w:val="ListParagraph"/>
      </w:pPr>
      <w:r>
        <w:t xml:space="preserve">• </w:t>
      </w:r>
      <w:r>
        <w:t xml:space="preserve">World Health Organization. (2011). </w:t>
      </w:r>
      <w:hyperlink r:id="rId11">
        <w:r>
          <w:rPr>
            <w:color w:val="0563C1"/>
            <w:u w:val="single"/>
          </w:rPr>
          <w:t>Guidelines for Drinking-water Quality (4th ed.)</w:t>
        </w:r>
      </w:hyperlink>
      <w:r>
        <w:t>.</w:t>
      </w:r>
    </w:p>
    <w:p>
      <w:pPr>
        <w:pStyle w:val="ListParagraph"/>
      </w:pPr>
      <w:r>
        <w:t xml:space="preserve">• </w:t>
      </w:r>
      <w:r>
        <w:t xml:space="preserve">Coulliette, A. D., &amp; Arduino, M. J. (2013). </w:t>
      </w:r>
      <w:hyperlink r:id="rId12">
        <w:r>
          <w:rPr>
            <w:color w:val="0563C1"/>
            <w:u w:val="single"/>
          </w:rPr>
          <w:t>Hemodialysis and water quality</w:t>
        </w:r>
      </w:hyperlink>
      <w:r>
        <w:t>. Seminars in Dialysis, 26(4), 427-438.</w:t>
      </w:r>
    </w:p>
    <w:p>
      <w:pPr>
        <w:pStyle w:val="Heading2"/>
      </w:pPr>
      <w:r>
        <w:t>Backup power and water that are actually tested — FMS.1.e</w:t>
      </w:r>
    </w:p>
    <w:p>
      <w:r>
        <w:rPr>
          <w:i/>
        </w:rPr>
        <w:t>Boundary with other standards:</w:t>
      </w:r>
    </w:p>
    <w:p>
      <w:pPr>
        <w:pStyle w:val="ListParagraph"/>
      </w:pPr>
      <w:r>
        <w:t>• A utility failure that becomes a declared emergency is handed to FMS.5; this step is the test that happens before that night, not the emergency response itself.</w:t>
      </w:r>
    </w:p>
    <w:p>
      <w:r>
        <w:rPr>
          <w:i/>
        </w:rPr>
        <w:t>Verified source(s):</w:t>
      </w:r>
    </w:p>
    <w:p>
      <w:pPr>
        <w:pStyle w:val="ListParagraph"/>
      </w:pPr>
      <w:r>
        <w:t xml:space="preserve">• </w:t>
      </w:r>
      <w:r>
        <w:t xml:space="preserve">Bureau of Indian Standards. (2016). </w:t>
      </w:r>
      <w:hyperlink r:id="rId10">
        <w:r>
          <w:rPr>
            <w:color w:val="0563C1"/>
            <w:u w:val="single"/>
          </w:rPr>
          <w:t>National Building Code of India, 2016</w:t>
        </w:r>
      </w:hyperlink>
      <w:r>
        <w:t xml:space="preserve"> (as the framework pointing to IS 732 wiring practice and IS 3043 earthing).</w:t>
      </w:r>
    </w:p>
    <w:p>
      <w:pPr>
        <w:pStyle w:val="Heading2"/>
      </w:pPr>
      <w:r>
        <w:t>Real energy and environment initiatives — FMS.1.f (Excellence, ASTERISKED)</w:t>
      </w:r>
    </w:p>
    <w:p>
      <w:r>
        <w:rPr>
          <w:i/>
        </w:rPr>
        <w:t>Boundary with other standards:</w:t>
      </w:r>
    </w:p>
    <w:p>
      <w:pPr>
        <w:pStyle w:val="ListParagraph"/>
      </w:pPr>
      <w:r>
        <w:t>• Biomedical-waste colour coding, transport and SPCB compliance remain HIC.3's; this step doesn't restate or duplicate that SOP.</w:t>
      </w:r>
    </w:p>
    <w:p>
      <w:r>
        <w:rPr>
          <w:i/>
        </w:rPr>
        <w:t>Verified source(s):</w:t>
      </w:r>
    </w:p>
    <w:p>
      <w:pPr>
        <w:pStyle w:val="ListParagraph"/>
      </w:pPr>
      <w:r>
        <w:t xml:space="preserve">• </w:t>
      </w:r>
      <w:r>
        <w:t xml:space="preserve">Dhillon, V. S., &amp; Kaur, D. (2015). </w:t>
      </w:r>
      <w:hyperlink r:id="rId13">
        <w:r>
          <w:rPr>
            <w:color w:val="0563C1"/>
            <w:u w:val="single"/>
          </w:rPr>
          <w:t>Green hospital and climate change: Their interrelationship and the way forward</w:t>
        </w:r>
      </w:hyperlink>
      <w:r>
        <w:t>. Journal of Clinical and Diagnostic Research.</w:t>
      </w:r>
    </w:p>
    <w:p>
      <w:pPr>
        <w:pStyle w:val="Heading2"/>
      </w:pPr>
      <w:r>
        <w:t>Full reference list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14">
        <w:r>
          <w:rPr>
            <w:color w:val="0563C1"/>
            <w:u w:val="single"/>
          </w:rPr>
          <w:t>NABH SHCO Accreditation Programme page</w:t>
        </w:r>
      </w:hyperlink>
      <w:r>
        <w:t>. Facility Management and Safety chapter, standard FMS.1.</w:t>
      </w:r>
    </w:p>
    <w:p>
      <w:pPr>
        <w:pStyle w:val="ListParagraph"/>
      </w:pPr>
      <w:r>
        <w:t xml:space="preserve">• </w:t>
      </w:r>
      <w:r>
        <w:t xml:space="preserve">Bureau of Indian Standards. (2016). </w:t>
      </w:r>
      <w:hyperlink r:id="rId10">
        <w:r>
          <w:rPr>
            <w:color w:val="0563C1"/>
            <w:u w:val="single"/>
          </w:rPr>
          <w:t>National Building Code of India, 2016</w:t>
        </w:r>
      </w:hyperlink>
      <w:r>
        <w:t>. Occupancy, means-of-egress and services-drawing framework as applied by the local building and fire authority; not a universal mandate.</w:t>
      </w:r>
    </w:p>
    <w:p>
      <w:pPr>
        <w:pStyle w:val="ListParagraph"/>
      </w:pPr>
      <w:r>
        <w:t xml:space="preserve">• </w:t>
      </w:r>
      <w:r>
        <w:t xml:space="preserve">World Health Organization. (2011). </w:t>
      </w:r>
      <w:hyperlink r:id="rId11">
        <w:r>
          <w:rPr>
            <w:color w:val="0563C1"/>
            <w:u w:val="single"/>
          </w:rPr>
          <w:t>Guidelines for Drinking-water Quality (4th ed.)</w:t>
        </w:r>
      </w:hyperlink>
      <w:r>
        <w:t>. Potable-water quality-testing framework, not a pasted protocol or a NABH interval.</w:t>
      </w:r>
    </w:p>
    <w:p>
      <w:pPr>
        <w:pStyle w:val="ListParagraph"/>
      </w:pPr>
      <w:r>
        <w:t xml:space="preserve">• </w:t>
      </w:r>
      <w:r>
        <w:t xml:space="preserve">Coulliette, A. D., &amp; Arduino, M. J. (2013). </w:t>
      </w:r>
      <w:hyperlink r:id="rId12">
        <w:r>
          <w:rPr>
            <w:color w:val="0563C1"/>
            <w:u w:val="single"/>
          </w:rPr>
          <w:t>Hemodialysis and water quality</w:t>
        </w:r>
      </w:hyperlink>
      <w:r>
        <w:t>. Seminars in Dialysis, 26(4), 427-438. Dialysis-water framework, used only where dialysis is a service this hospital provides.</w:t>
      </w:r>
    </w:p>
    <w:p>
      <w:pPr>
        <w:pStyle w:val="ListParagraph"/>
      </w:pPr>
      <w:r>
        <w:t xml:space="preserve">• </w:t>
      </w:r>
      <w:r>
        <w:t xml:space="preserve">Dhillon, V. S., &amp; Kaur, D. (2015). </w:t>
      </w:r>
      <w:hyperlink r:id="rId13">
        <w:r>
          <w:rPr>
            <w:color w:val="0563C1"/>
            <w:u w:val="single"/>
          </w:rPr>
          <w:t>Green hospital and climate change: Their interrelationship and the way forward</w:t>
        </w:r>
      </w:hyperlink>
      <w:r>
        <w:t>. Journal of Clinical and Diagnostic Research. Energy-efficiency framework, not a named green-building rating mandate.</w:t>
      </w:r>
    </w:p>
    <w:p>
      <w:pPr>
        <w:pStyle w:val="ListParagraph"/>
      </w:pPr>
      <w:r>
        <w:t xml:space="preserve">• </w:t>
      </w:r>
      <w:r>
        <w:t xml:space="preserve">National Health Mission. (2022). </w:t>
      </w:r>
      <w:hyperlink r:id="rId9">
        <w:r>
          <w:rPr>
            <w:color w:val="0563C1"/>
            <w:u w:val="single"/>
          </w:rPr>
          <w:t>Indian Public Health Standards</w:t>
        </w:r>
      </w:hyperlink>
      <w:r>
        <w:t>. Space-planning framework, not a NABH bed-count mandate.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hsrcindia.org/sites/default/files/CHC%20IPHS%202022%20Guidelines%20pdf.pdf" TargetMode="External"/><Relationship Id="rId10" Type="http://schemas.openxmlformats.org/officeDocument/2006/relationships/hyperlink" Target="https://bis.gov.in/others/national-building-code/" TargetMode="External"/><Relationship Id="rId11" Type="http://schemas.openxmlformats.org/officeDocument/2006/relationships/hyperlink" Target="https://www.who.int/publications/i/item/9789241548151" TargetMode="External"/><Relationship Id="rId12" Type="http://schemas.openxmlformats.org/officeDocument/2006/relationships/hyperlink" Target="https://stacks.cdc.gov/view/cdc/34845/cdc_34845_DS1.pdf" TargetMode="External"/><Relationship Id="rId13" Type="http://schemas.openxmlformats.org/officeDocument/2006/relationships/hyperlink" Target="https://www.jcdr.net/ReadXMLFile.aspx?id=6942" TargetMode="External"/><Relationship Id="rId14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