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555"/>
          <w:sz w:val="20"/>
        </w:rPr>
        <w:t>IPC.5.a — CAUTI prevention bundle</w:t>
      </w:r>
    </w:p>
    <w:p>
      <w:r>
        <w:rPr>
          <w:b/>
          <w:sz w:val="30"/>
        </w:rPr>
        <w:t>IPC.5 Record 1 — CAUTI prevention bundle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What is this record, in plain terms?</w:t>
            </w:r>
          </w:p>
          <w:p>
            <w:r>
              <w:rPr>
                <w:sz w:val="20"/>
              </w:rPr>
              <w:t>CAUTI stands for Catheter-Associated Urinary Tract Infection — a bladder/urine infection that develops because of a urinary catheter left in a patient. This record is where you keep the proof for: “Documented CAUTI-prevention care bundle.” — the specific evidence element IPC.5.a of this policy asks for. Every time this activity actually happens, whoever did it adds one new row below with: Date, Patient / UHID, Bundle Element Checked, Compliant (Y/N), Deviation Reason (if N), Action Taken. A worked example row is already filled in (shaded) below the header, so you can see exactly what a completed real entry looks like — don't leave that example row mixed in with real data once you start using this record.</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A real example of when you'd use this</w:t>
            </w:r>
          </w:p>
          <w:p>
            <w:r>
              <w:rPr>
                <w:sz w:val="20"/>
              </w:rPr>
              <w:t>The bedside nurse logs a new row the moment a real catheterised patient's bundle compliance is actually checked. The worked example below shows a real entry: on 10-Jan-2026, patient / uhid was “UHID 20456”, bundle element checked was “Catheter necessity re-assessed daily”, compliant (y/n) was “Y”.</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NABH ask for this?</w:t>
            </w:r>
          </w:p>
          <w:p>
            <w:r>
              <w:rPr>
                <w:sz w:val="20"/>
              </w:rPr>
              <w:t>CAUTI is one of the most common and most preventable device-related infections, but only when a defined bundle of steps — catheter necessity reviewed daily, aseptic insertion, closed drainage — is followed every single time, not most of the time. This record proves the bundle is actually being followed at the bedside, and that the resulting CAUTI rate is tracked so the hospital knows if it's genuinely working. NABH checks this as part of how a functioning IPC programme actually runs day to day.</w:t>
            </w:r>
          </w:p>
        </w:tc>
      </w:tr>
    </w:tbl>
    <w:p/>
    <w:p>
      <w:r>
        <w:rPr>
          <w:b/>
          <w:sz w:val="22"/>
        </w:rPr>
        <w:t>How to fill this in — column by column</w:t>
      </w:r>
    </w:p>
    <w:p>
      <w:pPr>
        <w:pStyle w:val="ListParagraph"/>
      </w:pPr>
      <w:r>
        <w:rPr>
          <w:b/>
        </w:rPr>
        <w:t xml:space="preserve">Date: </w:t>
      </w:r>
      <w:r>
        <w:t>Date of the check.</w:t>
      </w:r>
    </w:p>
    <w:p>
      <w:pPr>
        <w:pStyle w:val="ListParagraph"/>
      </w:pPr>
      <w:r>
        <w:rPr>
          <w:b/>
        </w:rPr>
        <w:t xml:space="preserve">Patient / UHID: </w:t>
      </w:r>
      <w:r>
        <w:t>The patient's UHID or name.</w:t>
      </w:r>
    </w:p>
    <w:p>
      <w:pPr>
        <w:pStyle w:val="ListParagraph"/>
      </w:pPr>
      <w:r>
        <w:rPr>
          <w:b/>
        </w:rPr>
        <w:t xml:space="preserve">Bundle Element Checked: </w:t>
      </w:r>
      <w:r>
        <w:t>Which specific element of the prevention bundle this row checks — name it exactly, don't write 'bundle compliance' generically.</w:t>
      </w:r>
    </w:p>
    <w:p>
      <w:pPr>
        <w:pStyle w:val="ListParagraph"/>
      </w:pPr>
      <w:r>
        <w:rPr>
          <w:b/>
        </w:rPr>
        <w:t xml:space="preserve">Compliant (Y/N): </w:t>
      </w:r>
      <w:r>
        <w:t>Y or N.</w:t>
      </w:r>
    </w:p>
    <w:p>
      <w:pPr>
        <w:pStyle w:val="ListParagraph"/>
      </w:pPr>
      <w:r>
        <w:rPr>
          <w:b/>
        </w:rPr>
        <w:t xml:space="preserve">Deviation Reason (if N): </w:t>
      </w:r>
      <w:r>
        <w:t>If N, why it wasn't followed.</w:t>
      </w:r>
    </w:p>
    <w:p>
      <w:pPr>
        <w:pStyle w:val="ListParagraph"/>
      </w:pPr>
      <w:r>
        <w:rPr>
          <w:b/>
        </w:rPr>
        <w:t xml:space="preserve">Action Taken: </w:t>
      </w:r>
      <w:r>
        <w:t>What was done about it.</w:t>
      </w:r>
    </w:p>
    <w:p>
      <w:r>
        <w:rPr>
          <w:b/>
          <w:sz w:val="18"/>
        </w:rP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13"/>
        <w:gridCol w:w="1613"/>
        <w:gridCol w:w="1613"/>
        <w:gridCol w:w="1613"/>
        <w:gridCol w:w="1613"/>
        <w:gridCol w:w="1613"/>
      </w:tblGrid>
      <w:tr>
        <w:tc>
          <w:tcPr>
            <w:tcW w:type="dxa" w:w="1613"/>
            <w:shd w:val="clear" w:fill="D9E2F3"/>
          </w:tcPr>
          <w:p>
            <w:r/>
            <w:r>
              <w:rPr>
                <w:b/>
                <w:sz w:val="20"/>
              </w:rPr>
              <w:t>Date</w:t>
            </w:r>
          </w:p>
        </w:tc>
        <w:tc>
          <w:tcPr>
            <w:tcW w:type="dxa" w:w="1613"/>
            <w:shd w:val="clear" w:fill="D9E2F3"/>
          </w:tcPr>
          <w:p>
            <w:r/>
            <w:r>
              <w:rPr>
                <w:b/>
                <w:sz w:val="20"/>
              </w:rPr>
              <w:t>Patient / UHID</w:t>
            </w:r>
          </w:p>
        </w:tc>
        <w:tc>
          <w:tcPr>
            <w:tcW w:type="dxa" w:w="1613"/>
            <w:shd w:val="clear" w:fill="D9E2F3"/>
          </w:tcPr>
          <w:p>
            <w:r/>
            <w:r>
              <w:rPr>
                <w:b/>
                <w:sz w:val="20"/>
              </w:rPr>
              <w:t>Bundle Element Checked</w:t>
            </w:r>
          </w:p>
        </w:tc>
        <w:tc>
          <w:tcPr>
            <w:tcW w:type="dxa" w:w="1613"/>
            <w:shd w:val="clear" w:fill="D9E2F3"/>
          </w:tcPr>
          <w:p>
            <w:r/>
            <w:r>
              <w:rPr>
                <w:b/>
                <w:sz w:val="20"/>
              </w:rPr>
              <w:t>Compliant (Y/N)</w:t>
            </w:r>
          </w:p>
        </w:tc>
        <w:tc>
          <w:tcPr>
            <w:tcW w:type="dxa" w:w="1613"/>
            <w:shd w:val="clear" w:fill="D9E2F3"/>
          </w:tcPr>
          <w:p>
            <w:r/>
            <w:r>
              <w:rPr>
                <w:b/>
                <w:sz w:val="20"/>
              </w:rPr>
              <w:t>Deviation Reason (if N)</w:t>
            </w:r>
          </w:p>
        </w:tc>
        <w:tc>
          <w:tcPr>
            <w:tcW w:type="dxa" w:w="1613"/>
            <w:shd w:val="clear" w:fill="D9E2F3"/>
          </w:tcPr>
          <w:p>
            <w:r/>
            <w:r>
              <w:rPr>
                <w:b/>
                <w:sz w:val="20"/>
              </w:rPr>
              <w:t>Action Taken</w:t>
            </w:r>
          </w:p>
        </w:tc>
      </w:tr>
      <w:tr>
        <w:tc>
          <w:tcPr>
            <w:tcW w:type="dxa" w:w="9678"/>
            <w:gridSpan w:val="6"/>
            <w:shd w:val="clear" w:fill="FFF2CC"/>
          </w:tcPr>
          <w:p>
            <w:r/>
            <w:r>
              <w:rPr>
                <w:b/>
                <w:sz w:val="18"/>
              </w:rPr>
              <w:t>WORKED EXAMPLE — TRAINING ONLY — NOT AN ACTUAL HOSPITAL RECORD</w:t>
            </w:r>
          </w:p>
        </w:tc>
      </w:tr>
      <w:tr>
        <w:tc>
          <w:tcPr>
            <w:tcW w:type="dxa" w:w="1613"/>
            <w:shd w:val="clear" w:fill="FFF2CC"/>
          </w:tcPr>
          <w:p>
            <w:r/>
            <w:r>
              <w:rPr>
                <w:b w:val="0"/>
                <w:sz w:val="20"/>
              </w:rPr>
              <w:t>10-Jan-2026</w:t>
            </w:r>
          </w:p>
        </w:tc>
        <w:tc>
          <w:tcPr>
            <w:tcW w:type="dxa" w:w="1613"/>
            <w:shd w:val="clear" w:fill="FFF2CC"/>
          </w:tcPr>
          <w:p>
            <w:r/>
            <w:r>
              <w:rPr>
                <w:b w:val="0"/>
                <w:sz w:val="20"/>
              </w:rPr>
              <w:t>UHID 20456</w:t>
            </w:r>
          </w:p>
        </w:tc>
        <w:tc>
          <w:tcPr>
            <w:tcW w:type="dxa" w:w="1613"/>
            <w:shd w:val="clear" w:fill="FFF2CC"/>
          </w:tcPr>
          <w:p>
            <w:r/>
            <w:r>
              <w:rPr>
                <w:b w:val="0"/>
                <w:sz w:val="20"/>
              </w:rPr>
              <w:t>Catheter necessity re-assessed daily</w:t>
            </w:r>
          </w:p>
        </w:tc>
        <w:tc>
          <w:tcPr>
            <w:tcW w:type="dxa" w:w="1613"/>
            <w:shd w:val="clear" w:fill="FFF2CC"/>
          </w:tcPr>
          <w:p>
            <w:r/>
            <w:r>
              <w:rPr>
                <w:b w:val="0"/>
                <w:sz w:val="20"/>
              </w:rPr>
              <w:t>Y</w:t>
            </w:r>
          </w:p>
        </w:tc>
        <w:tc>
          <w:tcPr>
            <w:tcW w:type="dxa" w:w="1613"/>
            <w:shd w:val="clear" w:fill="FFF2CC"/>
          </w:tcPr>
          <w:p>
            <w:r/>
            <w:r>
              <w:rPr>
                <w:b w:val="0"/>
                <w:sz w:val="20"/>
              </w:rPr>
              <w:t>—</w:t>
            </w:r>
          </w:p>
        </w:tc>
        <w:tc>
          <w:tcPr>
            <w:tcW w:type="dxa" w:w="1613"/>
            <w:shd w:val="clear" w:fill="FFF2CC"/>
          </w:tcPr>
          <w:p>
            <w:r/>
            <w:r>
              <w:rPr>
                <w:b w:val="0"/>
                <w:sz w:val="20"/>
              </w:rPr>
              <w:t>—</w:t>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r>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c>
          <w:tcPr>
            <w:tcW w:type="dxa" w:w="1613"/>
          </w:tcPr>
          <w:p>
            <w:r/>
            <w:r>
              <w:rPr>
                <w:b w:val="0"/>
                <w:sz w:val="20"/>
              </w:rPr>
            </w:r>
          </w:p>
        </w:tc>
      </w:tr>
    </w:tbl>
    <w:p/>
    <w:p>
      <w:r>
        <w:rPr>
          <w:b/>
          <w:sz w:val="22"/>
        </w:rPr>
        <w:t>Where this requirement comes from (verified, clickable sources)</w:t>
      </w:r>
    </w:p>
    <w:p>
      <w:pPr>
        <w:pStyle w:val="ListParagraph"/>
      </w:pPr>
      <w:r>
        <w:rPr>
          <w:i/>
        </w:rPr>
        <w:t>NABH — Accreditation Standards for Hospitals, 6th Edition, IPC.5 — named source, no working link could be verified from here; check directly.</w:t>
      </w:r>
    </w:p>
    <w:p>
      <w:pPr>
        <w:pStyle w:val="ListParagraph"/>
      </w:pPr>
      <w:hyperlink r:id="rId9">
        <w:r>
          <w:rPr>
            <w:color w:val="0563C1"/>
            <w:u w:val="single"/>
          </w:rPr>
          <w:t>Centers for Disease Control and Prevention — Core Infection Prevention and Control Practices, reference list (with SHEA and WHO alignment)</w:t>
        </w:r>
      </w:hyperlink>
    </w:p>
    <w:p>
      <w:pPr>
        <w:pStyle w:val="ListParagraph"/>
      </w:pPr>
      <w:hyperlink r:id="rId10">
        <w:r>
          <w:rPr>
            <w:color w:val="0563C1"/>
            <w:u w:val="single"/>
          </w:rPr>
          <w:t>World Health Organization (2022) — The WHO AWaRe (Access, Watch, Reserve) Antibiotic Book</w:t>
        </w:r>
      </w:hyperlink>
    </w:p>
    <w:p>
      <w:pPr>
        <w:pStyle w:val="ListParagraph"/>
      </w:pPr>
      <w:r>
        <w:t>Hospital Infection Society India (HISI) guidelines — named source, applicable Indian reference alongside CDC/WHO/SHEA; check directly.</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0062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