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PSQ.6 — Safety culture</w:t>
      </w:r>
    </w:p>
    <w:p>
      <w:r>
        <w:rPr>
          <w:b/>
          <w:sz w:val="30"/>
        </w:rPr>
        <w:t>PSQ.6 Record 1 — Safety culture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Safety culture means how much staff at every level actually believe that raising a safety concern is welcomed, not punished — measured by survey, not assumed. This record is where you keep the proof for: “Validated safety-culture survey used at least once a year — for example MaPSaF, Safety Attitudes Questionnaire, AHRQ SOPS, or any other validated tool, including one developed for the Indian hospital context; NABH does not mandate a specific tool.” — the specific evidence element Safety culture of this policy asks for. Every time this activity actually happens, whoever did it adds one new row below with: Survey Date, Tool Used, Response Rate, Key Result/Score, Management Action Taken.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the annual safety-culture survey is run, its results are reviewed, or safety-promoting materials are used. The worked example below shows a real entry: on 01-Mar-2026, tool used was “AHRQ Surveys on Patient Safety Culture (SOPS)”, response rate was “78%”, key result/score was “Teamwork domain: 72% positive; Reporting domain: 58% positive” — so management action taken was “Reporting-culture workshop scheduled for all wards”.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assume staff feel safe raising concerns without ever having asked — this record proves a validated survey was actually run at least yearly, that its results led to real management action, and that real materials are actively promoting open reporting and a blame-free culture.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Survey Date: </w:t>
      </w:r>
      <w:r>
        <w:t>Date the survey was run.</w:t>
      </w:r>
    </w:p>
    <w:p>
      <w:pPr>
        <w:pStyle w:val="ListParagraph"/>
      </w:pPr>
      <w:r>
        <w:rPr>
          <w:b/>
        </w:rPr>
        <w:t xml:space="preserve">Tool Used: </w:t>
      </w:r>
      <w:r>
        <w:t>Name the actual validated tool used.</w:t>
      </w:r>
    </w:p>
    <w:p>
      <w:pPr>
        <w:pStyle w:val="ListParagraph"/>
      </w:pPr>
      <w:r>
        <w:rPr>
          <w:b/>
        </w:rPr>
        <w:t xml:space="preserve">Response Rate: </w:t>
      </w:r>
      <w:r>
        <w:t>What proportion of staff actually responded.</w:t>
      </w:r>
    </w:p>
    <w:p>
      <w:pPr>
        <w:pStyle w:val="ListParagraph"/>
      </w:pPr>
      <w:r>
        <w:rPr>
          <w:b/>
        </w:rPr>
        <w:t xml:space="preserve">Key Result/Score: </w:t>
      </w:r>
      <w:r>
        <w:t>The key scores or domains that came out of it.</w:t>
      </w:r>
    </w:p>
    <w:p>
      <w:pPr>
        <w:pStyle w:val="ListParagraph"/>
      </w:pPr>
      <w:r>
        <w:rPr>
          <w:b/>
        </w:rPr>
        <w:t xml:space="preserve">Management Action Taken: </w:t>
      </w:r>
      <w:r>
        <w:t>What management actually did in response — don't leave this blank; a survey with no follow-up action is the gap NABH is checking for.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Survey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Response Rate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Result/Score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Management 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AHRQ Surveys on Patient Safety Culture (SOPS)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78%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Teamwork domain: 72% positive; Reporting domain: 58% positive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Reporting-culture workshop scheduled for all wards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PSQ.6 — named source, no working link could be verified from here; check directly.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Agency for Healthcare Research and Quality (2019) — Surveys on Patient Safety Culture (SOPS) Hospital Survey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Sexton, Helmreich et al. (2006) — The Safety Attitudes Questionnaire: Psychometric Properties, Benchmarking Data and Emerging Research, BMC Health Services Research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University of Manchester (2006) — Manchester Patient Safety Framework (MaPSaF)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hrq.gov/sops/surveys/hospital/" TargetMode="External"/><Relationship Id="rId10" Type="http://schemas.openxmlformats.org/officeDocument/2006/relationships/hyperlink" Target="https://doi.org/10.1186/1472-6963-6-44" TargetMode="External"/><Relationship Id="rId11" Type="http://schemas.openxmlformats.org/officeDocument/2006/relationships/hyperlink" Target="https://psnet.ahrq.gov/issue/manchester-patient-safety-framework-maps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