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COP.10.h — Intra-operative adverse anaesthesia events recorded and monitored</w:t>
      </w:r>
    </w:p>
    <w:p>
      <w:r>
        <w:t>COP.10 Record 8 — Intra-operative adverse anaesthesia event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of the event.</w:t>
      </w:r>
    </w:p>
    <w:p>
      <w:pPr>
        <w:pStyle w:val="ListParagraph"/>
      </w:pPr>
      <w:r>
        <w:t>Patient Name / UHID: Patient's identification.</w:t>
      </w:r>
    </w:p>
    <w:p>
      <w:pPr>
        <w:pStyle w:val="ListParagraph"/>
      </w:pPr>
      <w:r>
        <w:t>Event: What happened, per hospital's defined event list.</w:t>
      </w:r>
    </w:p>
    <w:p>
      <w:pPr>
        <w:pStyle w:val="ListParagraph"/>
      </w:pPr>
      <w:r>
        <w:t>Immediate Management: Action taken at the time.</w:t>
      </w:r>
    </w:p>
    <w:p>
      <w:pPr>
        <w:pStyle w:val="ListParagraph"/>
      </w:pPr>
      <w:r>
        <w:t>Reviewed At (Forum, Date): The review forum and date.</w:t>
      </w:r>
    </w:p>
    <w:p>
      <w:pPr>
        <w:pStyle w:val="ListParagraph"/>
      </w:pPr>
      <w:r>
        <w:t>Corrective Action: Action taken following review.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register proving an adverse event was not only managed and forgotten -- it was written down and actually reviewed, with a corrective action to show for 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difficult intubation is managed safely in theatre; two weeks later this register shows it was reviewed at the anaesthesia meeting and a concrete change followed.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intra-operative adverse anaesthesia events to be recorded and monitored.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Event</w:t>
            </w:r>
          </w:p>
        </w:tc>
        <w:tc>
          <w:tcPr>
            <w:tcW w:type="dxa" w:w="1440"/>
          </w:tcPr>
          <w:p>
            <w:r>
              <w:t>Immediate Management</w:t>
            </w:r>
          </w:p>
        </w:tc>
        <w:tc>
          <w:tcPr>
            <w:tcW w:type="dxa" w:w="1440"/>
          </w:tcPr>
          <w:p>
            <w:r>
              <w:t>Reviewed At (Forum, Date)</w:t>
            </w:r>
          </w:p>
        </w:tc>
        <w:tc>
          <w:tcPr>
            <w:tcW w:type="dxa" w:w="1440"/>
          </w:tcPr>
          <w:p>
            <w:r>
              <w:t>Corrective Action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UHID-00622</w:t>
            </w:r>
          </w:p>
        </w:tc>
        <w:tc>
          <w:tcPr>
            <w:tcW w:type="dxa" w:w="1440"/>
            <w:shd w:val="clear" w:color="auto" w:fill="FFF2CC"/>
          </w:tcPr>
          <w:p>
            <w:r>
              <w:t>Difficult intubation, required second attempt with video laryngoscope</w:t>
            </w:r>
          </w:p>
        </w:tc>
        <w:tc>
          <w:tcPr>
            <w:tcW w:type="dxa" w:w="1440"/>
            <w:shd w:val="clear" w:color="auto" w:fill="FFF2CC"/>
          </w:tcPr>
          <w:p>
            <w:r>
              <w:t>Second attempt successful, SpO2 maintained throughout</w:t>
            </w:r>
          </w:p>
        </w:tc>
        <w:tc>
          <w:tcPr>
            <w:tcW w:type="dxa" w:w="1440"/>
            <w:shd w:val="clear" w:color="auto" w:fill="FFF2CC"/>
          </w:tcPr>
          <w:p>
            <w:r>
              <w:t>Anaesthesia Review Meeting, 15/03/2026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Airway-assessment documentation strengthened; video laryngoscope stocked in both theatres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