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PSQ.1.a — Patient safety programme documented as a manual (CORE*)</w:t>
      </w:r>
    </w:p>
    <w:p>
      <w:r>
        <w:rPr>
          <w:b/>
          <w:sz w:val="28"/>
        </w:rPr>
        <w:t>PSQ.1 Record 3 — Patient Safety Manual Coverage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Confirms the safety manual covers every element this standard requires.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Manual Section</w:t>
            </w:r>
          </w:p>
        </w:tc>
        <w:tc>
          <w:tcPr>
            <w:tcW w:type="dxa" w:w="2160"/>
            <w:shd w:val="clear" w:color="auto" w:fill="D9E2F3"/>
          </w:tcPr>
          <w:p>
            <w:r>
              <w:t>Requirement Covered</w:t>
            </w:r>
          </w:p>
        </w:tc>
        <w:tc>
          <w:tcPr>
            <w:tcW w:type="dxa" w:w="2160"/>
            <w:shd w:val="clear" w:color="auto" w:fill="D9E2F3"/>
          </w:tcPr>
          <w:p>
            <w:r>
              <w:t>Present (Y/N)</w:t>
            </w:r>
          </w:p>
        </w:tc>
        <w:tc>
          <w:tcPr>
            <w:tcW w:type="dxa" w:w="2160"/>
            <w:shd w:val="clear" w:color="auto" w:fill="D9E2F3"/>
          </w:tcPr>
          <w:p>
            <w:r>
              <w:t>Last Reviewed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Section 4</w:t>
            </w:r>
          </w:p>
        </w:tc>
        <w:tc>
          <w:tcPr>
            <w:tcW w:type="dxa" w:w="2160"/>
            <w:shd w:val="clear" w:color="auto" w:fill="FFF2CC"/>
          </w:tcPr>
          <w:p>
            <w:r>
              <w:t>Proactive risk analysis process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