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PSQ.1.g — National/international patient-safety goals (CORE*)</w:t>
      </w:r>
    </w:p>
    <w:p>
      <w:r>
        <w:rPr>
          <w:b/>
          <w:sz w:val="28"/>
        </w:rPr>
        <w:t>PSQ.1 Record 9 — Patient-Safety Goals Adoption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which national/international patient-safety framework and goals the hospital has adopted.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Framework/Goal Adopted</w:t>
            </w:r>
          </w:p>
        </w:tc>
        <w:tc>
          <w:tcPr>
            <w:tcW w:type="dxa" w:w="2160"/>
            <w:shd w:val="clear" w:color="auto" w:fill="D9E2F3"/>
          </w:tcPr>
          <w:p>
            <w:r>
              <w:t>Focus Area</w:t>
            </w:r>
          </w:p>
        </w:tc>
        <w:tc>
          <w:tcPr>
            <w:tcW w:type="dxa" w:w="2160"/>
            <w:shd w:val="clear" w:color="auto" w:fill="D9E2F3"/>
          </w:tcPr>
          <w:p>
            <w:r>
              <w:t>Adoption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Last Reviewed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International Patient Safety Goals</w:t>
            </w:r>
          </w:p>
        </w:tc>
        <w:tc>
          <w:tcPr>
            <w:tcW w:type="dxa" w:w="2160"/>
            <w:shd w:val="clear" w:color="auto" w:fill="FFF2CC"/>
          </w:tcPr>
          <w:p>
            <w:r>
              <w:t>Patient identification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01-Jan-2026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