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Proactive Patient Safety Risk Analysis</w:t>
      </w:r>
    </w:p>
    <w:p>
      <w:r>
        <w:t>«Hospital Name» — Supports PSQ.1.e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  <w:tr>
        <w:tc>
          <w:tcPr>
            <w:tcW w:type="dxa" w:w="8640"/>
            <w:gridSpan w:val="4"/>
          </w:tcPr>
          <w:p>
            <w:r>
              <w:t>Prepared By   Quality Coordinator   Name: ________   Signature: ________</w:t>
            </w:r>
          </w:p>
        </w:tc>
      </w:tr>
      <w:tr>
        <w:tc>
          <w:tcPr>
            <w:tcW w:type="dxa" w:w="8640"/>
            <w:gridSpan w:val="4"/>
          </w:tcPr>
          <w:p>
            <w:r>
              <w:t>Approved By   Medical Superintendent   Name: ________   Signature: ________</w:t>
            </w:r>
          </w:p>
        </w:tc>
      </w:tr>
    </w:tbl>
    <w:p>
      <w:pPr>
        <w:pStyle w:val="Heading1"/>
      </w:pPr>
      <w:r>
        <w:rPr>
          <w:b/>
        </w:rPr>
        <w:t>1. Purpose</w:t>
      </w:r>
    </w:p>
    <w:p>
      <w:r>
        <w:t>This SOP describes how «Hospital Name» carries out proactive analysis of patient safety risks — before an incident happens — and turns the findings into real improvements.</w:t>
      </w:r>
    </w:p>
    <w:p>
      <w:pPr>
        <w:pStyle w:val="Heading1"/>
      </w:pPr>
      <w:r>
        <w:rPr>
          <w:b/>
        </w:rPr>
        <w:t>2. Scope</w:t>
      </w:r>
    </w:p>
    <w:p>
      <w:r>
        <w:t>Applies to at least one patient safety risk analysed proactively every year, covering both clinical and non-clinical processes and areas.</w:t>
      </w:r>
    </w:p>
    <w:p>
      <w:pPr>
        <w:pStyle w:val="Heading1"/>
      </w:pPr>
      <w:r>
        <w:rPr>
          <w:b/>
        </w:rPr>
        <w:t>3. Responsibility</w:t>
      </w:r>
    </w:p>
    <w:p>
      <w:r>
        <w:t>Safety Committee: selects the risk/process to analyse, runs the analysis, and tracks resulting improvements.</w:t>
      </w:r>
    </w:p>
    <w:p>
      <w:r>
        <w:t>Patient Safety Officer: coordinates the analysis and reports outcomes to the Safety Committee.</w:t>
      </w:r>
    </w:p>
    <w:p>
      <w:pPr>
        <w:pStyle w:val="Heading1"/>
      </w:pPr>
      <w:r>
        <w:rPr>
          <w:b/>
        </w:rPr>
        <w:t>4. Procedure</w:t>
      </w:r>
    </w:p>
    <w:p>
      <w:r>
        <w:rPr>
          <w:b/>
        </w:rPr>
        <w:t xml:space="preserve">1. </w:t>
      </w:r>
      <w:r>
        <w:t>Select a process or risk for proactive analysis — prioritise a high-risk, high-volume, or error-prone process (e.g. IV pump programming, medication look-alike risk, handoff between shifts).</w:t>
      </w:r>
    </w:p>
    <w:p>
      <w:r>
        <w:rPr>
          <w:b/>
        </w:rPr>
        <w:t xml:space="preserve">2. </w:t>
      </w:r>
      <w:r>
        <w:t>Choose an analysis tool suited to the question:</w:t>
      </w:r>
    </w:p>
    <w:p>
      <w:r>
        <w:t>— Failure Mode and Effects Analysis (FMEA) examines a process step by step for every way it could fail, then prioritises the failure modes with the greatest potential impact. Use it when you want to redesign a specific process before it fails.</w:t>
      </w:r>
    </w:p>
    <w:p>
      <w:r>
        <w:t>— Hazard Identification and Risk Analysis (HIRA) identifies hazards and rates each by likelihood and severity, so the highest-priority risks get attention first. Use it for a broader area (e.g. an entire ward) rather than one process.</w:t>
      </w:r>
    </w:p>
    <w:p>
      <w:r>
        <w:t>— Hazard Vulnerability Analysis (HVA) identifies the emergencies the hospital could face and their direct and indirect effect on operations. Use it for disaster/business-continuity style risks, not routine clinical processes.</w:t>
      </w:r>
    </w:p>
    <w:p>
      <w:r>
        <w:rPr>
          <w:b/>
        </w:rPr>
        <w:t xml:space="preserve">3. </w:t>
      </w:r>
      <w:r>
        <w:t>Worked example (FMEA on IV pump programming): list every step of programming an infusion pump; for each step, list ways it could fail (e.g. wrong rate entered, wrong drug library selected); score each failure mode for severity, likelihood of occurrence, and likelihood of detection; multiply the three scores to get a Risk Priority Number; redesign the steps with the highest numbers first (e.g. add a mandatory second-person check for high-risk drug libraries).</w:t>
      </w:r>
    </w:p>
    <w:p>
      <w:r>
        <w:rPr>
          <w:b/>
        </w:rPr>
        <w:t xml:space="preserve">4. </w:t>
      </w:r>
      <w:r>
        <w:t>Document the tool used, the findings, and the risk ranking in the Proactive Risk Analysis Record (Record 7).</w:t>
      </w:r>
    </w:p>
    <w:p>
      <w:r>
        <w:rPr>
          <w:b/>
        </w:rPr>
        <w:t xml:space="preserve">5. </w:t>
      </w:r>
      <w:r>
        <w:t>Implement improvements based on the findings — do not simply document the risk and stop there.</w:t>
      </w:r>
    </w:p>
    <w:p>
      <w:r>
        <w:rPr>
          <w:b/>
        </w:rPr>
        <w:t xml:space="preserve">6. </w:t>
      </w:r>
      <w:r>
        <w:t>Confirm at least one such analysis has been completed in the current year before the annual programme review.</w:t>
      </w:r>
    </w:p>
    <w:p>
      <w:pPr>
        <w:pStyle w:val="Heading1"/>
      </w:pPr>
      <w:r>
        <w:rPr>
          <w:b/>
        </w:rPr>
        <w:t>5. Records</w:t>
      </w:r>
    </w:p>
    <w:p>
      <w:r>
        <w:t>Supported by the Proactive Risk Analysis Record (Record 7) of the PSQ.1 Required Records pack.</w:t>
      </w:r>
    </w:p>
    <w:p>
      <w:pPr>
        <w:pStyle w:val="Heading1"/>
      </w:pPr>
      <w:r>
        <w:rPr>
          <w:b/>
        </w:rPr>
        <w:t>6. Related Documents</w:t>
      </w:r>
    </w:p>
    <w:p>
      <w:pPr>
        <w:pStyle w:val="ListParagraph"/>
      </w:pPr>
      <w:r>
        <w:t>Policy on Patient Safety Programme (HCO/PSQ/POL/01) — PSQ.1 policy, Section 3.5 (proactive risk analysis)</w:t>
      </w:r>
    </w:p>
    <w:p>
      <w:pPr>
        <w:pStyle w:val="Heading1"/>
      </w:pPr>
      <w:r>
        <w:rPr>
          <w:b/>
        </w:rPr>
        <w:t>7. Review</w:t>
      </w:r>
    </w:p>
    <w:p>
      <w:r>
        <w:t>Reviewed annually, or immediately if a proactive analysis reveals a gap in this procedure.</w:t>
      </w:r>
    </w:p>
    <w:p>
      <w:pPr>
        <w:pStyle w:val="Heading1"/>
      </w:pPr>
      <w:r>
        <w:rPr>
          <w:b/>
        </w:rPr>
        <w:t>8. References</w:t>
      </w:r>
    </w:p>
    <w:p>
      <w:r>
        <w:t xml:space="preserve">Institute for Healthcare Improvement. (n.d.). Failure Modes and Effects Analysis (FMEA) Tool. </w:t>
      </w:r>
      <w:hyperlink r:id="rId9">
        <w:r>
          <w:rPr>
            <w:u w:val="single"/>
            <w:color w:val="0563C1"/>
          </w:rPr>
          <w:t>https://www.ihi.org/library/tools/failure-modes-and-effects-analysis-fmea-tool</w:t>
        </w:r>
      </w:hyperlink>
    </w:p>
    <w:p>
      <w:r>
        <w:t xml:space="preserve">California Hospital Association. (n.d.). Hazard Vulnerability Analysis. </w:t>
      </w:r>
      <w:hyperlink r:id="rId10">
        <w:r>
          <w:rPr>
            <w:u w:val="single"/>
            <w:color w:val="0563C1"/>
          </w:rPr>
          <w:t>https://calhospitalprepare.org/hazard-vulnerability-analysis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hi.org/library/tools/failure-modes-and-effects-analysis-fmea-tool" TargetMode="External"/><Relationship Id="rId10" Type="http://schemas.openxmlformats.org/officeDocument/2006/relationships/hyperlink" Target="https://calhospitalprepare.org/hazard-vulnerability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