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PSQ.2.h — Internal audit programme (Commitment)</w:t>
      </w:r>
    </w:p>
    <w:p>
      <w:r>
        <w:rPr>
          <w:b/>
          <w:sz w:val="28"/>
        </w:rPr>
        <w:t>PSQ.2 Record 9 — Internal Audit Schedule &amp; Findings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Tracks the hospital-wide internal audit schedule (all areas covered at least once every 6 months) and CAPA status.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Area Audited</w:t>
            </w:r>
          </w:p>
        </w:tc>
        <w:tc>
          <w:tcPr>
            <w:tcW w:type="dxa" w:w="2160"/>
            <w:shd w:val="clear" w:color="auto" w:fill="D9E2F3"/>
          </w:tcPr>
          <w:p>
            <w:r>
              <w:t>Audit Date</w:t>
            </w:r>
          </w:p>
        </w:tc>
        <w:tc>
          <w:tcPr>
            <w:tcW w:type="dxa" w:w="2160"/>
            <w:shd w:val="clear" w:color="auto" w:fill="D9E2F3"/>
          </w:tcPr>
          <w:p>
            <w:r>
              <w:t>Findings Summary</w:t>
            </w:r>
          </w:p>
        </w:tc>
        <w:tc>
          <w:tcPr>
            <w:tcW w:type="dxa" w:w="2160"/>
            <w:shd w:val="clear" w:color="auto" w:fill="D9E2F3"/>
          </w:tcPr>
          <w:p>
            <w:r>
              <w:t>CAPA Status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Pharmacy</w:t>
            </w:r>
          </w:p>
        </w:tc>
        <w:tc>
          <w:tcPr>
            <w:tcW w:type="dxa" w:w="2160"/>
            <w:shd w:val="clear" w:color="auto" w:fill="FFF2CC"/>
          </w:tcPr>
          <w:p>
            <w:r>
              <w:t>15-Jan-2026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2 minor findings</w:t>
            </w:r>
          </w:p>
        </w:tc>
        <w:tc>
          <w:tcPr>
            <w:tcW w:type="dxa" w:w="2160"/>
            <w:shd w:val="clear" w:color="auto" w:fill="FFF2CC"/>
          </w:tcPr>
          <w:p>
            <w:r>
              <w:t>Closed 30-Jan-2026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