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Standard Operating Procedure</w:t>
      </w:r>
    </w:p>
    <w:p>
      <w:r>
        <w:rPr>
          <w:b/>
          <w:sz w:val="26"/>
        </w:rPr>
        <w:t>Hospital-Wide Internal Audit Programme</w:t>
      </w:r>
    </w:p>
    <w:p>
      <w:r>
        <w:t>«Hospital Name» — Supports PSQ.2.h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SOP No.</w:t>
            </w:r>
          </w:p>
        </w:tc>
        <w:tc>
          <w:tcPr>
            <w:tcW w:type="dxa" w:w="2160"/>
          </w:tcPr>
          <w:p>
            <w:r>
              <w:t>[Hospital to define]</w:t>
            </w:r>
          </w:p>
        </w:tc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Effective Date</w:t>
            </w:r>
          </w:p>
        </w:tc>
        <w:tc>
          <w:tcPr>
            <w:tcW w:type="dxa" w:w="2160"/>
          </w:tcPr>
          <w:p>
            <w:r>
              <w:t>________</w:t>
            </w:r>
          </w:p>
        </w:tc>
        <w:tc>
          <w:tcPr>
            <w:tcW w:type="dxa" w:w="2160"/>
          </w:tcPr>
          <w:p>
            <w:r>
              <w:t>Review Frequency</w:t>
            </w:r>
          </w:p>
        </w:tc>
        <w:tc>
          <w:tcPr>
            <w:tcW w:type="dxa" w:w="2160"/>
          </w:tcPr>
          <w:p>
            <w:r>
              <w:t>Annual, or on change</w:t>
            </w:r>
          </w:p>
        </w:tc>
      </w:tr>
      <w:tr>
        <w:tc>
          <w:tcPr>
            <w:tcW w:type="dxa" w:w="8640"/>
            <w:gridSpan w:val="4"/>
          </w:tcPr>
          <w:p>
            <w:r>
              <w:t>Prepared By   Quality Coordinator   Name: ________   Signature: ________</w:t>
            </w:r>
          </w:p>
        </w:tc>
      </w:tr>
      <w:tr>
        <w:tc>
          <w:tcPr>
            <w:tcW w:type="dxa" w:w="8640"/>
            <w:gridSpan w:val="4"/>
          </w:tcPr>
          <w:p>
            <w:r>
              <w:t>Approved By   Medical Superintendent   Name: ________   Signature: ________</w:t>
            </w:r>
          </w:p>
        </w:tc>
      </w:tr>
    </w:tbl>
    <w:p>
      <w:pPr>
        <w:pStyle w:val="Heading1"/>
      </w:pPr>
      <w:r>
        <w:rPr>
          <w:b/>
        </w:rPr>
        <w:t>1. Purpose</w:t>
      </w:r>
    </w:p>
    <w:p>
      <w:r>
        <w:t>This SOP describes how «Hospital Name» runs its internal audit programme so every area is audited against NABH standards at least once every six months.</w:t>
      </w:r>
    </w:p>
    <w:p>
      <w:pPr>
        <w:pStyle w:val="Heading1"/>
      </w:pPr>
      <w:r>
        <w:rPr>
          <w:b/>
        </w:rPr>
        <w:t>2. Scope</w:t>
      </w:r>
    </w:p>
    <w:p>
      <w:r>
        <w:t>Applies to every area and department of the hospital.</w:t>
      </w:r>
    </w:p>
    <w:p>
      <w:pPr>
        <w:pStyle w:val="Heading1"/>
      </w:pPr>
      <w:r>
        <w:rPr>
          <w:b/>
        </w:rPr>
        <w:t>3. Responsibility</w:t>
      </w:r>
    </w:p>
    <w:p>
      <w:r>
        <w:t>Quality Coordinator: builds and maintains the 6-monthly audit schedule, and assigns audit teams.</w:t>
      </w:r>
    </w:p>
    <w:p>
      <w:r>
        <w:t>Internal Audit Team: trained staff, independent of the area they are auditing, who conduct the audit and document findings.</w:t>
      </w:r>
    </w:p>
    <w:p>
      <w:pPr>
        <w:pStyle w:val="Heading1"/>
      </w:pPr>
      <w:r>
        <w:rPr>
          <w:b/>
        </w:rPr>
        <w:t>4. Procedure</w:t>
      </w:r>
    </w:p>
    <w:p>
      <w:r>
        <w:rPr>
          <w:b/>
        </w:rPr>
        <w:t xml:space="preserve">1. </w:t>
      </w:r>
      <w:r>
        <w:t>Build a rolling schedule that covers every area of the hospital at least once every 6 months. Prioritise areas flagged by KPI trends, past findings, or identified risk.</w:t>
      </w:r>
    </w:p>
    <w:p>
      <w:r>
        <w:rPr>
          <w:b/>
        </w:rPr>
        <w:t xml:space="preserve">2. </w:t>
      </w:r>
      <w:r>
        <w:t>Assign auditors who are trained in NABH Accreditation Standards for Hospitals and who do not work in the area being audited — a pharmacist should not audit the pharmacy.</w:t>
      </w:r>
    </w:p>
    <w:p>
      <w:r>
        <w:rPr>
          <w:b/>
        </w:rPr>
        <w:t xml:space="preserve">3. </w:t>
      </w:r>
      <w:r>
        <w:t>The audit covers all applicable standards and objective elements for that area, not a partial subset chosen informally.</w:t>
      </w:r>
    </w:p>
    <w:p>
      <w:r>
        <w:rPr>
          <w:b/>
        </w:rPr>
        <w:t xml:space="preserve">4. </w:t>
      </w:r>
      <w:r>
        <w:t>At the end of the audit, hold a formal meeting with the area's staff to summarise findings — do not just file a report unread.</w:t>
      </w:r>
    </w:p>
    <w:p>
      <w:r>
        <w:rPr>
          <w:b/>
        </w:rPr>
        <w:t xml:space="preserve">5. </w:t>
      </w:r>
      <w:r>
        <w:t>Document corrective and preventive action for every finding, with an owner and a target date.</w:t>
      </w:r>
    </w:p>
    <w:p>
      <w:r>
        <w:rPr>
          <w:b/>
        </w:rPr>
        <w:t xml:space="preserve">6. </w:t>
      </w:r>
      <w:r>
        <w:t>Verify and record that the corrective action was actually implemented — closing a finding on paper without checking it happened defeats the audit.</w:t>
      </w:r>
    </w:p>
    <w:p>
      <w:pPr>
        <w:pStyle w:val="Heading1"/>
      </w:pPr>
      <w:r>
        <w:rPr>
          <w:b/>
        </w:rPr>
        <w:t>5. Records</w:t>
      </w:r>
    </w:p>
    <w:p>
      <w:r>
        <w:t>Supported by the Internal Audit Schedule &amp; Findings Log (Record 9) of the PSQ.2 Required Records pack.</w:t>
      </w:r>
    </w:p>
    <w:p>
      <w:pPr>
        <w:pStyle w:val="Heading1"/>
      </w:pPr>
      <w:r>
        <w:rPr>
          <w:b/>
        </w:rPr>
        <w:t>6. Related Documents</w:t>
      </w:r>
    </w:p>
    <w:p>
      <w:pPr>
        <w:pStyle w:val="ListParagraph"/>
      </w:pPr>
      <w:r>
        <w:t>Policy on Quality Improvement Programme (HCO/PSQ/POL/02) — PSQ.2 policy, Section 3.8 (internal audits)</w:t>
      </w:r>
    </w:p>
    <w:p>
      <w:pPr>
        <w:pStyle w:val="Heading1"/>
      </w:pPr>
      <w:r>
        <w:rPr>
          <w:b/>
        </w:rPr>
        <w:t>7. Review</w:t>
      </w:r>
    </w:p>
    <w:p>
      <w:r>
        <w:t>Reviewed annually, or immediately if an audit cycle reveals a gap in this procedure.</w:t>
      </w:r>
    </w:p>
    <w:p>
      <w:pPr>
        <w:pStyle w:val="Heading1"/>
      </w:pPr>
      <w:r>
        <w:rPr>
          <w:b/>
        </w:rPr>
        <w:t>8. References</w:t>
      </w:r>
    </w:p>
    <w:p>
      <w:r>
        <w:t>National Accreditation Board for Hospitals and Healthcare Providers. NABH Accreditation Standards for Hospitals, 6th Edition. PSQ.2.h.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