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PSQ.3.b — Infection prevention and control indicators (CORE*)</w:t>
      </w:r>
    </w:p>
    <w:p>
      <w:r>
        <w:rPr>
          <w:b/>
          <w:sz w:val="28"/>
        </w:rPr>
        <w:t>PSQ.3 Record 2 — Infection Control Indicator Data Log (CAUTI/CLABSI/SSI/VAP)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Monthly data for healthcare-associated infection indicators, per current CDC/NHSN surveillance definitions.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t>Month</w:t>
            </w:r>
          </w:p>
        </w:tc>
        <w:tc>
          <w:tcPr>
            <w:tcW w:type="dxa" w:w="1728"/>
            <w:shd w:val="clear" w:color="auto" w:fill="D9E2F3"/>
          </w:tcPr>
          <w:p>
            <w:r>
              <w:t>Indicator</w:t>
            </w:r>
          </w:p>
        </w:tc>
        <w:tc>
          <w:tcPr>
            <w:tcW w:type="dxa" w:w="1728"/>
            <w:shd w:val="clear" w:color="auto" w:fill="D9E2F3"/>
          </w:tcPr>
          <w:p>
            <w:r>
              <w:t>Numerator (Events)</w:t>
            </w:r>
          </w:p>
        </w:tc>
        <w:tc>
          <w:tcPr>
            <w:tcW w:type="dxa" w:w="1728"/>
            <w:shd w:val="clear" w:color="auto" w:fill="D9E2F3"/>
          </w:tcPr>
          <w:p>
            <w:r>
              <w:t>Denominator (Device/Procedure-Days)</w:t>
            </w:r>
          </w:p>
        </w:tc>
        <w:tc>
          <w:tcPr>
            <w:tcW w:type="dxa" w:w="1728"/>
            <w:shd w:val="clear" w:color="auto" w:fill="D9E2F3"/>
          </w:tcPr>
          <w:p>
            <w:r>
              <w:t>Rate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CAUTI</w:t>
            </w:r>
          </w:p>
        </w:tc>
        <w:tc>
          <w:tcPr>
            <w:tcW w:type="dxa" w:w="1728"/>
            <w:shd w:val="clear" w:color="auto" w:fill="FFF2CC"/>
          </w:tcPr>
          <w:p>
            <w:r>
              <w:t>2</w:t>
            </w:r>
          </w:p>
        </w:tc>
        <w:tc>
          <w:tcPr>
            <w:tcW w:type="dxa" w:w="1728"/>
            <w:shd w:val="clear" w:color="auto" w:fill="FFF2CC"/>
          </w:tcPr>
          <w:p>
            <w:r>
              <w:t>850 catheter-days</w:t>
            </w:r>
          </w:p>
        </w:tc>
        <w:tc>
          <w:tcPr>
            <w:tcW w:type="dxa" w:w="1728"/>
            <w:shd w:val="clear" w:color="auto" w:fill="FFF2CC"/>
          </w:tcPr>
          <w:p>
            <w:r>
              <w:t>2.35 per 1000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