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PSQ.4.b — Six domains of healthcare quality (Achievement)</w:t>
      </w:r>
    </w:p>
    <w:p>
      <w:r>
        <w:rPr>
          <w:b/>
          <w:sz w:val="28"/>
        </w:rPr>
        <w:t>PSQ.4 Record 2 — QI Project Domain &amp; Cost/Efficiency Impact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which of the six quality domains (patient safety, cost-effectiveness, patient-centredness, timeliness, efficiency, equity) each project addresses.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Project</w:t>
            </w:r>
          </w:p>
        </w:tc>
        <w:tc>
          <w:tcPr>
            <w:tcW w:type="dxa" w:w="2160"/>
            <w:shd w:val="clear" w:color="auto" w:fill="D9E2F3"/>
          </w:tcPr>
          <w:p>
            <w:r>
              <w:t>Domain(s) Addressed</w:t>
            </w:r>
          </w:p>
        </w:tc>
        <w:tc>
          <w:tcPr>
            <w:tcW w:type="dxa" w:w="2160"/>
            <w:shd w:val="clear" w:color="auto" w:fill="D9E2F3"/>
          </w:tcPr>
          <w:p>
            <w:r>
              <w:t>Cost/Efficiency Impact</w:t>
            </w:r>
          </w:p>
        </w:tc>
        <w:tc>
          <w:tcPr>
            <w:tcW w:type="dxa" w:w="2160"/>
            <w:shd w:val="clear" w:color="auto" w:fill="D9E2F3"/>
          </w:tcPr>
          <w:p>
            <w:r>
              <w:t>Evidence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Reduce IV cannulation failure rate</w:t>
            </w:r>
          </w:p>
        </w:tc>
        <w:tc>
          <w:tcPr>
            <w:tcW w:type="dxa" w:w="2160"/>
            <w:shd w:val="clear" w:color="auto" w:fill="FFF2CC"/>
          </w:tcPr>
          <w:p>
            <w:r>
              <w:t>Patient safety, efficiency</w:t>
            </w:r>
          </w:p>
        </w:tc>
        <w:tc>
          <w:tcPr>
            <w:tcW w:type="dxa" w:w="2160"/>
            <w:shd w:val="clear" w:color="auto" w:fill="FFF2CC"/>
          </w:tcPr>
          <w:p>
            <w:r>
              <w:t>Reduced repeat-attempt consumable cost</w:t>
            </w:r>
          </w:p>
        </w:tc>
        <w:tc>
          <w:tcPr>
            <w:tcW w:type="dxa" w:w="2160"/>
            <w:shd w:val="clear" w:color="auto" w:fill="FFF2CC"/>
          </w:tcPr>
          <w:p>
            <w:r>
              <w:t>Cost log attached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