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PSQ.4.c — Analytical, managerial and statistical tools (Commitment)</w:t>
      </w:r>
    </w:p>
    <w:p>
      <w:r>
        <w:rPr>
          <w:b/>
          <w:sz w:val="28"/>
        </w:rPr>
        <w:t>PSQ.4 Record 3 — QI Project Methodology &amp; Tool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improvement methodology (PDSA/Six Sigma/Lean) and analytical tools (RCA, Pareto, run chart, control chart) used per project.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Project</w:t>
            </w:r>
          </w:p>
        </w:tc>
        <w:tc>
          <w:tcPr>
            <w:tcW w:type="dxa" w:w="2160"/>
            <w:shd w:val="clear" w:color="auto" w:fill="D9E2F3"/>
          </w:tcPr>
          <w:p>
            <w:r>
              <w:t>Methodology</w:t>
            </w:r>
          </w:p>
        </w:tc>
        <w:tc>
          <w:tcPr>
            <w:tcW w:type="dxa" w:w="2160"/>
            <w:shd w:val="clear" w:color="auto" w:fill="D9E2F3"/>
          </w:tcPr>
          <w:p>
            <w:r>
              <w:t>Analytical Tools Used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Notes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Reduce IV cannulation failure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PDSA</w:t>
            </w:r>
          </w:p>
        </w:tc>
        <w:tc>
          <w:tcPr>
            <w:tcW w:type="dxa" w:w="2160"/>
            <w:shd w:val="clear" w:color="auto" w:fill="FFF2CC"/>
          </w:tcPr>
          <w:p>
            <w:r>
              <w:t>Fishbone diagram, run chart</w:t>
            </w:r>
          </w:p>
        </w:tc>
        <w:tc>
          <w:tcPr>
            <w:tcW w:type="dxa" w:w="2160"/>
            <w:shd w:val="clear" w:color="auto" w:fill="FFF2CC"/>
          </w:tcPr>
          <w:p>
            <w:r>
              <w:t>2 PDSA cycles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