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PSQ.4.d — Patient reported outcome measures (Achievement)</w:t>
      </w:r>
    </w:p>
    <w:p>
      <w:r>
        <w:rPr>
          <w:b/>
          <w:sz w:val="28"/>
        </w:rPr>
        <w:t>PSQ.4 Record 4 — PROMs Instrument &amp; Usage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Records which patient-reported outcome measure instruments are used, generic or disease-specific, and how they are used.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Instrument</w:t>
            </w:r>
          </w:p>
        </w:tc>
        <w:tc>
          <w:tcPr>
            <w:tcW w:type="dxa" w:w="2160"/>
            <w:shd w:val="clear" w:color="auto" w:fill="D9E2F3"/>
          </w:tcPr>
          <w:p>
            <w:r>
              <w:t>Generic/Disease-Specific</w:t>
            </w:r>
          </w:p>
        </w:tc>
        <w:tc>
          <w:tcPr>
            <w:tcW w:type="dxa" w:w="2160"/>
            <w:shd w:val="clear" w:color="auto" w:fill="D9E2F3"/>
          </w:tcPr>
          <w:p>
            <w:r>
              <w:t>Department Using It</w:t>
            </w:r>
          </w:p>
        </w:tc>
        <w:tc>
          <w:tcPr>
            <w:tcW w:type="dxa" w:w="2160"/>
            <w:shd w:val="clear" w:color="auto" w:fill="D9E2F3"/>
          </w:tcPr>
          <w:p>
            <w:r>
              <w:t>Purpose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EQ-5D</w:t>
            </w:r>
          </w:p>
        </w:tc>
        <w:tc>
          <w:tcPr>
            <w:tcW w:type="dxa" w:w="2160"/>
            <w:shd w:val="clear" w:color="auto" w:fill="FFF2CC"/>
          </w:tcPr>
          <w:p>
            <w:r>
              <w:t>Generic</w:t>
            </w:r>
          </w:p>
        </w:tc>
        <w:tc>
          <w:tcPr>
            <w:tcW w:type="dxa" w:w="2160"/>
            <w:shd w:val="clear" w:color="auto" w:fill="FFF2CC"/>
          </w:tcPr>
          <w:p>
            <w:r>
              <w:t>Cardiology</w:t>
            </w:r>
          </w:p>
        </w:tc>
        <w:tc>
          <w:tcPr>
            <w:tcW w:type="dxa" w:w="2160"/>
            <w:shd w:val="clear" w:color="auto" w:fill="FFF2CC"/>
          </w:tcPr>
          <w:p>
            <w:r>
              <w:t>Track quality-of-life post-procedure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