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PSQ.5.d — Patient and staff anonymity (Commitment)</w:t>
      </w:r>
    </w:p>
    <w:p>
      <w:r>
        <w:rPr>
          <w:b/>
          <w:sz w:val="28"/>
        </w:rPr>
        <w:t>PSQ.5 Record 4 — Patient and Staff Anonymity Compliance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Confirms no patient or staff names were disclosed in an audit report or discussion.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Audit Topic</w:t>
            </w:r>
          </w:p>
        </w:tc>
        <w:tc>
          <w:tcPr>
            <w:tcW w:type="dxa" w:w="2160"/>
            <w:shd w:val="clear" w:color="auto" w:fill="D9E2F3"/>
          </w:tcPr>
          <w:p>
            <w:r>
              <w:t>Report Reviewed For Names (Y/N)</w:t>
            </w:r>
          </w:p>
        </w:tc>
        <w:tc>
          <w:tcPr>
            <w:tcW w:type="dxa" w:w="2160"/>
            <w:shd w:val="clear" w:color="auto" w:fill="D9E2F3"/>
          </w:tcPr>
          <w:p>
            <w:r>
              <w:t>Reviewed By</w:t>
            </w:r>
          </w:p>
        </w:tc>
        <w:tc>
          <w:tcPr>
            <w:tcW w:type="dxa" w:w="2160"/>
            <w:shd w:val="clear" w:color="auto" w:fill="D9E2F3"/>
          </w:tcPr>
          <w:p>
            <w:r>
              <w:t>Date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Post-op infection rate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no names present</w:t>
            </w:r>
          </w:p>
        </w:tc>
        <w:tc>
          <w:tcPr>
            <w:tcW w:type="dxa" w:w="2160"/>
            <w:shd w:val="clear" w:color="auto" w:fill="FFF2CC"/>
          </w:tcPr>
          <w:p>
            <w:r>
              <w:t>Quality Coordinator</w:t>
            </w:r>
          </w:p>
        </w:tc>
        <w:tc>
          <w:tcPr>
            <w:tcW w:type="dxa" w:w="2160"/>
            <w:shd w:val="clear" w:color="auto" w:fill="FFF2CC"/>
          </w:tcPr>
          <w:p>
            <w:r>
              <w:t>30-Jun-2026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