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PSQ.6.e — Organisational performance improvement targets (Achievement)</w:t>
      </w:r>
    </w:p>
    <w:p>
      <w:r>
        <w:rPr>
          <w:b/>
          <w:sz w:val="28"/>
        </w:rPr>
        <w:t>PSQ.6 Record 5 — Organisational Performance Target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organisation and department-level quality objectives, targets, monitoring frequency and annual modification.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Objective</w:t>
            </w:r>
          </w:p>
        </w:tc>
        <w:tc>
          <w:tcPr>
            <w:tcW w:type="dxa" w:w="2160"/>
            <w:shd w:val="clear" w:color="auto" w:fill="D9E2F3"/>
          </w:tcPr>
          <w:p>
            <w:r>
              <w:t>Target</w:t>
            </w:r>
          </w:p>
        </w:tc>
        <w:tc>
          <w:tcPr>
            <w:tcW w:type="dxa" w:w="2160"/>
            <w:shd w:val="clear" w:color="auto" w:fill="D9E2F3"/>
          </w:tcPr>
          <w:p>
            <w:r>
              <w:t>Monitoring Frequency</w:t>
            </w:r>
          </w:p>
        </w:tc>
        <w:tc>
          <w:tcPr>
            <w:tcW w:type="dxa" w:w="2160"/>
            <w:shd w:val="clear" w:color="auto" w:fill="D9E2F3"/>
          </w:tcPr>
          <w:p>
            <w:r>
              <w:t>Last Modified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Reduce fall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&lt; 1.0 per 1000 patient-days</w:t>
            </w:r>
          </w:p>
        </w:tc>
        <w:tc>
          <w:tcPr>
            <w:tcW w:type="dxa" w:w="2160"/>
            <w:shd w:val="clear" w:color="auto" w:fill="FFF2CC"/>
          </w:tcPr>
          <w:p>
            <w:r>
              <w:t>Quarterly</w:t>
            </w:r>
          </w:p>
        </w:tc>
        <w:tc>
          <w:tcPr>
            <w:tcW w:type="dxa" w:w="2160"/>
            <w:shd w:val="clear" w:color="auto" w:fill="FFF2CC"/>
          </w:tcPr>
          <w:p>
            <w:r>
              <w:t>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