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PSQ.7.b — Sentinel event identification (Commitment)</w:t>
      </w:r>
    </w:p>
    <w:p>
      <w:r>
        <w:rPr>
          <w:b/>
          <w:sz w:val="28"/>
        </w:rPr>
        <w:t>PSQ.7 Record 2 — Sentinel Event Identification 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The hospital's documented list of relevant sentinel events, consistent with the NABH definition.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Sentinel Event Type</w:t>
            </w:r>
          </w:p>
        </w:tc>
        <w:tc>
          <w:tcPr>
            <w:tcW w:type="dxa" w:w="2160"/>
            <w:shd w:val="clear" w:color="auto" w:fill="D9E2F3"/>
          </w:tcPr>
          <w:p>
            <w:r>
              <w:t>Definition Reference</w:t>
            </w:r>
          </w:p>
        </w:tc>
        <w:tc>
          <w:tcPr>
            <w:tcW w:type="dxa" w:w="2160"/>
            <w:shd w:val="clear" w:color="auto" w:fill="D9E2F3"/>
          </w:tcPr>
          <w:p>
            <w:r>
              <w:t>Date Added</w:t>
            </w:r>
          </w:p>
        </w:tc>
        <w:tc>
          <w:tcPr>
            <w:tcW w:type="dxa" w:w="2160"/>
            <w:shd w:val="clear" w:color="auto" w:fill="D9E2F3"/>
          </w:tcPr>
          <w:p>
            <w:r>
              <w:t>Approved By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Wrong-site surgery</w:t>
            </w:r>
          </w:p>
        </w:tc>
        <w:tc>
          <w:tcPr>
            <w:tcW w:type="dxa" w:w="2160"/>
            <w:shd w:val="clear" w:color="auto" w:fill="FFF2CC"/>
          </w:tcPr>
          <w:p>
            <w:r>
              <w:t>NABH Glossary</w:t>
            </w:r>
          </w:p>
        </w:tc>
        <w:tc>
          <w:tcPr>
            <w:tcW w:type="dxa" w:w="2160"/>
            <w:shd w:val="clear" w:color="auto" w:fill="FFF2CC"/>
          </w:tcPr>
          <w:p>
            <w:r>
              <w:t>01-Jan-2026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Safety Committee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