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«Hospital Name»</w:t>
      </w:r>
    </w:p>
    <w:p>
      <w:pPr>
        <w:spacing w:after="60"/>
        <w:jc w:val="center"/>
      </w:pPr>
      <w:r>
        <w:rPr>
          <w:b/>
          <w:bCs/>
          <w:sz w:val="28"/>
          <w:szCs w:val="28"/>
        </w:rPr>
        <w:t xml:space="preserve">Content of the Discharge Summary</w:t>
      </w:r>
    </w:p>
    <w:p>
      <w:pPr>
        <w:spacing w:after="240"/>
        <w:jc w:val="center"/>
      </w:pPr>
      <w:r>
        <w:rPr>
          <w:i/>
          <w:iCs/>
          <w:sz w:val="20"/>
          <w:szCs w:val="20"/>
        </w:rPr>
        <w:t xml:space="preserve">Standardised discharge-summary content, understandable instructions and death summary.</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 PRE v2 draft — not an approved master.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«HCO/AAC/POL/13»</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The organisation defines the content of the discharge summary — signed, acknowledged, standardised, understandable, and clear about urgent care and cause of death where applicable.</w:t>
      </w:r>
    </w:p>
    <w:p>
      <w:pPr>
        <w:pStyle w:val="Heading1"/>
        <w:spacing w:after="120" w:before="280"/>
      </w:pPr>
      <w:r>
        <w:t xml:space="preserve">1. Purpose</w:t>
      </w:r>
    </w:p>
    <w:p>
      <w:pPr>
        <w:spacing w:after="140"/>
      </w:pPr>
      <w:r>
        <w:rPr>
          <w:sz w:val="22"/>
          <w:szCs w:val="22"/>
        </w:rPr>
        <w:t xml:space="preserve">This policy says how «Hospital Name» defines and fills the content of the discharge summary.</w:t>
      </w:r>
    </w:p>
    <w:p>
      <w:pPr>
        <w:spacing w:after="140"/>
      </w:pPr>
      <w:r>
        <w:rPr>
          <w:sz w:val="22"/>
          <w:szCs w:val="22"/>
        </w:rPr>
        <w:t xml:space="preserve">It covers five jobs that match the standard:</w:t>
      </w:r>
    </w:p>
    <w:p>
      <w:pPr>
        <w:pStyle w:val="ListParagraph"/>
        <w:numPr>
          <w:ilvl w:val="0"/>
          <w:numId w:val="1"/>
        </w:numPr>
        <w:spacing w:after="60"/>
      </w:pPr>
      <w:r>
        <w:rPr>
          <w:sz w:val="22"/>
          <w:szCs w:val="22"/>
        </w:rPr>
        <w:t xml:space="preserve">provide the discharge summary at discharge, signed, with receipt acknowledged;</w:t>
      </w:r>
    </w:p>
    <w:p>
      <w:pPr>
        <w:pStyle w:val="ListParagraph"/>
        <w:numPr>
          <w:ilvl w:val="0"/>
          <w:numId w:val="1"/>
        </w:numPr>
        <w:spacing w:after="60"/>
      </w:pPr>
      <w:r>
        <w:rPr>
          <w:sz w:val="22"/>
          <w:szCs w:val="22"/>
        </w:rPr>
        <w:t xml:space="preserve">use standardised content (identity, treating doctor, dates, reasons, findings/diagnosis/condition, investigations, procedures, medications, other treatment);</w:t>
      </w:r>
    </w:p>
    <w:p>
      <w:pPr>
        <w:pStyle w:val="ListParagraph"/>
        <w:numPr>
          <w:ilvl w:val="0"/>
          <w:numId w:val="1"/>
        </w:numPr>
        <w:spacing w:after="60"/>
      </w:pPr>
      <w:r>
        <w:rPr>
          <w:sz w:val="22"/>
          <w:szCs w:val="22"/>
        </w:rPr>
        <w:t xml:space="preserve">include follow-up advice, medication and other instructions in an understandable manner (no BD/TID/QID; equipment and wound care where needed);</w:t>
      </w:r>
    </w:p>
    <w:p>
      <w:pPr>
        <w:pStyle w:val="ListParagraph"/>
        <w:numPr>
          <w:ilvl w:val="0"/>
          <w:numId w:val="1"/>
        </w:numPr>
        <w:spacing w:after="60"/>
      </w:pPr>
      <w:r>
        <w:rPr>
          <w:sz w:val="22"/>
          <w:szCs w:val="22"/>
        </w:rPr>
        <w:t xml:space="preserve">include instructions on when and how to obtain urgent care;</w:t>
      </w:r>
    </w:p>
    <w:p>
      <w:pPr>
        <w:pStyle w:val="ListParagraph"/>
        <w:numPr>
          <w:ilvl w:val="0"/>
          <w:numId w:val="1"/>
        </w:numPr>
        <w:spacing w:after="60"/>
      </w:pPr>
      <w:r>
        <w:rPr>
          <w:sz w:val="22"/>
          <w:szCs w:val="22"/>
        </w:rPr>
        <w:t xml:space="preserve">in case of death, include the cause of death (and post-mortem documentation when the cause is unclear or MLC).</w:t>
      </w:r>
    </w:p>
    <w:p>
      <w:pPr>
        <w:spacing w:after="140"/>
      </w:pPr>
      <w:r>
        <w:rPr>
          <w:sz w:val="22"/>
          <w:szCs w:val="22"/>
        </w:rPr>
        <w:t xml:space="preserve">The chapter intent is that discharge protocols are well defined and that the patient leaves with a usable clinical record.</w:t>
      </w:r>
    </w:p>
    <w:p>
      <w:pPr>
        <w:spacing w:after="140"/>
      </w:pPr>
      <w:r>
        <w:rPr>
          <w:sz w:val="22"/>
          <w:szCs w:val="22"/>
        </w:rPr>
        <w:t xml:space="preserve">This policy owns summary content. AAC.12 owns the discharge process (planning, coordination, LAMA guidance, that a summary is given, planned discharge, domiciliary visits, discharge-time monitoring). Cross-reference AAC.12 for process; do not rewrite process steps here. Cross-reference AAC.4.g for continued-care education elements that appear as instructions. Cross-reference PSQ.4.d for urgent-care instruction alignment.</w:t>
      </w:r>
    </w:p>
    <w:p>
      <w:pPr>
        <w:spacing w:after="140"/>
      </w:pPr>
      <w:r>
        <w:rPr>
          <w:sz w:val="22"/>
          <w:szCs w:val="22"/>
        </w:rPr>
        <w:t xml:space="preserve">Words marked «like this» are defaults a hospital can keep. A blank marked «________» has no sensible default. Fill it in before this document is signed.</w:t>
      </w:r>
    </w:p>
    <w:p>
      <w:pPr>
        <w:pStyle w:val="Heading1"/>
        <w:spacing w:after="120" w:before="280"/>
      </w:pPr>
      <w:r>
        <w:t xml:space="preserve">2. Scope</w:t>
      </w:r>
    </w:p>
    <w:p>
      <w:pPr>
        <w:spacing w:after="140"/>
      </w:pPr>
      <w:r>
        <w:rPr>
          <w:sz w:val="22"/>
          <w:szCs w:val="22"/>
        </w:rPr>
        <w:t xml:space="preserve">This policy applies to every discharge summary and death summary issued at «Hospital Name», including summaries for patients leaving against medical advice.</w:t>
      </w:r>
    </w:p>
    <w:p>
      <w:pPr>
        <w:spacing w:after="140"/>
      </w:pPr>
      <w:r>
        <w:rPr>
          <w:sz w:val="22"/>
          <w:szCs w:val="22"/>
        </w:rPr>
        <w:t xml:space="preserve">It binds:</w:t>
      </w:r>
    </w:p>
    <w:p>
      <w:pPr>
        <w:pStyle w:val="ListParagraph"/>
        <w:numPr>
          <w:ilvl w:val="0"/>
          <w:numId w:val="1"/>
        </w:numPr>
        <w:spacing w:after="60"/>
      </w:pPr>
      <w:r>
        <w:rPr>
          <w:sz w:val="22"/>
          <w:szCs w:val="22"/>
        </w:rPr>
        <w:t xml:space="preserve">treating doctors (or a doctor member of the treating team) who write and sign the summary;</w:t>
      </w:r>
    </w:p>
    <w:p>
      <w:pPr>
        <w:pStyle w:val="ListParagraph"/>
        <w:numPr>
          <w:ilvl w:val="0"/>
          <w:numId w:val="1"/>
        </w:numPr>
        <w:spacing w:after="60"/>
      </w:pPr>
      <w:r>
        <w:rPr>
          <w:sz w:val="22"/>
          <w:szCs w:val="22"/>
        </w:rPr>
        <w:t xml:space="preserve">nurses who explain instructions and support acknowledgement of receipt;</w:t>
      </w:r>
    </w:p>
    <w:p>
      <w:pPr>
        <w:pStyle w:val="ListParagraph"/>
        <w:numPr>
          <w:ilvl w:val="0"/>
          <w:numId w:val="1"/>
        </w:numPr>
        <w:spacing w:after="60"/>
      </w:pPr>
      <w:r>
        <w:rPr>
          <w:sz w:val="22"/>
          <w:szCs w:val="22"/>
        </w:rPr>
        <w:t xml:space="preserve">registration / front-office who may record hand-over of the copy;</w:t>
      </w:r>
    </w:p>
    <w:p>
      <w:pPr>
        <w:pStyle w:val="ListParagraph"/>
        <w:numPr>
          <w:ilvl w:val="0"/>
          <w:numId w:val="1"/>
        </w:numPr>
        <w:spacing w:after="60"/>
      </w:pPr>
      <w:r>
        <w:rPr>
          <w:sz w:val="22"/>
          <w:szCs w:val="22"/>
        </w:rPr>
        <w:t xml:space="preserve">the «discharge coordinator» if used, who checks that a signed summary is present before the patient leaves;</w:t>
      </w:r>
    </w:p>
    <w:p>
      <w:pPr>
        <w:pStyle w:val="ListParagraph"/>
        <w:numPr>
          <w:ilvl w:val="0"/>
          <w:numId w:val="1"/>
        </w:numPr>
        <w:spacing w:after="60"/>
      </w:pPr>
      <w:r>
        <w:rPr>
          <w:sz w:val="22"/>
          <w:szCs w:val="22"/>
        </w:rPr>
        <w:t xml:space="preserve">the «Medical Superintendent» who is accountable for the standardised template;</w:t>
      </w:r>
    </w:p>
    <w:p>
      <w:pPr>
        <w:pStyle w:val="ListParagraph"/>
        <w:numPr>
          <w:ilvl w:val="0"/>
          <w:numId w:val="1"/>
        </w:numPr>
        <w:spacing w:after="60"/>
      </w:pPr>
      <w:r>
        <w:rPr>
          <w:sz w:val="22"/>
          <w:szCs w:val="22"/>
        </w:rPr>
        <w:t xml:space="preserve">the «Quality Coordinator» who audits content completeness.</w:t>
      </w:r>
    </w:p>
    <w:p>
      <w:pPr>
        <w:spacing w:after="140"/>
      </w:pPr>
      <w:r>
        <w:rPr>
          <w:sz w:val="22"/>
          <w:szCs w:val="22"/>
        </w:rPr>
        <w:t xml:space="preserve">Boundaries with other policies of «Hospital Name»:</w:t>
      </w:r>
    </w:p>
    <w:p>
      <w:pPr>
        <w:pStyle w:val="ListParagraph"/>
        <w:numPr>
          <w:ilvl w:val="0"/>
          <w:numId w:val="1"/>
        </w:numPr>
        <w:spacing w:after="60"/>
      </w:pPr>
      <w:r>
        <w:rPr>
          <w:sz w:val="22"/>
          <w:szCs w:val="22"/>
        </w:rPr>
        <w:t xml:space="preserve">AAC.12 owns the discharge process and the duty to give a summary to all leavers. This policy owns what that summary contains and how instructions are written.</w:t>
      </w:r>
    </w:p>
    <w:p>
      <w:pPr>
        <w:pStyle w:val="ListParagraph"/>
        <w:numPr>
          <w:ilvl w:val="0"/>
          <w:numId w:val="1"/>
        </w:numPr>
        <w:spacing w:after="60"/>
      </w:pPr>
      <w:r>
        <w:rPr>
          <w:sz w:val="22"/>
          <w:szCs w:val="22"/>
        </w:rPr>
        <w:t xml:space="preserve">AAC.4.g owns related continued-care education elements; this policy owns how follow-up, medication and equipment instructions appear on the summary.</w:t>
      </w:r>
    </w:p>
    <w:p>
      <w:pPr>
        <w:pStyle w:val="ListParagraph"/>
        <w:numPr>
          <w:ilvl w:val="0"/>
          <w:numId w:val="1"/>
        </w:numPr>
        <w:spacing w:after="60"/>
      </w:pPr>
      <w:r>
        <w:rPr>
          <w:sz w:val="22"/>
          <w:szCs w:val="22"/>
        </w:rPr>
        <w:t xml:space="preserve">PSQ.4.d owns related urgent-care communication expectations; this policy owns that the discharge summary incorporates when and how to obtain urgent care.</w:t>
      </w:r>
    </w:p>
    <w:p>
      <w:pPr>
        <w:pStyle w:val="ListParagraph"/>
        <w:numPr>
          <w:ilvl w:val="0"/>
          <w:numId w:val="1"/>
        </w:numPr>
        <w:spacing w:after="60"/>
      </w:pPr>
      <w:r>
        <w:rPr>
          <w:sz w:val="22"/>
          <w:szCs w:val="22"/>
        </w:rPr>
        <w:t xml:space="preserve">AAC.2 owns the unique identification number used on the summary.</w:t>
      </w:r>
    </w:p>
    <w:p>
      <w:pPr>
        <w:pStyle w:val="ListParagraph"/>
        <w:numPr>
          <w:ilvl w:val="0"/>
          <w:numId w:val="1"/>
        </w:numPr>
        <w:spacing w:after="60"/>
      </w:pPr>
      <w:r>
        <w:rPr>
          <w:sz w:val="22"/>
          <w:szCs w:val="22"/>
        </w:rPr>
        <w:t xml:space="preserve">MOM owns implant batch/serial traceability where implants are used; if implant identifiers are required on the summary by that chapter, they are not redefined here.</w:t>
      </w:r>
    </w:p>
    <w:p>
      <w:pPr>
        <w:pStyle w:val="Heading1"/>
        <w:spacing w:after="120" w:before="280"/>
      </w:pPr>
      <w:r>
        <w:t xml:space="preserve">3. Policy standards</w:t>
      </w:r>
    </w:p>
    <w:p>
      <w:pPr>
        <w:spacing w:after="140"/>
      </w:pPr>
      <w:r>
        <w:rPr>
          <w:sz w:val="22"/>
          <w:szCs w:val="22"/>
        </w:rPr>
        <w:t xml:space="preserve">«Hospital Name» provides a discharge summary to the patient at the time of discharge. The summary is signed by the treating doctor or a doctor member of the treating team. The patient or family acknowledges receipt.</w:t>
      </w:r>
    </w:p>
    <w:p>
      <w:pPr>
        <w:spacing w:after="140"/>
      </w:pPr>
      <w:r>
        <w:rPr>
          <w:sz w:val="22"/>
          <w:szCs w:val="22"/>
        </w:rPr>
        <w:t xml:space="preserve">«Hospital Name» uses standardised discharge-summary content covering identification, treating doctor, dates, reasons for admission, significant findings, diagnosis and condition at discharge, investigation results, procedures, medications administered and other treatment given.</w:t>
      </w:r>
    </w:p>
    <w:p>
      <w:pPr>
        <w:spacing w:after="140"/>
      </w:pPr>
      <w:r>
        <w:rPr>
          <w:sz w:val="22"/>
          <w:szCs w:val="22"/>
        </w:rPr>
        <w:t xml:space="preserve">«Hospital Name» writes follow-up advice, medication and other instructions in an understandable manner, includes when and how to obtain urgent care, and in case of death includes the cause of death.</w:t>
      </w:r>
    </w:p>
    <w:p>
      <w:pPr>
        <w:spacing w:after="140"/>
      </w:pPr>
      <w:r>
        <w:rPr>
          <w:sz w:val="22"/>
          <w:szCs w:val="22"/>
        </w:rPr>
        <w:t xml:space="preserve">«Hospital Name» does not issue a summary that uses only Latin dose abbreviations the patient cannot understand, and does not leave process ownership to this document — process remains AAC.12.</w:t>
      </w:r>
    </w:p>
    <w:p>
      <w:pPr>
        <w:pStyle w:val="Heading1"/>
        <w:spacing w:after="120" w:before="280"/>
      </w:pPr>
      <w:r>
        <w:t xml:space="preserve">4. Non-negotiable rules</w:t>
      </w:r>
    </w:p>
    <w:p>
      <w:pPr>
        <w:spacing w:after="140"/>
      </w:pPr>
      <w:r>
        <w:rPr>
          <w:sz w:val="22"/>
          <w:szCs w:val="22"/>
        </w:rPr>
        <w:t xml:space="preserve">The following are prohibited. There is no ward convenience exception.</w:t>
      </w:r>
    </w:p>
    <w:p>
      <w:pPr>
        <w:spacing w:after="80"/>
      </w:pPr>
      <w:r>
        <w:rPr>
          <w:sz w:val="22"/>
          <w:szCs w:val="22"/>
        </w:rPr>
        <w:t xml:space="preserve">1. Discharging a patient without providing a signed discharge summary at the time of discharge, or without recording acknowledgement of receipt.</w:t>
      </w:r>
    </w:p>
    <w:p>
      <w:pPr>
        <w:spacing w:after="80"/>
      </w:pPr>
      <w:r>
        <w:rPr>
          <w:sz w:val="22"/>
          <w:szCs w:val="22"/>
        </w:rPr>
        <w:t xml:space="preserve">2. Issuing a summary missing standardised minimum content: name, unique ID, treating doctor, admission and discharge dates, reasons for admission, significant findings/diagnosis/condition at discharge, investigation results, procedures, medications administered, or other treatment given.</w:t>
      </w:r>
    </w:p>
    <w:p>
      <w:pPr>
        <w:spacing w:after="80"/>
      </w:pPr>
      <w:r>
        <w:rPr>
          <w:sz w:val="22"/>
          <w:szCs w:val="22"/>
        </w:rPr>
        <w:t xml:space="preserve">3. Writing follow-up or medication instructions only as BD, TID, QID or other abbreviations the patient cannot understand, or omitting equipment/wound-care instructions when they apply.</w:t>
      </w:r>
    </w:p>
    <w:p>
      <w:pPr>
        <w:spacing w:after="80"/>
      </w:pPr>
      <w:r>
        <w:rPr>
          <w:sz w:val="22"/>
          <w:szCs w:val="22"/>
        </w:rPr>
        <w:t xml:space="preserve">4. Omitting specific instructions on when and how to obtain urgent care for that patient's diagnosis and condition.</w:t>
      </w:r>
    </w:p>
    <w:p>
      <w:pPr>
        <w:spacing w:after="80"/>
      </w:pPr>
      <w:r>
        <w:rPr>
          <w:sz w:val="22"/>
          <w:szCs w:val="22"/>
        </w:rPr>
        <w:t xml:space="preserve">5. Issuing a death summary without the cause of death, or failing to document post-mortem when the cause is unclear or the case is medico-legal as required.</w:t>
      </w:r>
    </w:p>
    <w:p>
      <w:pPr>
        <w:spacing w:after="140"/>
      </w:pPr>
      <w:r>
        <w:rPr>
          <w:sz w:val="22"/>
          <w:szCs w:val="22"/>
        </w:rPr>
        <w:t xml:space="preserve">Staff who see one of these acts report it the same shift to the «treating doctor» or the «Medical Superintendent».</w:t>
      </w:r>
    </w:p>
    <w:p>
      <w:pPr>
        <w:pStyle w:val="Heading1"/>
        <w:spacing w:after="120" w:before="280"/>
      </w:pPr>
      <w:r>
        <w:t xml:space="preserve">5. What we do</w:t>
      </w:r>
    </w:p>
    <w:p>
      <w:pPr>
        <w:pStyle w:val="Heading2"/>
        <w:spacing w:after="100" w:before="220"/>
      </w:pPr>
      <w:r>
        <w:t xml:space="preserve">5.1 Summary provided, signed and receipt acknowledged</w:t>
      </w:r>
    </w:p>
    <w:p>
      <w:pPr>
        <w:spacing w:after="140"/>
      </w:pPr>
      <w:r>
        <w:rPr>
          <w:sz w:val="22"/>
          <w:szCs w:val="22"/>
        </w:rPr>
        <w:t xml:space="preserve">A discharge summary is provided to the patient at the time of discharge at «Hospital Name».</w:t>
      </w:r>
    </w:p>
    <w:p>
      <w:pPr>
        <w:spacing w:after="140"/>
      </w:pPr>
      <w:r>
        <w:rPr>
          <w:sz w:val="22"/>
          <w:szCs w:val="22"/>
        </w:rPr>
        <w:t xml:space="preserve">The discharge summary is signed by the treating doctor or a doctor member of the treating team. The patient or family acknowledges receipt of the summary. Acknowledgement is recorded — «on the summary copy retained in the record, or on a receipt slip» — with date and name of the person receiving it.</w:t>
      </w:r>
    </w:p>
    <w:p>
      <w:pPr>
        <w:pStyle w:val="Heading2"/>
        <w:spacing w:after="100" w:before="220"/>
      </w:pPr>
      <w:r>
        <w:t xml:space="preserve">5.2 Standardised content</w:t>
      </w:r>
    </w:p>
    <w:p>
      <w:pPr>
        <w:spacing w:after="140"/>
      </w:pPr>
      <w:r>
        <w:rPr>
          <w:sz w:val="22"/>
          <w:szCs w:val="22"/>
        </w:rPr>
        <w:t xml:space="preserve">Discharge summaries at «Hospital Name» have standardised content. The minimum content is:</w:t>
      </w:r>
    </w:p>
    <w:p>
      <w:pPr>
        <w:pStyle w:val="ListParagraph"/>
        <w:numPr>
          <w:ilvl w:val="0"/>
          <w:numId w:val="1"/>
        </w:numPr>
        <w:spacing w:after="60"/>
      </w:pPr>
      <w:r>
        <w:rPr>
          <w:sz w:val="22"/>
          <w:szCs w:val="22"/>
        </w:rPr>
        <w:t xml:space="preserve">patient's name;</w:t>
      </w:r>
    </w:p>
    <w:p>
      <w:pPr>
        <w:pStyle w:val="ListParagraph"/>
        <w:numPr>
          <w:ilvl w:val="0"/>
          <w:numId w:val="1"/>
        </w:numPr>
        <w:spacing w:after="60"/>
      </w:pPr>
      <w:r>
        <w:rPr>
          <w:sz w:val="22"/>
          <w:szCs w:val="22"/>
        </w:rPr>
        <w:t xml:space="preserve">unique identification number;</w:t>
      </w:r>
    </w:p>
    <w:p>
      <w:pPr>
        <w:pStyle w:val="ListParagraph"/>
        <w:numPr>
          <w:ilvl w:val="0"/>
          <w:numId w:val="1"/>
        </w:numPr>
        <w:spacing w:after="60"/>
      </w:pPr>
      <w:r>
        <w:rPr>
          <w:sz w:val="22"/>
          <w:szCs w:val="22"/>
        </w:rPr>
        <w:t xml:space="preserve">name of the treating doctor;</w:t>
      </w:r>
    </w:p>
    <w:p>
      <w:pPr>
        <w:pStyle w:val="ListParagraph"/>
        <w:numPr>
          <w:ilvl w:val="0"/>
          <w:numId w:val="1"/>
        </w:numPr>
        <w:spacing w:after="60"/>
      </w:pPr>
      <w:r>
        <w:rPr>
          <w:sz w:val="22"/>
          <w:szCs w:val="22"/>
        </w:rPr>
        <w:t xml:space="preserve">date of admission and date of discharge;</w:t>
      </w:r>
    </w:p>
    <w:p>
      <w:pPr>
        <w:pStyle w:val="ListParagraph"/>
        <w:numPr>
          <w:ilvl w:val="0"/>
          <w:numId w:val="1"/>
        </w:numPr>
        <w:spacing w:after="60"/>
      </w:pPr>
      <w:r>
        <w:rPr>
          <w:sz w:val="22"/>
          <w:szCs w:val="22"/>
        </w:rPr>
        <w:t xml:space="preserve">reasons for admission;</w:t>
      </w:r>
    </w:p>
    <w:p>
      <w:pPr>
        <w:pStyle w:val="ListParagraph"/>
        <w:numPr>
          <w:ilvl w:val="0"/>
          <w:numId w:val="1"/>
        </w:numPr>
        <w:spacing w:after="60"/>
      </w:pPr>
      <w:r>
        <w:rPr>
          <w:sz w:val="22"/>
          <w:szCs w:val="22"/>
        </w:rPr>
        <w:t xml:space="preserve">significant findings, diagnosis and the patient's condition at the time of discharge;</w:t>
      </w:r>
    </w:p>
    <w:p>
      <w:pPr>
        <w:pStyle w:val="ListParagraph"/>
        <w:numPr>
          <w:ilvl w:val="0"/>
          <w:numId w:val="1"/>
        </w:numPr>
        <w:spacing w:after="60"/>
      </w:pPr>
      <w:r>
        <w:rPr>
          <w:sz w:val="22"/>
          <w:szCs w:val="22"/>
        </w:rPr>
        <w:t xml:space="preserve">information regarding investigation results;</w:t>
      </w:r>
    </w:p>
    <w:p>
      <w:pPr>
        <w:pStyle w:val="ListParagraph"/>
        <w:numPr>
          <w:ilvl w:val="0"/>
          <w:numId w:val="1"/>
        </w:numPr>
        <w:spacing w:after="60"/>
      </w:pPr>
      <w:r>
        <w:rPr>
          <w:sz w:val="22"/>
          <w:szCs w:val="22"/>
        </w:rPr>
        <w:t xml:space="preserve">any procedure performed;</w:t>
      </w:r>
    </w:p>
    <w:p>
      <w:pPr>
        <w:pStyle w:val="ListParagraph"/>
        <w:numPr>
          <w:ilvl w:val="0"/>
          <w:numId w:val="1"/>
        </w:numPr>
        <w:spacing w:after="60"/>
      </w:pPr>
      <w:r>
        <w:rPr>
          <w:sz w:val="22"/>
          <w:szCs w:val="22"/>
        </w:rPr>
        <w:t xml:space="preserve">medication administered;</w:t>
      </w:r>
    </w:p>
    <w:p>
      <w:pPr>
        <w:pStyle w:val="ListParagraph"/>
        <w:numPr>
          <w:ilvl w:val="0"/>
          <w:numId w:val="1"/>
        </w:numPr>
        <w:spacing w:after="60"/>
      </w:pPr>
      <w:r>
        <w:rPr>
          <w:sz w:val="22"/>
          <w:szCs w:val="22"/>
        </w:rPr>
        <w:t xml:space="preserve">any other treatment given.</w:t>
      </w:r>
    </w:p>
    <w:p>
      <w:pPr>
        <w:spacing w:after="140"/>
      </w:pPr>
      <w:r>
        <w:rPr>
          <w:sz w:val="22"/>
          <w:szCs w:val="22"/>
        </w:rPr>
        <w:t xml:space="preserve">In addition to the treating doctor, the summary may name other consultants involved in treatment. The «Medical Superintendent» holds the current template; treating doctors complete every field or mark a field as not applicable with reason.</w:t>
      </w:r>
    </w:p>
    <w:p>
      <w:pPr>
        <w:pStyle w:val="Heading2"/>
        <w:spacing w:after="100" w:before="220"/>
      </w:pPr>
      <w:r>
        <w:t xml:space="preserve">5.3 Understandable follow-up, medication and other instructions</w:t>
      </w:r>
    </w:p>
    <w:p>
      <w:pPr>
        <w:spacing w:after="140"/>
      </w:pPr>
      <w:r>
        <w:rPr>
          <w:sz w:val="22"/>
          <w:szCs w:val="22"/>
        </w:rPr>
        <w:t xml:space="preserve">The discharge summary contains follow-up advice, medication and other instructions in an understandable manner. Preventive aspects are incorporated where appropriate.</w:t>
      </w:r>
    </w:p>
    <w:p>
      <w:pPr>
        <w:spacing w:after="140"/>
      </w:pPr>
      <w:r>
        <w:rPr>
          <w:sz w:val="22"/>
          <w:szCs w:val="22"/>
        </w:rPr>
        <w:t xml:space="preserve">Follow-up advice, medication and other instructions are explained to the patient and/or relatives in a language and manner they understand. Medical terms such as BD, TID and QID are not used; frequencies are written in plain words (for example morning and night, three times a day).</w:t>
      </w:r>
    </w:p>
    <w:p>
      <w:pPr>
        <w:spacing w:after="140"/>
      </w:pPr>
      <w:r>
        <w:rPr>
          <w:sz w:val="22"/>
          <w:szCs w:val="22"/>
        </w:rPr>
        <w:t xml:space="preserve">Other instructions include safe and effective use of medical equipment at home — for example CPAP, nebulizer, rehab equipment — where applicable. For post-operative patients the summary includes wound-care instructions and pressure-ulcer care after discharge where relevant.</w:t>
      </w:r>
    </w:p>
    <w:p>
      <w:pPr>
        <w:spacing w:after="140"/>
      </w:pPr>
      <w:r>
        <w:rPr>
          <w:sz w:val="22"/>
          <w:szCs w:val="22"/>
        </w:rPr>
        <w:t xml:space="preserve">Cross-reference AAC.4.g for related continued-care education. Explanation is documented.</w:t>
      </w:r>
    </w:p>
    <w:p>
      <w:pPr>
        <w:pStyle w:val="Heading2"/>
        <w:spacing w:after="100" w:before="220"/>
      </w:pPr>
      <w:r>
        <w:t xml:space="preserve">5.4 When and how to obtain urgent care</w:t>
      </w:r>
    </w:p>
    <w:p>
      <w:pPr>
        <w:spacing w:after="140"/>
      </w:pPr>
      <w:r>
        <w:rPr>
          <w:sz w:val="22"/>
          <w:szCs w:val="22"/>
        </w:rPr>
        <w:t xml:space="preserve">The discharge summary incorporates instructions about when and how to obtain urgent care.</w:t>
      </w:r>
    </w:p>
    <w:p>
      <w:pPr>
        <w:spacing w:after="140"/>
      </w:pPr>
      <w:r>
        <w:rPr>
          <w:sz w:val="22"/>
          <w:szCs w:val="22"/>
        </w:rPr>
        <w:t xml:space="preserve">Advice on when the patient shall seek urgent care is specific to the patient's diagnosis and clinical condition at discharge — for example development of fever, or bleeding or discharge from the operative site. Advice may state what medicines to take, when to consult a doctor, how to seek medical help, and the contact number of the hospital or doctor.</w:t>
      </w:r>
    </w:p>
    <w:p>
      <w:pPr>
        <w:spacing w:after="140"/>
      </w:pPr>
      <w:r>
        <w:rPr>
          <w:sz w:val="22"/>
          <w:szCs w:val="22"/>
        </w:rPr>
        <w:t xml:space="preserve">Instructions about when and how to obtain urgent care are explained to the patient and/or relatives in a language and manner they understand. Follow-up of post-operative and at-risk patients is good practice from a patient-safety point of view. Cross-reference PSQ.4.d.</w:t>
      </w:r>
    </w:p>
    <w:p>
      <w:pPr>
        <w:pStyle w:val="Heading2"/>
        <w:spacing w:after="100" w:before="220"/>
      </w:pPr>
      <w:r>
        <w:t xml:space="preserve">5.5 Cause of death in the death summary</w:t>
      </w:r>
    </w:p>
    <w:p>
      <w:pPr>
        <w:spacing w:after="140"/>
      </w:pPr>
      <w:r>
        <w:rPr>
          <w:sz w:val="22"/>
          <w:szCs w:val="22"/>
        </w:rPr>
        <w:t xml:space="preserve">In case of death, the summary of the case also includes the cause of death.</w:t>
      </w:r>
    </w:p>
    <w:p>
      <w:pPr>
        <w:spacing w:after="140"/>
      </w:pPr>
      <w:r>
        <w:rPr>
          <w:sz w:val="22"/>
          <w:szCs w:val="22"/>
        </w:rPr>
        <w:t xml:space="preserve">When the cause of death is not clear, a post-mortem is performed (for example in MLC) and the same is documented. The death summary is given to the next of kin under AAC.12 process; this step owns that cause of death (and post-mortem documentation where required) appears in the summary content.</w:t>
      </w:r>
    </w:p>
    <w:p>
      <w:pPr>
        <w:pStyle w:val="Heading1"/>
        <w:spacing w:after="120" w:before="280"/>
      </w:pPr>
      <w:r>
        <w:t xml:space="preserve">6. Governance and responsibility</w:t>
      </w:r>
    </w:p>
    <w:p>
      <w:pPr>
        <w:pStyle w:val="ListParagraph"/>
        <w:numPr>
          <w:ilvl w:val="0"/>
          <w:numId w:val="1"/>
        </w:numPr>
        <w:spacing w:after="60"/>
      </w:pPr>
      <w:r>
        <w:rPr>
          <w:sz w:val="22"/>
          <w:szCs w:val="22"/>
        </w:rPr>
        <w:t xml:space="preserve">Medical Superintendent</w:t>
      </w:r>
    </w:p>
    <w:p>
      <w:pPr>
        <w:pStyle w:val="ListParagraph"/>
        <w:numPr>
          <w:ilvl w:val="0"/>
          <w:numId w:val="1"/>
        </w:numPr>
        <w:spacing w:after="60"/>
      </w:pPr>
      <w:r>
        <w:rPr>
          <w:sz w:val="22"/>
          <w:szCs w:val="22"/>
        </w:rPr>
        <w:t xml:space="preserve">Holds the standardised discharge-summary template.</w:t>
      </w:r>
    </w:p>
    <w:p>
      <w:pPr>
        <w:pStyle w:val="ListParagraph"/>
        <w:numPr>
          <w:ilvl w:val="0"/>
          <w:numId w:val="1"/>
        </w:numPr>
        <w:spacing w:after="60"/>
      </w:pPr>
      <w:r>
        <w:rPr>
          <w:sz w:val="22"/>
          <w:szCs w:val="22"/>
        </w:rPr>
        <w:t xml:space="preserve">Accountable that content rules are followed.</w:t>
      </w:r>
    </w:p>
    <w:p>
      <w:pPr>
        <w:pStyle w:val="ListParagraph"/>
        <w:numPr>
          <w:ilvl w:val="0"/>
          <w:numId w:val="1"/>
        </w:numPr>
        <w:spacing w:after="60"/>
      </w:pPr>
      <w:r>
        <w:rPr>
          <w:sz w:val="22"/>
          <w:szCs w:val="22"/>
        </w:rPr>
        <w:t xml:space="preserve">Treating doctors (or doctor member of treating team)</w:t>
      </w:r>
    </w:p>
    <w:p>
      <w:pPr>
        <w:pStyle w:val="ListParagraph"/>
        <w:numPr>
          <w:ilvl w:val="0"/>
          <w:numId w:val="1"/>
        </w:numPr>
        <w:spacing w:after="60"/>
      </w:pPr>
      <w:r>
        <w:rPr>
          <w:sz w:val="22"/>
          <w:szCs w:val="22"/>
        </w:rPr>
        <w:t xml:space="preserve">Write and sign the summary; include all standardised fields; write understandable instructions and urgent-care advice; include cause of death where applicable.</w:t>
      </w:r>
    </w:p>
    <w:p>
      <w:pPr>
        <w:pStyle w:val="ListParagraph"/>
        <w:numPr>
          <w:ilvl w:val="0"/>
          <w:numId w:val="1"/>
        </w:numPr>
        <w:spacing w:after="60"/>
      </w:pPr>
      <w:r>
        <w:rPr>
          <w:sz w:val="22"/>
          <w:szCs w:val="22"/>
        </w:rPr>
        <w:t xml:space="preserve">Nurses</w:t>
      </w:r>
    </w:p>
    <w:p>
      <w:pPr>
        <w:pStyle w:val="ListParagraph"/>
        <w:numPr>
          <w:ilvl w:val="0"/>
          <w:numId w:val="1"/>
        </w:numPr>
        <w:spacing w:after="60"/>
      </w:pPr>
      <w:r>
        <w:rPr>
          <w:sz w:val="22"/>
          <w:szCs w:val="22"/>
        </w:rPr>
        <w:t xml:space="preserve">Explain instructions in a language the patient/family understands; support acknowledgement of receipt.</w:t>
      </w:r>
    </w:p>
    <w:p>
      <w:pPr>
        <w:pStyle w:val="ListParagraph"/>
        <w:numPr>
          <w:ilvl w:val="0"/>
          <w:numId w:val="1"/>
        </w:numPr>
        <w:spacing w:after="60"/>
      </w:pPr>
      <w:r>
        <w:rPr>
          <w:sz w:val="22"/>
          <w:szCs w:val="22"/>
        </w:rPr>
        <w:t xml:space="preserve">Discharge coordinator (if used)</w:t>
      </w:r>
    </w:p>
    <w:p>
      <w:pPr>
        <w:pStyle w:val="ListParagraph"/>
        <w:numPr>
          <w:ilvl w:val="0"/>
          <w:numId w:val="1"/>
        </w:numPr>
        <w:spacing w:after="60"/>
      </w:pPr>
      <w:r>
        <w:rPr>
          <w:sz w:val="22"/>
          <w:szCs w:val="22"/>
        </w:rPr>
        <w:t xml:space="preserve">Confirms a signed summary with acknowledgement is present before the patient leaves.</w:t>
      </w:r>
    </w:p>
    <w:p>
      <w:pPr>
        <w:pStyle w:val="ListParagraph"/>
        <w:numPr>
          <w:ilvl w:val="0"/>
          <w:numId w:val="1"/>
        </w:numPr>
        <w:spacing w:after="60"/>
      </w:pPr>
      <w:r>
        <w:rPr>
          <w:sz w:val="22"/>
          <w:szCs w:val="22"/>
        </w:rPr>
        <w:t xml:space="preserve">Registration / front-office</w:t>
      </w:r>
    </w:p>
    <w:p>
      <w:pPr>
        <w:pStyle w:val="ListParagraph"/>
        <w:numPr>
          <w:ilvl w:val="0"/>
          <w:numId w:val="1"/>
        </w:numPr>
        <w:spacing w:after="60"/>
      </w:pPr>
      <w:r>
        <w:rPr>
          <w:sz w:val="22"/>
          <w:szCs w:val="22"/>
        </w:rPr>
        <w:t xml:space="preserve">May record hand-over of the patient copy where that is local practice.</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(see monitoring section).</w:t>
      </w:r>
    </w:p>
    <w:p>
      <w:pPr>
        <w:pStyle w:val="ListParagraph"/>
        <w:numPr>
          <w:ilvl w:val="0"/>
          <w:numId w:val="1"/>
        </w:numPr>
        <w:spacing w:after="60"/>
      </w:pPr>
      <w:r>
        <w:rPr>
          <w:sz w:val="22"/>
          <w:szCs w:val="22"/>
        </w:rPr>
        <w:t xml:space="preserve">Tracks CAPA when summary-content defects recur.</w:t>
      </w:r>
    </w:p>
    <w:p>
      <w:pPr>
        <w:pStyle w:val="Heading1"/>
        <w:spacing w:after="120" w:before="280"/>
      </w:pPr>
      <w:r>
        <w:t xml:space="preserve">7. Quality monitoring (RCA → CAPA)</w:t>
      </w:r>
    </w:p>
    <w:p>
      <w:pPr>
        <w:spacing w:after="140"/>
      </w:pPr>
      <w:r>
        <w:rPr>
          <w:sz w:val="22"/>
          <w:szCs w:val="22"/>
        </w:rPr>
        <w:t xml:space="preserve">The Quality Coordinator audits this policy «quarterly».</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Sampled summaries signed; receipt acknowledged.</w:t>
      </w:r>
    </w:p>
    <w:p>
      <w:pPr>
        <w:pStyle w:val="ListParagraph"/>
        <w:numPr>
          <w:ilvl w:val="0"/>
          <w:numId w:val="1"/>
        </w:numPr>
        <w:spacing w:after="60"/>
      </w:pPr>
      <w:r>
        <w:rPr>
          <w:sz w:val="22"/>
          <w:szCs w:val="22"/>
        </w:rPr>
        <w:t xml:space="preserve">All standardised minimum content fields present or marked not applicable with reason.</w:t>
      </w:r>
    </w:p>
    <w:p>
      <w:pPr>
        <w:pStyle w:val="ListParagraph"/>
        <w:numPr>
          <w:ilvl w:val="0"/>
          <w:numId w:val="1"/>
        </w:numPr>
        <w:spacing w:after="60"/>
      </w:pPr>
      <w:r>
        <w:rPr>
          <w:sz w:val="22"/>
          <w:szCs w:val="22"/>
        </w:rPr>
        <w:t xml:space="preserve">Follow-up and medication instructions without BD/TID/QID; equipment and wound-care instructions present when applicable.</w:t>
      </w:r>
    </w:p>
    <w:p>
      <w:pPr>
        <w:pStyle w:val="ListParagraph"/>
        <w:numPr>
          <w:ilvl w:val="0"/>
          <w:numId w:val="1"/>
        </w:numPr>
        <w:spacing w:after="60"/>
      </w:pPr>
      <w:r>
        <w:rPr>
          <w:sz w:val="22"/>
          <w:szCs w:val="22"/>
        </w:rPr>
        <w:t xml:space="preserve">Urgent-care instructions specific to diagnosis/condition, with contact route.</w:t>
      </w:r>
    </w:p>
    <w:p>
      <w:pPr>
        <w:pStyle w:val="ListParagraph"/>
        <w:numPr>
          <w:ilvl w:val="0"/>
          <w:numId w:val="1"/>
        </w:numPr>
        <w:spacing w:after="60"/>
      </w:pPr>
      <w:r>
        <w:rPr>
          <w:sz w:val="22"/>
          <w:szCs w:val="22"/>
        </w:rPr>
        <w:t xml:space="preserve">Death summaries include cause of death; post-mortem documented when cause unclear or MLC.</w:t>
      </w:r>
    </w:p>
    <w:p>
      <w:pPr>
        <w:spacing w:after="140"/>
      </w:pPr>
      <w:r>
        <w:rPr>
          <w:sz w:val="22"/>
          <w:szCs w:val="22"/>
        </w:rPr>
        <w:t xml:space="preserve">Root-cause analysis is required when the same summary-content defect recurs within six months.</w:t>
      </w:r>
    </w:p>
    <w:p>
      <w:pPr>
        <w:spacing w:after="140"/>
      </w:pPr>
      <w:r>
        <w:rPr>
          <w:sz w:val="22"/>
          <w:szCs w:val="22"/>
        </w:rPr>
        <w:t xml:space="preserve">This policy is reviewed «annually», and sooner when the summary template or urgent-care contact routes change.</w:t>
      </w:r>
    </w:p>
    <w:p>
      <w:pPr>
        <w:pStyle w:val="Heading1"/>
        <w:spacing w:after="120" w:before="280"/>
      </w:pPr>
      <w:r>
        <w:t xml:space="preserve">8. Training and staff acknowledgement</w:t>
      </w:r>
    </w:p>
    <w:p>
      <w:pPr>
        <w:spacing w:after="140"/>
      </w:pPr>
      <w:r>
        <w:rPr>
          <w:sz w:val="22"/>
          <w:szCs w:val="22"/>
        </w:rPr>
        <w:t xml:space="preserve">All treating doctors and nurses who prepare or explain discharge summaries are trained on this policy at induction and «once a year» after that. Training covers the template fields, plain-language medication instructions, urgent-care wording and death-summary cause of death.</w:t>
      </w:r>
    </w:p>
    <w:p>
      <w:pPr>
        <w:spacing w:after="140"/>
      </w:pPr>
      <w:r>
        <w:rPr>
          <w:sz w:val="22"/>
          <w:szCs w:val="22"/>
        </w:rPr>
        <w:t xml:space="preserve">Staff acknowledgement</w:t>
      </w:r>
    </w:p>
    <w:p>
      <w:pPr>
        <w:spacing w:after="140"/>
      </w:pPr>
      <w:r>
        <w:rPr>
          <w:sz w:val="22"/>
          <w:szCs w:val="22"/>
        </w:rPr>
        <w:t xml:space="preserve">I have read this Content of the Discharge Summary policy of «Hospital Name». I will complete the standardised fields, write understandable instructions, include urgent-care advice and document cause of death where applicable.</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Nursing Superintendent holds signed acknowledgements with the induction record.</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Guidebook to Accreditation Standards for Hospitals, 6th Edition — Access, Assessment and Continuity of Care chapter, standard AAC.13 (PDF indices ~92–93; source OCR policies/source/hco6_aac_ocr.txt; PDF md5 2c4489ee98de4ae9b49cba168ea9f42a).</w:t>
      </w:r>
    </w:p>
    <w:p>
      <w:pPr>
        <w:pStyle w:val="ListParagraph"/>
        <w:numPr>
          <w:ilvl w:val="0"/>
          <w:numId w:val="1"/>
        </w:numPr>
        <w:spacing w:after="60"/>
      </w:pPr>
      <w:r>
        <w:rPr>
          <w:sz w:val="22"/>
          <w:szCs w:val="22"/>
        </w:rPr>
        <w:t xml:space="preserve">Cross-reference within the same guidebook: AAC.12 (discharge process); AAC.4.g (continued-care education); PSQ.4.d (urgent care).</w:t>
      </w:r>
    </w:p>
    <w:p>
      <w:pPr>
        <w:pStyle w:val="ListParagraph"/>
        <w:numPr>
          <w:ilvl w:val="0"/>
          <w:numId w:val="1"/>
        </w:numPr>
        <w:spacing w:after="60"/>
      </w:pPr>
      <w:r>
        <w:rPr>
          <w:sz w:val="22"/>
          <w:szCs w:val="22"/>
        </w:rPr>
        <w:t xml:space="preserve">Internal documents of «Hospital Name»: discharge-summary template; receipt acknowledgement method; death-summary template; urgent-care contact list.</w:t>
      </w:r>
    </w:p>
    <w:p>
      <w:pPr>
        <w:pStyle w:val="Heading1"/>
        <w:spacing w:after="120" w:before="280"/>
      </w:pPr>
      <w:r>
        <w:t xml:space="preserve">10. Distribution</w:t>
      </w:r>
    </w:p>
    <w:p>
      <w:pPr>
        <w:spacing w:after="140"/>
      </w:pPr>
      <w:r>
        <w:rPr>
          <w:sz w:val="22"/>
          <w:szCs w:val="22"/>
        </w:rPr>
        <w:t xml:space="preserve">Official master copy: office of the Medical Superintendent, «Hospital Name», with the Quality Coordinator.</w:t>
      </w:r>
    </w:p>
    <w:p>
      <w:pPr>
        <w:spacing w:after="140"/>
      </w:pPr>
      <w:r>
        <w:rPr>
          <w:sz w:val="22"/>
          <w:szCs w:val="22"/>
        </w:rPr>
        <w:t xml:space="preserve">Copies issued to: every in-patient ward; emergency; intensive care; nursing administration; discharge coordinator if that role exists; medical records.</w:t>
      </w:r>
    </w:p>
    <w:p>
      <w:pPr>
        <w:spacing w:after="140"/>
      </w:pPr>
      <w:r>
        <w:rPr>
          <w:sz w:val="22"/>
          <w:szCs w:val="22"/>
        </w:rPr>
        <w:t xml:space="preserve">The current version is available to all staff at the «front-office policy file» and, if the hospital keeps an intranet, at «staff intranet / policies».</w:t>
      </w:r>
    </w:p>
    <w:p>
      <w:pPr>
        <w:spacing w:after="140"/>
      </w:pPr>
      <w:r>
        <w:rPr>
          <w:sz w:val="22"/>
          <w:szCs w:val="22"/>
        </w:rPr>
        <w:t xml:space="preserve">When a new version is issued, take old copies out of use.</w:t>
      </w:r>
    </w:p>
    <w:p>
      <w:pPr>
        <w:pStyle w:val="Heading1"/>
        <w:spacing w:after="120" w:before="280"/>
      </w:pPr>
      <w:r>
        <w:t xml:space="preserve">11. Abbreviations</w:t>
      </w:r>
    </w:p>
    <w:p>
      <w:pPr>
        <w:spacing w:after="140"/>
      </w:pPr>
      <w:r>
        <w:rPr>
          <w:sz w:val="22"/>
          <w:szCs w:val="22"/>
        </w:rPr>
        <w:t xml:space="preserve">AAC — Access, Assessment and Continuity of Care (NABH HCO chapter)
CAPA — corrective and preventive action
CPAP — continuous positive airway pressure
HCO — Hospital Accreditation Programme (NABH Full Accreditation)
MLC — medico-legal case
NABH — National Accreditation Board for Hospitals and Healthcare Providers
OE — objective element
PSQ — Patient Safety and Quality (NABH HCO chapter)</w:t>
      </w:r>
    </w:p>
    <w:p>
      <w:pPr>
        <w:pStyle w:val="Heading1"/>
        <w:spacing w:after="120" w:before="280"/>
      </w:pPr>
      <w:r>
        <w:t xml:space="preserve">12. Traceability to NABH HCO Full Accreditation 6th Edition AAC.13</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AAC.13.a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A discharge summary is provided to the patients at the time of discharge.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Summary provided, signed and receipt acknowledged; Section 4 item 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doctors (sign); patient/family (acknowledge); nurses (support)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AAC.13.b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Discharge summary has a standardised content.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Standardised content; Section 4 item 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(template); treating doctors (complete fields)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AAC.13.c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Discharge summary contains follow-up advice, medication and other instructions in an understandable manner.</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Understandable follow-up, medication and other instructions; Section 4 item 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doctors (write); nurses (explain)</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AAC.13.d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Discharge summary incorporates instructions about when and how to obtain urgent care.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When and how to obtain urgent care; Section 4 item 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doctors (write); nurses (explain); Quality Coordinator (audit)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AAC.13.e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In case of death, the summary of the case also includes the cause of death.</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 Cause of death in the death summary; Section 4 item 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doctors (write death summary); Medical Superintendent (MLC/post-mortem oversight)</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AAC.13.a — A discharge summary is provided to the patients at the time of discharge.</w:t>
      </w:r>
    </w:p>
    <w:p>
      <w:pPr>
        <w:pStyle w:val="ListParagraph"/>
        <w:numPr>
          <w:ilvl w:val="0"/>
          <w:numId w:val="1"/>
        </w:numPr>
        <w:spacing w:after="60"/>
      </w:pPr>
      <w:r>
        <w:rPr>
          <w:sz w:val="22"/>
          <w:szCs w:val="22"/>
        </w:rPr>
        <w:t xml:space="preserve">Signed discharge summary issued at discharge.</w:t>
      </w:r>
    </w:p>
    <w:p>
      <w:pPr>
        <w:pStyle w:val="ListParagraph"/>
        <w:numPr>
          <w:ilvl w:val="0"/>
          <w:numId w:val="1"/>
        </w:numPr>
        <w:spacing w:after="60"/>
      </w:pPr>
      <w:r>
        <w:rPr>
          <w:sz w:val="22"/>
          <w:szCs w:val="22"/>
        </w:rPr>
        <w:t xml:space="preserve">Acknowledgement of receipt by patient or family.</w:t>
      </w:r>
    </w:p>
    <w:p>
      <w:pPr>
        <w:pStyle w:val="ListParagraph"/>
        <w:numPr>
          <w:ilvl w:val="0"/>
          <w:numId w:val="1"/>
        </w:numPr>
        <w:spacing w:after="60"/>
      </w:pPr>
      <w:r>
        <w:rPr>
          <w:sz w:val="22"/>
          <w:szCs w:val="22"/>
        </w:rPr>
        <w:t xml:space="preserve">Quarterly audit sample of signed summaries with acknowledgement.</w:t>
      </w:r>
    </w:p>
    <w:p>
      <w:pPr>
        <w:pStyle w:val="Heading2"/>
        <w:spacing w:after="100" w:before="220"/>
      </w:pPr>
      <w:r>
        <w:t xml:space="preserve">AAC.13.b — Discharge summary has a standardised content.</w:t>
      </w:r>
    </w:p>
    <w:p>
      <w:pPr>
        <w:pStyle w:val="ListParagraph"/>
        <w:numPr>
          <w:ilvl w:val="0"/>
          <w:numId w:val="1"/>
        </w:numPr>
        <w:spacing w:after="60"/>
      </w:pPr>
      <w:r>
        <w:rPr>
          <w:sz w:val="22"/>
          <w:szCs w:val="22"/>
        </w:rPr>
        <w:t xml:space="preserve">Current standardised discharge-summary template.</w:t>
      </w:r>
    </w:p>
    <w:p>
      <w:pPr>
        <w:pStyle w:val="ListParagraph"/>
        <w:numPr>
          <w:ilvl w:val="0"/>
          <w:numId w:val="1"/>
        </w:numPr>
        <w:spacing w:after="60"/>
      </w:pPr>
      <w:r>
        <w:rPr>
          <w:sz w:val="22"/>
          <w:szCs w:val="22"/>
        </w:rPr>
        <w:t xml:space="preserve">Completed summaries with name, unique ID, treating doctor, dates, reasons, findings/diagnosis/condition, investigations, procedures, medications, other treatment.</w:t>
      </w:r>
    </w:p>
    <w:p>
      <w:pPr>
        <w:pStyle w:val="ListParagraph"/>
        <w:numPr>
          <w:ilvl w:val="0"/>
          <w:numId w:val="1"/>
        </w:numPr>
        <w:spacing w:after="60"/>
      </w:pPr>
      <w:r>
        <w:rPr>
          <w:sz w:val="22"/>
          <w:szCs w:val="22"/>
        </w:rPr>
        <w:t xml:space="preserve">Quarterly completeness audit against the minimum content list.</w:t>
      </w:r>
    </w:p>
    <w:p>
      <w:pPr>
        <w:pStyle w:val="Heading2"/>
        <w:spacing w:after="100" w:before="220"/>
      </w:pPr>
      <w:r>
        <w:t xml:space="preserve">AAC.13.c — Discharge summary contains follow-up advice, medication and other instructions in an understandable manner.</w:t>
      </w:r>
    </w:p>
    <w:p>
      <w:pPr>
        <w:pStyle w:val="ListParagraph"/>
        <w:numPr>
          <w:ilvl w:val="0"/>
          <w:numId w:val="1"/>
        </w:numPr>
        <w:spacing w:after="60"/>
      </w:pPr>
      <w:r>
        <w:rPr>
          <w:sz w:val="22"/>
          <w:szCs w:val="22"/>
        </w:rPr>
        <w:t xml:space="preserve">Summaries with plain-language medication frequencies (no BD/TID/QID).</w:t>
      </w:r>
    </w:p>
    <w:p>
      <w:pPr>
        <w:pStyle w:val="ListParagraph"/>
        <w:numPr>
          <w:ilvl w:val="0"/>
          <w:numId w:val="1"/>
        </w:numPr>
        <w:spacing w:after="60"/>
      </w:pPr>
      <w:r>
        <w:rPr>
          <w:sz w:val="22"/>
          <w:szCs w:val="22"/>
        </w:rPr>
        <w:t xml:space="preserve">Equipment, wound-care or pressure-ulcer instructions where applicable.</w:t>
      </w:r>
    </w:p>
    <w:p>
      <w:pPr>
        <w:pStyle w:val="ListParagraph"/>
        <w:numPr>
          <w:ilvl w:val="0"/>
          <w:numId w:val="1"/>
        </w:numPr>
        <w:spacing w:after="60"/>
      </w:pPr>
      <w:r>
        <w:rPr>
          <w:sz w:val="22"/>
          <w:szCs w:val="22"/>
        </w:rPr>
        <w:t xml:space="preserve">Record that instructions were explained in a language the patient/family understands.</w:t>
      </w:r>
    </w:p>
    <w:p>
      <w:pPr>
        <w:pStyle w:val="Heading2"/>
        <w:spacing w:after="100" w:before="220"/>
      </w:pPr>
      <w:r>
        <w:t xml:space="preserve">AAC.13.d — Discharge summary incorporates instructions about when and how to obtain urgent care.</w:t>
      </w:r>
    </w:p>
    <w:p>
      <w:pPr>
        <w:pStyle w:val="ListParagraph"/>
        <w:numPr>
          <w:ilvl w:val="0"/>
          <w:numId w:val="1"/>
        </w:numPr>
        <w:spacing w:after="60"/>
      </w:pPr>
      <w:r>
        <w:rPr>
          <w:sz w:val="22"/>
          <w:szCs w:val="22"/>
        </w:rPr>
        <w:t xml:space="preserve">Urgent-care section specific to diagnosis and condition at discharge.</w:t>
      </w:r>
    </w:p>
    <w:p>
      <w:pPr>
        <w:pStyle w:val="ListParagraph"/>
        <w:numPr>
          <w:ilvl w:val="0"/>
          <w:numId w:val="1"/>
        </w:numPr>
        <w:spacing w:after="60"/>
      </w:pPr>
      <w:r>
        <w:rPr>
          <w:sz w:val="22"/>
          <w:szCs w:val="22"/>
        </w:rPr>
        <w:t xml:space="preserve">Hospital or doctor contact number on the summary.</w:t>
      </w:r>
    </w:p>
    <w:p>
      <w:pPr>
        <w:pStyle w:val="ListParagraph"/>
        <w:numPr>
          <w:ilvl w:val="0"/>
          <w:numId w:val="1"/>
        </w:numPr>
        <w:spacing w:after="60"/>
      </w:pPr>
      <w:r>
        <w:rPr>
          <w:sz w:val="22"/>
          <w:szCs w:val="22"/>
        </w:rPr>
        <w:t xml:space="preserve">Record of explanation of urgent-care instructions to patient/relatives.</w:t>
      </w:r>
    </w:p>
    <w:p>
      <w:pPr>
        <w:pStyle w:val="Heading2"/>
        <w:spacing w:after="100" w:before="220"/>
      </w:pPr>
      <w:r>
        <w:t xml:space="preserve">AAC.13.e — In case of death, the summary of the case also includes the cause of death.</w:t>
      </w:r>
    </w:p>
    <w:p>
      <w:pPr>
        <w:pStyle w:val="ListParagraph"/>
        <w:numPr>
          <w:ilvl w:val="0"/>
          <w:numId w:val="1"/>
        </w:numPr>
        <w:spacing w:after="60"/>
      </w:pPr>
      <w:r>
        <w:rPr>
          <w:sz w:val="22"/>
          <w:szCs w:val="22"/>
        </w:rPr>
        <w:t xml:space="preserve">Death summary stating cause of death.</w:t>
      </w:r>
    </w:p>
    <w:p>
      <w:pPr>
        <w:pStyle w:val="ListParagraph"/>
        <w:numPr>
          <w:ilvl w:val="0"/>
          <w:numId w:val="1"/>
        </w:numPr>
        <w:spacing w:after="60"/>
      </w:pPr>
      <w:r>
        <w:rPr>
          <w:sz w:val="22"/>
          <w:szCs w:val="22"/>
        </w:rPr>
        <w:t xml:space="preserve">Post-mortem documentation when cause unclear or MLC.</w:t>
      </w:r>
    </w:p>
    <w:p>
      <w:pPr>
        <w:pStyle w:val="ListParagraph"/>
        <w:numPr>
          <w:ilvl w:val="0"/>
          <w:numId w:val="1"/>
        </w:numPr>
        <w:spacing w:after="60"/>
      </w:pPr>
      <w:r>
        <w:rPr>
          <w:sz w:val="22"/>
          <w:szCs w:val="22"/>
        </w:rPr>
        <w:t xml:space="preserve">Copy retained in the medical record and given to next of kin under AAC.12 process.</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«Hospital Name»  |  «HCO/AAC/POL/13»  |  Controlled document  |  Content of the Discharge Summary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2026-08-20T13:01:20.152Z</dcterms:created>
  <dcterms:modified xsi:type="dcterms:W3CDTF">2026-08-20T13:01:20.152Z</dcterms:modified>
</cp:coreProperties>
</file>

<file path=docProps/custom.xml><?xml version="1.0" encoding="utf-8"?>
<Properties xmlns="http://schemas.openxmlformats.org/officeDocument/2006/custom-properties" xmlns:vt="http://schemas.openxmlformats.org/officeDocument/2006/docPropsVTypes"/>
</file>