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ROM.1.e — Those responsible for governance support the ethical management framework of the organisation.</w:t>
      </w:r>
    </w:p>
    <w:p>
      <w:r>
        <w:t>ROM.1 Record 01 — Ethical management framework — approval and annual review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Review Type: Initial approval, or annual review.</w:t>
      </w:r>
    </w:p>
    <w:p>
      <w:pPr>
        <w:pStyle w:val="ListParagraph"/>
      </w:pPr>
      <w:r>
        <w:t>Date: The date of this approval or review.</w:t>
      </w:r>
    </w:p>
    <w:p>
      <w:pPr>
        <w:pStyle w:val="ListParagraph"/>
      </w:pPr>
      <w:r>
        <w:t>Reviewed By: Who in the governing body conducted it.</w:t>
      </w:r>
    </w:p>
    <w:p>
      <w:pPr>
        <w:pStyle w:val="ListParagraph"/>
      </w:pPr>
      <w:r>
        <w:t>Conflict-of-Interest Declarations Refreshed (Y/N): Whether governance members re-declared.</w:t>
      </w:r>
    </w:p>
    <w:p>
      <w:pPr>
        <w:pStyle w:val="ListParagraph"/>
      </w:pPr>
      <w:r>
        <w:t>Outcome / Changes Made: What, if anything, changed as a result.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the framework's initial approval and each annual review — proof the governing body actually supports and checks it, not just that a document exists.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logs a row at initial approval and at every annual review. The worked example shows the 2026 annual review, with all conflict-of-interest declarations refreshed.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framework approved once and never revisited cannot be distinguished from a display-only code of ethics — this record is the evidence it is actively governed, not just written down.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Review Type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Reviewed By</w:t>
            </w:r>
          </w:p>
        </w:tc>
        <w:tc>
          <w:tcPr>
            <w:tcW w:type="dxa" w:w="1728"/>
          </w:tcPr>
          <w:p>
            <w:r>
              <w:t>Conflict-of-Interest Declarations Refreshed (Y/N)</w:t>
            </w:r>
          </w:p>
        </w:tc>
        <w:tc>
          <w:tcPr>
            <w:tcW w:type="dxa" w:w="1728"/>
          </w:tcPr>
          <w:p>
            <w:r>
              <w:t>Outcome / Changes Made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Annual review</w:t>
            </w:r>
          </w:p>
        </w:tc>
        <w:tc>
          <w:tcPr>
            <w:tcW w:type="dxa" w:w="1728"/>
            <w:shd w:val="clear" w:color="auto" w:fill="FFF2CC"/>
          </w:tcPr>
          <w:p>
            <w:r>
              <w:t>20-Jan-2026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Governing Body (minuted)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No changes to framework; all declarations current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