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ROM.1.e — Those responsible for governance support the ethical management framework of the organisation.</w:t>
      </w:r>
    </w:p>
    <w:p>
      <w:r>
        <w:t>ROM.1 Record 02 — Ethical concerns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A unique case number assigned on the day the concern was received.</w:t>
      </w:r>
    </w:p>
    <w:p>
      <w:pPr>
        <w:pStyle w:val="ListParagraph"/>
      </w:pPr>
      <w:r>
        <w:t>Date Received: The date the concern was logged.</w:t>
      </w:r>
    </w:p>
    <w:p>
      <w:pPr>
        <w:pStyle w:val="ListParagraph"/>
      </w:pPr>
      <w:r>
        <w:t>Nature of Concern: A brief, factual statement of what was raised.</w:t>
      </w:r>
    </w:p>
    <w:p>
      <w:pPr>
        <w:pStyle w:val="ListParagraph"/>
      </w:pPr>
      <w:r>
        <w:t>Action Taken: What was actually done in response.</w:t>
      </w:r>
    </w:p>
    <w:p>
      <w:pPr>
        <w:pStyle w:val="ListParagraph"/>
      </w:pPr>
      <w:r>
        <w:t>Closure Date: The date the matter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ethical concern reported, from receipt to closure — the proof the reporting mechanism is actually used, not just available.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Whoever receives a concern logs it the same day. The worked example shows a vendor-gift concern logged and closed within a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reporting mechanism with an empty register after a year of operation cannot be shown to work — NABH checks this register because a mechanism nobody has ever used proves nothing about whether it actually functions.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Date Received</w:t>
            </w:r>
          </w:p>
        </w:tc>
        <w:tc>
          <w:tcPr>
            <w:tcW w:type="dxa" w:w="1728"/>
          </w:tcPr>
          <w:p>
            <w:r>
              <w:t>Nature of Concern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ETH-2026-001</w:t>
            </w:r>
          </w:p>
        </w:tc>
        <w:tc>
          <w:tcPr>
            <w:tcW w:type="dxa" w:w="1728"/>
            <w:shd w:val="clear" w:color="auto" w:fill="FFF2CC"/>
          </w:tcPr>
          <w:p>
            <w:r>
              <w:t>08-Feb-2026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Vendor gift offer to a department head</w:t>
            </w:r>
          </w:p>
        </w:tc>
        <w:tc>
          <w:tcPr>
            <w:tcW w:type="dxa" w:w="1728"/>
            <w:shd w:val="clear" w:color="auto" w:fill="FFF2CC"/>
          </w:tcPr>
          <w:p>
            <w:r>
              <w:t>Declined per conflict-of-interest policy; reported to governing body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