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ROM.3.d — The organisation documents the service standards that are measurable and monitors them.</w:t>
      </w:r>
    </w:p>
    <w:p>
      <w:r>
        <w:t>ROM.3 Record 02 — Quarterly service-standard monitoring and CAPA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Indicator: The service standard being monitored, from the register.</w:t>
      </w:r>
    </w:p>
    <w:p>
      <w:pPr>
        <w:pStyle w:val="ListParagraph"/>
      </w:pPr>
      <w:r>
        <w:t>Quarter: The reporting quarter.</w:t>
      </w:r>
    </w:p>
    <w:p>
      <w:pPr>
        <w:pStyle w:val="ListParagraph"/>
      </w:pPr>
      <w:r>
        <w:t>Actual Value: What was actually measured.</w:t>
      </w:r>
    </w:p>
    <w:p>
      <w:pPr>
        <w:pStyle w:val="ListParagraph"/>
      </w:pPr>
      <w:r>
        <w:t>Target Met (Y/N): Whether the target was met.</w:t>
      </w:r>
    </w:p>
    <w:p>
      <w:pPr>
        <w:pStyle w:val="ListParagraph"/>
      </w:pPr>
      <w:r>
        <w:t>RCA / CAPA If Not Met: The root-cause analysis and corrective action, if the target was missed.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quarterly compilation showing whether each service standard was actually met, with root-cause analysis and corrective action logged for every miss.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Quality Coordinator compiles this every quarter from department data. The worked example shows an OPD wait-time miss in Q1 2026 with its RCA and CAPA.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standard that is missed with no analysis or corrective action just repeats — this record is what turns measurement into actual improvement, which is the point of defining a measurable standard in the first place.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Indicator</w:t>
            </w:r>
          </w:p>
        </w:tc>
        <w:tc>
          <w:tcPr>
            <w:tcW w:type="dxa" w:w="1728"/>
          </w:tcPr>
          <w:p>
            <w:r>
              <w:t>Quarter</w:t>
            </w:r>
          </w:p>
        </w:tc>
        <w:tc>
          <w:tcPr>
            <w:tcW w:type="dxa" w:w="1728"/>
          </w:tcPr>
          <w:p>
            <w:r>
              <w:t>Actual Value</w:t>
            </w:r>
          </w:p>
        </w:tc>
        <w:tc>
          <w:tcPr>
            <w:tcW w:type="dxa" w:w="1728"/>
          </w:tcPr>
          <w:p>
            <w:r>
              <w:t>Target Met (Y/N)</w:t>
            </w:r>
          </w:p>
        </w:tc>
        <w:tc>
          <w:tcPr>
            <w:tcW w:type="dxa" w:w="1728"/>
          </w:tcPr>
          <w:p>
            <w:r>
              <w:t>RCA / CAPA If Not Met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OPD average wait time</w:t>
            </w:r>
          </w:p>
        </w:tc>
        <w:tc>
          <w:tcPr>
            <w:tcW w:type="dxa" w:w="1728"/>
            <w:shd w:val="clear" w:color="auto" w:fill="FFF2CC"/>
          </w:tcPr>
          <w:p>
            <w:r>
              <w:t>Q1 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34 minutes</w:t>
            </w:r>
          </w:p>
        </w:tc>
        <w:tc>
          <w:tcPr>
            <w:tcW w:type="dxa" w:w="1728"/>
            <w:shd w:val="clear" w:color="auto" w:fill="FFF2CC"/>
          </w:tcPr>
          <w:p>
            <w:r>
              <w:t>N</w:t>
            </w:r>
          </w:p>
        </w:tc>
        <w:tc>
          <w:tcPr>
            <w:tcW w:type="dxa" w:w="1728"/>
            <w:shd w:val="clear" w:color="auto" w:fill="FFF2CC"/>
          </w:tcPr>
          <w:p>
            <w:r>
              <w:t>RCA: single registration counter at peak hours; CAPA: second counter opened 9-11am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