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ROM.4.c — Management ensures implementation of systems for internal and external reporting of system and process failures.</w:t>
      </w:r>
    </w:p>
    <w:p>
      <w:r>
        <w:t>ROM.4 Record 02 — Failure-reporting register</w:t>
      </w:r>
    </w:p>
    <w:p/>
    <w:p/>
    <w:p/>
    <w:p>
      <w:r>
        <w:t>How to fill this in — column by column</w:t>
      </w:r>
    </w:p>
    <w:p>
      <w:pPr>
        <w:pStyle w:val="ListParagraph"/>
      </w:pPr>
      <w:r>
        <w:t>Report Type: Incident, near-miss, or root-cause analysis.</w:t>
      </w:r>
    </w:p>
    <w:p>
      <w:pPr>
        <w:pStyle w:val="ListParagraph"/>
      </w:pPr>
      <w:r>
        <w:t>Date Received: The date the Quality Coordinator logged it.</w:t>
      </w:r>
    </w:p>
    <w:p>
      <w:pPr>
        <w:pStyle w:val="ListParagraph"/>
      </w:pPr>
      <w:r>
        <w:t>Description: A brief, factual statement of the failure.</w:t>
      </w:r>
    </w:p>
    <w:p>
      <w:pPr>
        <w:pStyle w:val="ListParagraph"/>
      </w:pPr>
      <w:r>
        <w:t>External Report Required (Y/N): Whether a statutory external notification applies.</w:t>
      </w:r>
    </w:p>
    <w:p>
      <w:pPr>
        <w:pStyle w:val="ListParagraph"/>
      </w:pPr>
      <w:r>
        <w:t>External Report Submitted (Date, If Yes): When the external report was submitted, if required.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Responsibilities of Management chapter, standard ROM.4.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single log of every internally reported system or process failure, with a check against whether it also needed external notification.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Quality Coordinator logs every report the day it comes in. The worked example shows a near-miss caught before harm, correctly assessed as not requiring external reporting.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Without this register, management cannot show that a reporting system exists and is actually used — an unused reporting system is indistinguishable from no system at all.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Report Type</w:t>
            </w:r>
          </w:p>
        </w:tc>
        <w:tc>
          <w:tcPr>
            <w:tcW w:type="dxa" w:w="1728"/>
          </w:tcPr>
          <w:p>
            <w:r>
              <w:t>Date Received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External Report Required (Y/N)</w:t>
            </w:r>
          </w:p>
        </w:tc>
        <w:tc>
          <w:tcPr>
            <w:tcW w:type="dxa" w:w="1728"/>
          </w:tcPr>
          <w:p>
            <w:r>
              <w:t>External Report Submitted (Date, If Yes)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Near-miss</w:t>
            </w:r>
          </w:p>
        </w:tc>
        <w:tc>
          <w:tcPr>
            <w:tcW w:type="dxa" w:w="1728"/>
            <w:shd w:val="clear" w:color="auto" w:fill="FFF2CC"/>
          </w:tcPr>
          <w:p>
            <w:r>
              <w:t>11-Mar-2026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Wrong-patient label generated at registration, caught before sample draw</w:t>
            </w:r>
          </w:p>
        </w:tc>
        <w:tc>
          <w:tcPr>
            <w:tcW w:type="dxa" w:w="1728"/>
            <w:shd w:val="clear" w:color="auto" w:fill="FFF2CC"/>
          </w:tcPr>
          <w:p>
            <w:r>
              <w:t>N</w:t>
            </w:r>
          </w:p>
        </w:tc>
        <w:tc>
          <w:tcPr>
            <w:tcW w:type="dxa" w:w="1728"/>
            <w:shd w:val="clear" w:color="auto" w:fill="FFF2CC"/>
          </w:tcPr>
          <w:p>
            <w:r>
              <w:t>N/A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