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COP.20: End-of-life care is provided in a compassionate and considerate manner.</w:t>
      </w:r>
    </w:p>
    <w:p>
      <w:pPr>
        <w:spacing w:after="140"/>
      </w:pPr>
      <w:r>
        <w:rPr>
          <w:sz w:val="22"/>
          <w:szCs w:val="22"/>
        </w:rPr>
        <w:t xml:space="preserve">It covers objective elements COP.20.a–e (5 elements).</w:t>
      </w:r>
    </w:p>
    <w:p>
      <w:pPr>
        <w:spacing w:after="140"/>
      </w:pPr>
      <w:r>
        <w:rPr>
          <w:sz w:val="22"/>
          <w:szCs w:val="22"/>
        </w:rPr>
        <w:t xml:space="preserve">This policy owns COP.20.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«Hospital Name», including the «Palliative / End-of-Life Care Lead», treating doctors, nurses and the Quality Coordinator.</w:t>
      </w:r>
    </w:p>
    <w:p>
      <w:pPr>
        <w:spacing w:after="140"/>
      </w:pPr>
      <w:r>
        <w:rPr>
          <w:sz w:val="22"/>
          <w:szCs w:val="22"/>
        </w:rPr>
        <w:t xml:space="preserve">It covers 5 objective elements (COP.20.a, COP.20.b, COP.20.c, COP.20.d, COP.20.e).</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identication of the unique needs of such patient and family.</w:t>
      </w:r>
    </w:p>
    <w:p>
      <w:pPr>
        <w:spacing w:after="80"/>
      </w:pPr>
      <w:r>
        <w:rPr>
          <w:sz w:val="22"/>
          <w:szCs w:val="22"/>
        </w:rPr>
        <w:t xml:space="preserve">5. Do not skip: Symptomatic treatment is provided and where appropriate measures are taken for the alleviation of pain. Ref...</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identication of the unique needs..</w:t>
      </w:r>
    </w:p>
    <w:p>
      <w:pPr>
        <w:spacing w:after="140"/>
      </w:pPr>
      <w:r>
        <w:rPr>
          <w:sz w:val="22"/>
          <w:szCs w:val="22"/>
        </w:rPr>
        <w:t xml:space="preserve">End-of-life care also addresses the identication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 ..</w:t>
      </w:r>
    </w:p>
    <w:p>
      <w:pPr>
        <w:spacing w:after="140"/>
      </w:pPr>
      <w:r>
        <w:rPr>
          <w:sz w:val="22"/>
          <w:szCs w:val="22"/>
        </w:rPr>
        <w:t xml:space="preserve">Symptomatic treatment is provided and where appropriate measures are taken for the alleviation of pain. References 1. Bartoli F, Dell'Osso B, Crocamo C, Fiorillo A, Ketter TA, Suppes T, Clerici M, Carra G. Benets and harms of low and high second-generation antipsychotics doses for bipolar depression: a meta-analysis. Journal of Psychiatric Research. 2017 May 1;88:38-46. 2. Kulju S, Morrish W, King L, Bender J, Gunnar W. Patient misidentication events in the Veterans Health Administration: a comprehensive review in the context of high-reliability health care. Journal of Patient Safety. 2022 Jan 1;18(1):e290-6. 3. Sutton E, Armstrong N, Locock L, Conroy S, Tarrant C. Visual identiers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Identication of proteins associated with splicing factors Ntr1, Ntr2, Brr2 and Gpl1 in the ssion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Classication and minimum standards for emergency medical teams.202. [cited 2023 Dec 4]. Available from: https://extranet.who.int/emt/sites/default/les/BlueBook2021.pdf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difcult airway. Anesthesiology. 2022 Jan 1;136(1):31-81. 46. Ateriya N, Saraf A, Meshram VP, Setia P. Telemedicine and virtual consultation: The Indian perspective. National Medical Journal of India. 2018 Jul 1;31(4). 47. Carthon JM, Hateld L, Plover C, Dierkes A, Davis L, Hedgeland T, Sanders AM, Visco F, Holland S, Ballinghoff J, Del Guidice M. Association of nurse engagement and nurse stafng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ahrq.gov/sites/default/les/pdf/pressure-ulcer-prevention_research-protocol.pdf. 50. Byrne JP, Xiong W, Gomez D, Mason S, Karanicolas P, Rizoli S, Tien H, Nathens AB. Redening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pStyle w:val="ListParagraph"/>
        <w:numPr>
          <w:ilvl w:val="0"/>
          <w:numId w:val="1"/>
        </w:numPr>
        <w:spacing w:after="60"/>
      </w:pPr>
      <w:r>
        <w:rPr>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COP.20.a–e.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 References 1. Bartoli F, Dell'Osso B, Crocamo C, Fiorillo A, Ketter TA, Suppes T, Clerici M, Carra G. Benets and harms of low and high second-generation antipsychotics doses for bipolar depression: a meta-analysis. Journal of Psychiatric Research. 2017 May 1;88:38-46. 2. Kulju S, Morrish W, King L, Bender J, Gunnar W. Patient misidentication events in the Veterans Health Administration: a comprehensive review in the context of high-reliability health care. Journal of Patient Safety. 2022 Jan 1;18(1):e290-6. 3. Sutton E, Armstrong N, Locock L, Conroy S, Tarrant C. Visual identiers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Identication of proteins associated with splicing factors Ntr1, Ntr2, Brr2 and Gpl1 in the ssion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Classication and minimum standards for emergency medical teams.202. [cited 2023 Dec 4]. Available from: https://extranet.who.int/emt/sites/default/les/BlueBook2021.pdf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difcult airway. Anesthesiology. 2022 Jan 1;136(1):31-81. 46. Ateriya N, Saraf A, Meshram VP, Setia P. Telemedicine and virtual consultation: The Indian perspective. National Medical Journal of India. 2018 Jul 1;31(4). 47. Carthon JM, Hateld L, Plover C, Dierkes A, Davis L, Hedgeland T, Sanders AM, Visco F, Holland S, Ballinghoff J, Del Guidice M. Association of nurse engagement and nurse stafng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ahrq.gov/sites/default/les/pdf/pressure-ulcer-prevention_research-protocol.pdf. 50. Byrne JP, Xiong W, Gomez D, Mason S, Karanicolas P, Rizoli S, Tien H, Nathens AB. Redening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Records showing COP.20.a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COP.20.a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Records showing COP.20.b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COP.20.b reviewed «quarterly».</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Records showing COP.20.c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COP.20.c reviewed «quarterly».</w:t>
      </w:r>
    </w:p>
    <w:p>
      <w:pPr>
        <w:pStyle w:val="Heading2"/>
        <w:spacing w:after="100" w:before="220"/>
      </w:pPr>
      <w:r>
        <w:t xml:space="preserve">COP.20.d — End-of-life care also addresses the identication of the unique needs of such patient and family.</w:t>
      </w:r>
    </w:p>
    <w:p>
      <w:pPr>
        <w:pStyle w:val="ListParagraph"/>
        <w:numPr>
          <w:ilvl w:val="0"/>
          <w:numId w:val="1"/>
        </w:numPr>
        <w:spacing w:after="60"/>
      </w:pPr>
      <w:r>
        <w:rPr>
          <w:sz w:val="22"/>
          <w:szCs w:val="22"/>
        </w:rPr>
        <w:t xml:space="preserve">Records showing COP.20.d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COP.20.d reviewed «quarterly».</w:t>
      </w:r>
    </w:p>
    <w:p>
      <w:pPr>
        <w:pStyle w:val="Heading2"/>
        <w:spacing w:after="100" w:before="220"/>
      </w:pPr>
      <w:r>
        <w:t xml:space="preserve">COP.20.e — Symptomatic treatment is provided and where appropriate measures are taken for the alleviation of pain. References 1. Bartoli F, Dell'Osso B, Crocamo C, Fiorillo A, Ketter TA, Suppes T, Clerici M, Carra G. Benets and harms of low and high second-generation antipsychotics doses for bipolar depression: a meta-analysis. Journal of Psychiatric Research. 2017 May 1;88:38-46. 2. Kulju S, Morrish W, King L, Bender J, Gunnar W. Patient misidentication events in the Veterans Health Administration: a comprehensive review in the context of high-reliability health care. Journal of Patient Safety. 2022 Jan 1;18(1):e290-6. 3. Sutton E, Armstrong N, Locock L, Conroy S, Tarrant C. Visual identiers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Identication of proteins associated with splicing factors Ntr1, Ntr2, Brr2 and Gpl1 in the ssion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Classication and minimum standards for emergency medical teams.202. [cited 2023 Dec 4]. Available from: https://extranet.who.int/emt/sites/default/les/BlueBook2021.pdf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difcult airway. Anesthesiology. 2022 Jan 1;136(1):31-81. 46. Ateriya N, Saraf A, Meshram VP, Setia P. Telemedicine and virtual consultation: The Indian perspective. National Medical Journal of India. 2018 Jul 1;31(4). 47. Carthon JM, Hateld L, Plover C, Dierkes A, Davis L, Hedgeland T, Sanders AM, Visco F, Holland S, Ballinghoff J, Del Guidice M. Association of nurse engagement and nurse stafng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ahrq.gov/sites/default/les/pdf/pressure-ulcer-prevention_research-protocol.pdf. 50. Byrne JP, Xiong W, Gomez D, Mason S, Karanicolas P, Rizoli S, Tien H, Nathens AB. Redening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p>
      <w:pPr>
        <w:pStyle w:val="ListParagraph"/>
        <w:numPr>
          <w:ilvl w:val="0"/>
          <w:numId w:val="1"/>
        </w:numPr>
        <w:spacing w:after="60"/>
      </w:pPr>
      <w:r>
        <w:rPr>
          <w:sz w:val="22"/>
          <w:szCs w:val="22"/>
        </w:rPr>
        <w:t xml:space="preserve">Records showing COP.20.e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COP.20.e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2026-08-20T14:56:30.962Z</dcterms:created>
  <dcterms:modified xsi:type="dcterms:W3CDTF">2026-08-20T14:56:30.963Z</dcterms:modified>
</cp:coreProperties>
</file>

<file path=docProps/custom.xml><?xml version="1.0" encoding="utf-8"?>
<Properties xmlns="http://schemas.openxmlformats.org/officeDocument/2006/custom-properties" xmlns:vt="http://schemas.openxmlformats.org/officeDocument/2006/docPropsVTypes"/>
</file>