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Emergency Services</w:t>
      </w:r>
    </w:p>
    <w:p>
      <w:pPr>
        <w:spacing w:after="240"/>
        <w:jc w:val="center"/>
      </w:pPr>
      <w:r>
        <w:rPr>
          <w:i/>
          <w:iCs/>
          <w:sz w:val="20"/>
          <w:szCs w:val="20"/>
        </w:rPr>
        <w:t xml:space="preserve">HCO Full Accreditation, 6th Edition — COP.2.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are provided in accordance with written guidance, applicable laws and regulations.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COP.2: Emergency services are provided in accordance with written guidance, applicable laws and regulations.</w:t>
      </w:r>
    </w:p>
    <w:p>
      <w:pPr>
        <w:spacing w:after="140"/>
      </w:pPr>
      <w:r>
        <w:rPr>
          <w:sz w:val="22"/>
          <w:szCs w:val="22"/>
        </w:rPr>
        <w:t xml:space="preserve">It covers objective elements COP.2.a–i (9 elements).</w:t>
      </w:r>
    </w:p>
    <w:p>
      <w:pPr>
        <w:spacing w:after="140"/>
      </w:pPr>
      <w:r>
        <w:rPr>
          <w:sz w:val="22"/>
          <w:szCs w:val="22"/>
        </w:rPr>
        <w:t xml:space="preserve">This policy owns COP.2.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 at «Hospital Name», including the «Emergency In-Charge», treating doctors, nurses and the Quality Coordinator.</w:t>
      </w:r>
    </w:p>
    <w:p>
      <w:pPr>
        <w:spacing w:after="140"/>
      </w:pPr>
      <w:r>
        <w:rPr>
          <w:sz w:val="22"/>
          <w:szCs w:val="22"/>
        </w:rPr>
        <w:t xml:space="preserve">It covers 9 objective elements (COP.2.a, COP.2.b, COP.2.c, COP.2.d, COP.2.e, COP.2.f, COP.2.g, COP.2.h, COP.2.i).</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COP.2 so that emergency services are provided in accordance with written guidance, applicable laws and regulations..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There shall be an identied area in the organisation which is easily accessible to receive and manage emerg...</w:t>
      </w:r>
    </w:p>
    <w:p>
      <w:pPr>
        <w:spacing w:after="80"/>
      </w:pPr>
      <w:r>
        <w:rPr>
          <w:sz w:val="22"/>
          <w:szCs w:val="22"/>
        </w:rPr>
        <w:t xml:space="preserve">2. Do not skip: Prevention of patient over-crowding is planned and crowd management measures are implemented.</w:t>
      </w:r>
    </w:p>
    <w:p>
      <w:pPr>
        <w:spacing w:after="80"/>
      </w:pPr>
      <w:r>
        <w:rPr>
          <w:sz w:val="22"/>
          <w:szCs w:val="22"/>
        </w:rPr>
        <w:t xml:space="preserve">3. Do not skip: Emergency care is provided in consonance with statutory requirements including medico-legal cases and as pe...</w:t>
      </w:r>
    </w:p>
    <w:p>
      <w:pPr>
        <w:spacing w:after="80"/>
      </w:pPr>
      <w:r>
        <w:rPr>
          <w:sz w:val="22"/>
          <w:szCs w:val="22"/>
        </w:rPr>
        <w:t xml:space="preserve">4. Do not skip: Initiation of appropriate care is guided by a system of triage.</w:t>
      </w:r>
    </w:p>
    <w:p>
      <w:pPr>
        <w:spacing w:after="80"/>
      </w:pPr>
      <w:r>
        <w:rPr>
          <w:sz w:val="22"/>
          <w:szCs w:val="22"/>
        </w:rPr>
        <w:t xml:space="preserve">5. Do not skip: Patients waiting in the emergency are re-assessed as appropriate for the change in status.</w:t>
      </w:r>
    </w:p>
    <w:p>
      <w:pPr>
        <w:spacing w:after="80"/>
      </w:pPr>
      <w:r>
        <w:rPr>
          <w:sz w:val="22"/>
          <w:szCs w:val="22"/>
        </w:rPr>
        <w:t xml:space="preserve">6. Do not skip: Admission, discharge to home or transfer to another organisation is documented.</w:t>
      </w:r>
    </w:p>
    <w:p>
      <w:pPr>
        <w:spacing w:after="80"/>
      </w:pPr>
      <w:r>
        <w:rPr>
          <w:sz w:val="22"/>
          <w:szCs w:val="22"/>
        </w:rPr>
        <w:t xml:space="preserve">7. Do not skip: In case of discharge to home or transfer to another organisation, a discharge / transfer note shall be give...</w:t>
      </w:r>
    </w:p>
    <w:p>
      <w:pPr>
        <w:spacing w:after="80"/>
      </w:pPr>
      <w:r>
        <w:rPr>
          <w:sz w:val="22"/>
          <w:szCs w:val="22"/>
        </w:rPr>
        <w:t xml:space="preserve">8. Do not skip: The organisation shall implement a quality assurance programme.</w:t>
      </w:r>
    </w:p>
    <w:p>
      <w:pPr>
        <w:spacing w:after="80"/>
      </w:pPr>
      <w:r>
        <w:rPr>
          <w:sz w:val="22"/>
          <w:szCs w:val="22"/>
        </w:rPr>
        <w:t xml:space="preserve">9. Do not skip: The organisation has systems in place for the management of patients found dead on arrival and patients who...</w:t>
      </w:r>
    </w:p>
    <w:p>
      <w:pPr>
        <w:spacing w:after="80"/>
      </w:pPr>
      <w:r>
        <w:rPr>
          <w:sz w:val="22"/>
          <w:szCs w:val="22"/>
        </w:rPr>
        <w:t xml:space="preserve">10. Do not bypass the stop-work authority in section 6 when the trigger conditions are met.</w:t>
      </w:r>
    </w:p>
    <w:p>
      <w:pPr>
        <w:spacing w:after="80"/>
      </w:pPr>
      <w:r>
        <w:rPr>
          <w:sz w:val="22"/>
          <w:szCs w:val="22"/>
        </w:rPr>
        <w:t xml:space="preserve">11. Staff who see a COP.2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There shall be an identied area in the organisation which is easily ..</w:t>
      </w:r>
    </w:p>
    <w:p>
      <w:pPr>
        <w:spacing w:after="140"/>
      </w:pPr>
      <w:r>
        <w:rPr>
          <w:sz w:val="22"/>
          <w:szCs w:val="22"/>
        </w:rPr>
        <w:t xml:space="preserve">There shall be an identied area in the organisation which is easily accessible to receive and manage emergency patients, with adequate and appropriate resources.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Prevention of patient over-crowding is planned and crowd management m..</w:t>
      </w:r>
    </w:p>
    <w:p>
      <w:pPr>
        <w:spacing w:after="140"/>
      </w:pPr>
      <w:r>
        <w:rPr>
          <w:sz w:val="22"/>
          <w:szCs w:val="22"/>
        </w:rPr>
        <w:t xml:space="preserve">Prevention of patient over-crowding is planned and crowd management measures are implemented.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Emergency care is provided in consonance with statutory requirements ..</w:t>
      </w:r>
    </w:p>
    <w:p>
      <w:pPr>
        <w:spacing w:after="140"/>
      </w:pPr>
      <w:r>
        <w:rPr>
          <w:sz w:val="22"/>
          <w:szCs w:val="22"/>
        </w:rPr>
        <w:t xml:space="preserve">Emergency care is provided in consonance with statutory requirements including medico-legal cases and as per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Initiation of appropriate care is guided by a system of triage</w:t>
      </w:r>
    </w:p>
    <w:p>
      <w:pPr>
        <w:spacing w:after="140"/>
      </w:pPr>
      <w:r>
        <w:rPr>
          <w:sz w:val="22"/>
          <w:szCs w:val="22"/>
        </w:rPr>
        <w:t xml:space="preserve">Initiation of appropriate care is guided by a system of triage.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Patients waiting in the emergency are re-assessed as appropriate for ..</w:t>
      </w:r>
    </w:p>
    <w:p>
      <w:pPr>
        <w:spacing w:after="140"/>
      </w:pPr>
      <w:r>
        <w:rPr>
          <w:sz w:val="22"/>
          <w:szCs w:val="22"/>
        </w:rPr>
        <w:t xml:space="preserve">Patients waiting in the emergency are re-assessed as appropriate for the change in status.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Admission, discharge to home or transfer to another organisation is d..</w:t>
      </w:r>
    </w:p>
    <w:p>
      <w:pPr>
        <w:spacing w:after="140"/>
      </w:pPr>
      <w:r>
        <w:rPr>
          <w:sz w:val="22"/>
          <w:szCs w:val="22"/>
        </w:rPr>
        <w:t xml:space="preserve">Admission, discharge to home or transfer to another organisation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In case of discharge to home or transfer to another organisation, a d..</w:t>
      </w:r>
    </w:p>
    <w:p>
      <w:pPr>
        <w:spacing w:after="140"/>
      </w:pPr>
      <w:r>
        <w:rPr>
          <w:sz w:val="22"/>
          <w:szCs w:val="22"/>
        </w:rPr>
        <w:t xml:space="preserve">In case of discharge to home or transfer to another organisation, a discharge / transfer note shall be given to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5.9 The organisation has systems in place for the management of patients ..</w:t>
      </w:r>
    </w:p>
    <w:p>
      <w:pPr>
        <w:spacing w:after="140"/>
      </w:pPr>
      <w:r>
        <w:rPr>
          <w:sz w:val="22"/>
          <w:szCs w:val="22"/>
        </w:rPr>
        <w:t xml:space="preserve">The organisation has systems in place for the management of patients found dead on arrival and patients who die within a few minutes of arrival.</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receive and treat an emergency patient in an area that is not the identified emergency area, or when triage-competent personnel and basic resuscitation equipment are not available.</w:t>
      </w:r>
    </w:p>
    <w:p>
      <w:pPr>
        <w:spacing w:after="140"/>
      </w:pPr>
      <w:r>
        <w:rPr>
          <w:sz w:val="22"/>
          <w:szCs w:val="22"/>
        </w:rPr>
        <w:t xml:space="preserve">Do not leave overcrowding unmanaged when it blocks triage, resuscitation or safe holding.</w:t>
      </w:r>
    </w:p>
    <w:p>
      <w:pPr>
        <w:spacing w:after="140"/>
      </w:pPr>
      <w:r>
        <w:rPr>
          <w:sz w:val="22"/>
          <w:szCs w:val="22"/>
        </w:rPr>
        <w:t xml:space="preserve">Stop-work applies to unsafe emergency intake, not to immediate life-saving measures already under way — those continue while escalation happens.</w:t>
      </w:r>
    </w:p>
    <w:p>
      <w:pPr>
        <w:spacing w:after="140"/>
      </w:pPr>
      <w:r>
        <w:rPr>
          <w:sz w:val="22"/>
          <w:szCs w:val="22"/>
        </w:rPr>
        <w:t xml:space="preserve">The person who stops tells the «Emergency In-Charge» and the «Medical Superintendent» the same shift. Refusing unsafe emergency intake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COP.2 is resourced and followed.</w:t>
      </w:r>
    </w:p>
    <w:p>
      <w:pPr>
        <w:pStyle w:val="ListParagraph"/>
        <w:numPr>
          <w:ilvl w:val="0"/>
          <w:numId w:val="1"/>
        </w:numPr>
        <w:spacing w:after="60"/>
      </w:pPr>
      <w:r>
        <w:rPr>
          <w:sz w:val="22"/>
          <w:szCs w:val="22"/>
        </w:rPr>
        <w:t xml:space="preserve">Emergency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COP.2.a–i.</w:t>
      </w:r>
    </w:p>
    <w:p>
      <w:pPr>
        <w:pStyle w:val="ListParagraph"/>
        <w:numPr>
          <w:ilvl w:val="0"/>
          <w:numId w:val="1"/>
        </w:numPr>
        <w:spacing w:after="60"/>
      </w:pPr>
      <w:r>
        <w:rPr>
          <w:sz w:val="22"/>
          <w:szCs w:val="22"/>
        </w:rPr>
        <w:t xml:space="preserve">Asterisked elements (cdhi)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Emergency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w:t>
      </w:r>
    </w:p>
    <w:p>
      <w:pPr>
        <w:pStyle w:val="ListParagraph"/>
        <w:numPr>
          <w:ilvl w:val="0"/>
          <w:numId w:val="1"/>
        </w:numPr>
        <w:spacing w:after="60"/>
      </w:pPr>
      <w:r>
        <w:rPr>
          <w:sz w:val="22"/>
          <w:szCs w:val="22"/>
        </w:rPr>
        <w:t xml:space="preserve">NABH Guidebook to Accreditation Standards for Hospitals, 6th Edition — COP.2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COP.2.</w:t>
      </w:r>
    </w:p>
    <w:p>
      <w:pPr>
        <w:pStyle w:val="Heading1"/>
        <w:spacing w:after="120" w:before="280"/>
      </w:pPr>
      <w:r>
        <w:t xml:space="preserve">11. Distribution</w:t>
      </w:r>
    </w:p>
    <w:p>
      <w:pPr>
        <w:spacing w:after="140"/>
      </w:pPr>
      <w:r>
        <w:rPr>
          <w:sz w:val="22"/>
          <w:szCs w:val="22"/>
        </w:rPr>
        <w:t xml:space="preserve">Medical Superintendent; Emergency In-Charge; Quality Coordinator; department clinical staff covered by COP.2.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identied area in the organisation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Prevention of patient over-crowding is planned and crowd management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care is provided in consonance with statutory requirements including medico-legal cases and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organisation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discharge to home or transfer to another organisation, a discharge / transfer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identied area in the organisation which is easily accessible to receive and manage emergency patients, with adequate and appropriate resources.</w:t>
      </w:r>
    </w:p>
    <w:p>
      <w:pPr>
        <w:pStyle w:val="ListParagraph"/>
        <w:numPr>
          <w:ilvl w:val="0"/>
          <w:numId w:val="1"/>
        </w:numPr>
        <w:spacing w:after="60"/>
      </w:pPr>
      <w:r>
        <w:rPr>
          <w:sz w:val="22"/>
          <w:szCs w:val="22"/>
        </w:rPr>
        <w:t xml:space="preserve">Records showing COP.2.a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COP.2.a reviewed «quarterly».</w:t>
      </w:r>
    </w:p>
    <w:p>
      <w:pPr>
        <w:pStyle w:val="Heading2"/>
        <w:spacing w:after="100" w:before="220"/>
      </w:pPr>
      <w:r>
        <w:t xml:space="preserve">COP.2.b — Prevention of patient over-crowding is planned and crowd management measures are implemented.</w:t>
      </w:r>
    </w:p>
    <w:p>
      <w:pPr>
        <w:pStyle w:val="ListParagraph"/>
        <w:numPr>
          <w:ilvl w:val="0"/>
          <w:numId w:val="1"/>
        </w:numPr>
        <w:spacing w:after="60"/>
      </w:pPr>
      <w:r>
        <w:rPr>
          <w:sz w:val="22"/>
          <w:szCs w:val="22"/>
        </w:rPr>
        <w:t xml:space="preserve">Records showing COP.2.b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COP.2.b reviewed «quarterly».</w:t>
      </w:r>
    </w:p>
    <w:p>
      <w:pPr>
        <w:pStyle w:val="Heading2"/>
        <w:spacing w:after="100" w:before="220"/>
      </w:pPr>
      <w:r>
        <w:t xml:space="preserve">COP.2.c — Emergency care is provided in consonance with statutory requirements including medico-legal cases and as per written guidance.</w:t>
      </w:r>
    </w:p>
    <w:p>
      <w:pPr>
        <w:pStyle w:val="ListParagraph"/>
        <w:numPr>
          <w:ilvl w:val="0"/>
          <w:numId w:val="1"/>
        </w:numPr>
        <w:spacing w:after="60"/>
      </w:pPr>
      <w:r>
        <w:rPr>
          <w:sz w:val="22"/>
          <w:szCs w:val="22"/>
        </w:rPr>
        <w:t xml:space="preserve">Records showing COP.2.c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COP.2.c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COP.2.d — Initiation of appropriate care is guided by a system of triage.</w:t>
      </w:r>
    </w:p>
    <w:p>
      <w:pPr>
        <w:pStyle w:val="ListParagraph"/>
        <w:numPr>
          <w:ilvl w:val="0"/>
          <w:numId w:val="1"/>
        </w:numPr>
        <w:spacing w:after="60"/>
      </w:pPr>
      <w:r>
        <w:rPr>
          <w:sz w:val="22"/>
          <w:szCs w:val="22"/>
        </w:rPr>
        <w:t xml:space="preserve">Records showing COP.2.d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COP.2.e — Patients waiting in the emergency are re-assessed as appropriate for the change in status.</w:t>
      </w:r>
    </w:p>
    <w:p>
      <w:pPr>
        <w:pStyle w:val="ListParagraph"/>
        <w:numPr>
          <w:ilvl w:val="0"/>
          <w:numId w:val="1"/>
        </w:numPr>
        <w:spacing w:after="60"/>
      </w:pPr>
      <w:r>
        <w:rPr>
          <w:sz w:val="22"/>
          <w:szCs w:val="22"/>
        </w:rPr>
        <w:t xml:space="preserve">Records showing COP.2.e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COP.2.e reviewed «quarterly».</w:t>
      </w:r>
    </w:p>
    <w:p>
      <w:pPr>
        <w:pStyle w:val="Heading2"/>
        <w:spacing w:after="100" w:before="220"/>
      </w:pPr>
      <w:r>
        <w:t xml:space="preserve">COP.2.f — Admission, discharge to home or transfer to another organisation is documented.</w:t>
      </w:r>
    </w:p>
    <w:p>
      <w:pPr>
        <w:pStyle w:val="ListParagraph"/>
        <w:numPr>
          <w:ilvl w:val="0"/>
          <w:numId w:val="1"/>
        </w:numPr>
        <w:spacing w:after="60"/>
      </w:pPr>
      <w:r>
        <w:rPr>
          <w:sz w:val="22"/>
          <w:szCs w:val="22"/>
        </w:rPr>
        <w:t xml:space="preserve">Records showing COP.2.f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COP.2.f reviewed «quarterly».</w:t>
      </w:r>
    </w:p>
    <w:p>
      <w:pPr>
        <w:pStyle w:val="Heading2"/>
        <w:spacing w:after="100" w:before="220"/>
      </w:pPr>
      <w:r>
        <w:t xml:space="preserve">COP.2.g — In case of discharge to home or transfer to another organisation, a discharge / transfer note shall be given to the patient.</w:t>
      </w:r>
    </w:p>
    <w:p>
      <w:pPr>
        <w:pStyle w:val="ListParagraph"/>
        <w:numPr>
          <w:ilvl w:val="0"/>
          <w:numId w:val="1"/>
        </w:numPr>
        <w:spacing w:after="60"/>
      </w:pPr>
      <w:r>
        <w:rPr>
          <w:sz w:val="22"/>
          <w:szCs w:val="22"/>
        </w:rPr>
        <w:t xml:space="preserve">Records showing COP.2.g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COP.2.g reviewed «quarterly».</w:t>
      </w:r>
    </w:p>
    <w:p>
      <w:pPr>
        <w:pStyle w:val="Heading2"/>
        <w:spacing w:after="100" w:before="220"/>
      </w:pPr>
      <w:r>
        <w:t xml:space="preserve">COP.2.h — The organisation shall implement a quality assurance programme.</w:t>
      </w:r>
    </w:p>
    <w:p>
      <w:pPr>
        <w:pStyle w:val="ListParagraph"/>
        <w:numPr>
          <w:ilvl w:val="0"/>
          <w:numId w:val="1"/>
        </w:numPr>
        <w:spacing w:after="60"/>
      </w:pPr>
      <w:r>
        <w:rPr>
          <w:sz w:val="22"/>
          <w:szCs w:val="22"/>
        </w:rPr>
        <w:t xml:space="preserve">Records showing COP.2.h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COP.2.h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COP.2.i — The organisation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Records showing COP.2.i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COP.2.i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governing emergency services as named in NABH COP.2.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«HCO/COP/POL/02»  |  Controlled document  |  Emergency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2026-08-20T14:56:28.308Z</dcterms:created>
  <dcterms:modified xsi:type="dcterms:W3CDTF">2026-08-20T14:56:28.309Z</dcterms:modified>
</cp:coreProperties>
</file>

<file path=docProps/custom.xml><?xml version="1.0" encoding="utf-8"?>
<Properties xmlns="http://schemas.openxmlformats.org/officeDocument/2006/custom-properties" xmlns:vt="http://schemas.openxmlformats.org/officeDocument/2006/docPropsVTypes"/>
</file>