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Anaesthesia Services</w:t>
      </w:r>
    </w:p>
    <w:p>
      <w:pPr>
        <w:spacing w:after="240"/>
        <w:jc w:val="center"/>
      </w:pPr>
      <w:r>
        <w:rPr>
          <w:i/>
          <w:iCs/>
          <w:sz w:val="20"/>
          <w:szCs w:val="20"/>
        </w:rPr>
        <w:t xml:space="preserve">HCO Full Accreditation, 6th Edition — COP.13.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Anaesthesia services are provided in a consistent and safe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COP.13: Anaesthesia services are provided in a consistent and safe manner.</w:t>
      </w:r>
    </w:p>
    <w:p>
      <w:pPr>
        <w:spacing w:after="140"/>
      </w:pPr>
      <w:r>
        <w:rPr>
          <w:sz w:val="22"/>
          <w:szCs w:val="22"/>
        </w:rPr>
        <w:t xml:space="preserve">It covers objective elements COP.13.a–j (10 elements).</w:t>
      </w:r>
    </w:p>
    <w:p>
      <w:pPr>
        <w:spacing w:after="140"/>
      </w:pPr>
      <w:r>
        <w:rPr>
          <w:sz w:val="22"/>
          <w:szCs w:val="22"/>
        </w:rPr>
        <w:t xml:space="preserve">This policy owns COP.13.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COP.13 at Preview Hospital, including the «Anaesthesia In-Charge», treating doctors, nurses and the Quality Coordinator.</w:t>
      </w:r>
    </w:p>
    <w:p>
      <w:pPr>
        <w:spacing w:after="140"/>
      </w:pPr>
      <w:r>
        <w:rPr>
          <w:sz w:val="22"/>
          <w:szCs w:val="22"/>
        </w:rPr>
        <w:t xml:space="preserve">It covers 10 objective elements (COP.13.a, COP.13.b, COP.13.c, COP.13.d, COP.13.e, COP.13.f, COP.13.g, COP.13.h, COP.13.i, COP.13.j).</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COP.13 so that anaesthesia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Anaesthesia services are provided in a consistent manner.</w:t>
      </w:r>
    </w:p>
    <w:p>
      <w:pPr>
        <w:spacing w:after="80"/>
      </w:pPr>
      <w:r>
        <w:rPr>
          <w:sz w:val="22"/>
          <w:szCs w:val="22"/>
        </w:rPr>
        <w:t xml:space="preserve">2. Do not skip: The pre-anaesthesia assessment results in the formulation of an anaesthesia plan which is documented.</w:t>
      </w:r>
    </w:p>
    <w:p>
      <w:pPr>
        <w:spacing w:after="80"/>
      </w:pPr>
      <w:r>
        <w:rPr>
          <w:sz w:val="22"/>
          <w:szCs w:val="22"/>
        </w:rPr>
        <w:t xml:space="preserve">3. Do not skip: A pre-induction assessment is performed and documented.</w:t>
      </w:r>
    </w:p>
    <w:p>
      <w:pPr>
        <w:spacing w:after="80"/>
      </w:pPr>
      <w:r>
        <w:rPr>
          <w:sz w:val="22"/>
          <w:szCs w:val="22"/>
        </w:rPr>
        <w:t xml:space="preserve">4. Do not skip: The anaesthesiologist obtains informed consent for administration of anaesthesia.</w:t>
      </w:r>
    </w:p>
    <w:p>
      <w:pPr>
        <w:spacing w:after="80"/>
      </w:pPr>
      <w:r>
        <w:rPr>
          <w:sz w:val="22"/>
          <w:szCs w:val="22"/>
        </w:rPr>
        <w:t xml:space="preserve">5. Do not skip: During anaesthesia, monitoring includes a regular recording of temperature, heart rate, cardiac rhythm, res...</w:t>
      </w:r>
    </w:p>
    <w:p>
      <w:pPr>
        <w:spacing w:after="80"/>
      </w:pPr>
      <w:r>
        <w:rPr>
          <w:sz w:val="22"/>
          <w:szCs w:val="22"/>
        </w:rPr>
        <w:t xml:space="preserve">6. Do not skip: Patient’s post-anaesthesia status is monitored and documented.</w:t>
      </w:r>
    </w:p>
    <w:p>
      <w:pPr>
        <w:spacing w:after="80"/>
      </w:pPr>
      <w:r>
        <w:rPr>
          <w:sz w:val="22"/>
          <w:szCs w:val="22"/>
        </w:rPr>
        <w:t xml:space="preserve">7. Do not skip: The anaesthesiologist applies dened criteria to transfer the patient from the recovery area.</w:t>
      </w:r>
    </w:p>
    <w:p>
      <w:pPr>
        <w:spacing w:after="80"/>
      </w:pPr>
      <w:r>
        <w:rPr>
          <w:sz w:val="22"/>
          <w:szCs w:val="22"/>
        </w:rPr>
        <w:t xml:space="preserve">8. Do not skip: The type of anaesthesia and anaesthetic medications used are documented in the patient record.</w:t>
      </w:r>
    </w:p>
    <w:p>
      <w:pPr>
        <w:spacing w:after="80"/>
      </w:pPr>
      <w:r>
        <w:rPr>
          <w:sz w:val="22"/>
          <w:szCs w:val="22"/>
        </w:rPr>
        <w:t xml:space="preserve">9. Do not skip: Procedures shall comply with infection prevention and control guidelines to prevent cross-infection between...</w:t>
      </w:r>
    </w:p>
    <w:p>
      <w:pPr>
        <w:spacing w:after="80"/>
      </w:pPr>
      <w:r>
        <w:rPr>
          <w:sz w:val="22"/>
          <w:szCs w:val="22"/>
        </w:rPr>
        <w:t xml:space="preserve">10. Do not skip: Intra-operative adverse anaesthesia events are recorded and monitored.</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Anaesthesia services are provided in a consistent manner</w:t>
      </w:r>
    </w:p>
    <w:p>
      <w:pPr>
        <w:spacing w:after="140"/>
      </w:pPr>
      <w:r>
        <w:rPr>
          <w:sz w:val="22"/>
          <w:szCs w:val="22"/>
        </w:rPr>
        <w:t xml:space="preserve">Anaesthesia services are provided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pre-anaesthesia assessment results in the formulation of an anaes..</w:t>
      </w:r>
    </w:p>
    <w:p>
      <w:pPr>
        <w:spacing w:after="140"/>
      </w:pPr>
      <w:r>
        <w:rPr>
          <w:sz w:val="22"/>
          <w:szCs w:val="22"/>
        </w:rPr>
        <w:t xml:space="preserve">The pre-anaesthesia assessment results in the formulation of an anaesthesia plan which is documented.</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A pre-induction assessment is performed and documented</w:t>
      </w:r>
    </w:p>
    <w:p>
      <w:pPr>
        <w:spacing w:after="140"/>
      </w:pPr>
      <w:r>
        <w:rPr>
          <w:sz w:val="22"/>
          <w:szCs w:val="22"/>
        </w:rPr>
        <w:t xml:space="preserve">A pre-induction assessment is performed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anaesthesiologist obtains informed consent for administration of ..</w:t>
      </w:r>
    </w:p>
    <w:p>
      <w:pPr>
        <w:spacing w:after="140"/>
      </w:pPr>
      <w:r>
        <w:rPr>
          <w:sz w:val="22"/>
          <w:szCs w:val="22"/>
        </w:rPr>
        <w:t xml:space="preserve">The anaesthesiologist obtains informed consent for administration of anaesthesia.</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During anaesthesia, monitoring includes a regular recording of temper..</w:t>
      </w:r>
    </w:p>
    <w:p>
      <w:pPr>
        <w:spacing w:after="140"/>
      </w:pPr>
      <w:r>
        <w:rPr>
          <w:sz w:val="22"/>
          <w:szCs w:val="22"/>
        </w:rPr>
        <w:t xml:space="preserve">During anaesthesia, monitoring includes a regular recording of temperature, heart rate, cardiac rhythm, respiratory rate, blood pressure, oxygen saturation and end-tidal carbon dioxide.</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5.6 Patient’s post-anaesthesia status is monitored and documented</w:t>
      </w:r>
    </w:p>
    <w:p>
      <w:pPr>
        <w:spacing w:after="140"/>
      </w:pPr>
      <w:r>
        <w:rPr>
          <w:sz w:val="22"/>
          <w:szCs w:val="22"/>
        </w:rPr>
        <w:t xml:space="preserve">Patient’s post-anaesthesia status is monitored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anaesthesiologist applies dened criteria to transfer the patient..</w:t>
      </w:r>
    </w:p>
    <w:p>
      <w:pPr>
        <w:spacing w:after="140"/>
      </w:pPr>
      <w:r>
        <w:rPr>
          <w:sz w:val="22"/>
          <w:szCs w:val="22"/>
        </w:rPr>
        <w:t xml:space="preserve">The anaesthesiologist applies dened criteria to transfer the patient from the recovery area.</w:t>
      </w:r>
    </w:p>
    <w:p>
      <w:pPr>
        <w:spacing w:after="140"/>
      </w:pPr>
      <w:r>
        <w:rPr>
          <w:sz w:val="22"/>
          <w:szCs w:val="22"/>
        </w:rPr>
        <w:t xml:space="preserve">Method note (from guidebook interpretation): The organisation documents these criteria which shall be based</w:t>
      </w:r>
    </w:p>
    <w:p>
      <w:pPr>
        <w:pStyle w:val="Heading2"/>
        <w:spacing w:after="100" w:before="220"/>
      </w:pPr>
      <w:r>
        <w:t xml:space="preserve">5.8 The type of anaesthesia and anaesthetic medications used are document..</w:t>
      </w:r>
    </w:p>
    <w:p>
      <w:pPr>
        <w:spacing w:after="140"/>
      </w:pPr>
      <w:r>
        <w:rPr>
          <w:sz w:val="22"/>
          <w:szCs w:val="22"/>
        </w:rPr>
        <w:t xml:space="preserve">The type of anaesthesia and anaesthetic medications used are documented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Procedures shall comply with infection prevention and control guideli..</w:t>
      </w:r>
    </w:p>
    <w:p>
      <w:pPr>
        <w:spacing w:after="140"/>
      </w:pPr>
      <w:r>
        <w:rPr>
          <w:sz w:val="22"/>
          <w:szCs w:val="22"/>
        </w:rPr>
        <w:t xml:space="preserve">Procedures shall comply with infection prevention and control guidelines to prevent cross-infection between patients.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Intra-operative adverse anaesthesia events are recorded and monitored</w:t>
      </w:r>
    </w:p>
    <w:p>
      <w:pPr>
        <w:spacing w:after="140"/>
      </w:pPr>
      <w:r>
        <w:rPr>
          <w:sz w:val="22"/>
          <w:szCs w:val="22"/>
        </w:rPr>
        <w:t xml:space="preserve">Intra-operative adverse anaesthesia events are recorded and monitored.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induce anaesthesia when the pre-anaesthesia assessment and anaesthesia plan are not documented, when pre-induction assessment is not documented, or when required intra-operative monitoring (including ETCO2 where applicable) cannot be provided.</w:t>
      </w:r>
    </w:p>
    <w:p>
      <w:pPr>
        <w:spacing w:after="140"/>
      </w:pPr>
      <w:r>
        <w:rPr>
          <w:sz w:val="22"/>
          <w:szCs w:val="22"/>
        </w:rPr>
        <w:t xml:space="preserve">Stop-work applies to induction. Immediate life-saving operative care follows emergency anaesthesia rules documented by the organisation.</w:t>
      </w:r>
    </w:p>
    <w:p>
      <w:pPr>
        <w:spacing w:after="140"/>
      </w:pPr>
      <w:r>
        <w:rPr>
          <w:sz w:val="22"/>
          <w:szCs w:val="22"/>
        </w:rPr>
        <w:t xml:space="preserve">The person who stops tells the «Anaesthesiologist / OT In-Charge» the same shift. Refusing unsafe induction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COP.13 is resourced and followed.</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COP.13.a–j.</w:t>
      </w:r>
    </w:p>
    <w:p>
      <w:pPr>
        <w:pStyle w:val="ListParagraph"/>
        <w:numPr>
          <w:ilvl w:val="0"/>
          <w:numId w:val="1"/>
        </w:numPr>
        <w:spacing w:after="60"/>
      </w:pPr>
      <w:r>
        <w:rPr>
          <w:sz w:val="22"/>
          <w:szCs w:val="22"/>
        </w:rPr>
        <w:t xml:space="preserve">Asterisked elements (ag) have document evidence as required.</w:t>
      </w:r>
    </w:p>
    <w:p>
      <w:pPr>
        <w:pStyle w:val="ListParagraph"/>
        <w:numPr>
          <w:ilvl w:val="0"/>
          <w:numId w:val="1"/>
        </w:numPr>
        <w:spacing w:after="60"/>
      </w:pPr>
      <w:r>
        <w:rPr>
          <w:sz w:val="22"/>
          <w:szCs w:val="22"/>
        </w:rPr>
        <w:t xml:space="preserve">CORE elements (be)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Anaesthesia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COP.13.</w:t>
      </w:r>
    </w:p>
    <w:p>
      <w:pPr>
        <w:pStyle w:val="ListParagraph"/>
        <w:numPr>
          <w:ilvl w:val="0"/>
          <w:numId w:val="1"/>
        </w:numPr>
        <w:spacing w:after="60"/>
      </w:pPr>
      <w:r>
        <w:rPr>
          <w:sz w:val="22"/>
          <w:szCs w:val="22"/>
        </w:rPr>
        <w:t xml:space="preserve">NABH Guidebook to Accreditation Standards for Hospitals, 6th Edition — COP.13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COP.13.</w:t>
      </w:r>
    </w:p>
    <w:p>
      <w:pPr>
        <w:pStyle w:val="Heading1"/>
        <w:spacing w:after="120" w:before="280"/>
      </w:pPr>
      <w:r>
        <w:t xml:space="preserve">11. Distribution</w:t>
      </w:r>
    </w:p>
    <w:p>
      <w:pPr>
        <w:spacing w:after="140"/>
      </w:pPr>
      <w:r>
        <w:rPr>
          <w:sz w:val="22"/>
          <w:szCs w:val="22"/>
        </w:rPr>
        <w:t xml:space="preserve">Medical Superintendent; Anaesthesia In-Charge; Quality Coordinator; department clinical staff covered by COP.13.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Anaesthesia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pre-anaesthesia assessment results in the formulation of an anaesthesia plan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pre-induction assessment is performed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obtains informed consent for administration of anaesthesia.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anaesthesia, monitoring includes a regular recording of temperature, heart rate, cardiac rhythm, respiratory rate, blood pressure, oxygen saturation and end-tidal carbon dioxide.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post-anaesthesia status is monitored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applies dened criteria to transfer the patient from the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type of anaesthesia and anaesthetic medications used are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shall comply with infection prevention and control guidelines to prevent cross-infection between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Intra-operative adverse anaesthesia events are recorded and monitored.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COP.13.a — Anaesthesia services are provided in a consistent manner.</w:t>
      </w:r>
    </w:p>
    <w:p>
      <w:pPr>
        <w:pStyle w:val="ListParagraph"/>
        <w:numPr>
          <w:ilvl w:val="0"/>
          <w:numId w:val="1"/>
        </w:numPr>
        <w:spacing w:after="60"/>
      </w:pPr>
      <w:r>
        <w:rPr>
          <w:sz w:val="22"/>
          <w:szCs w:val="22"/>
        </w:rPr>
        <w:t xml:space="preserve">Records showing COP.13.a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COP.13.b — The pre-anaesthesia assessment results in the formulation of an anaesthesia plan which is documented.</w:t>
      </w:r>
    </w:p>
    <w:p>
      <w:pPr>
        <w:pStyle w:val="ListParagraph"/>
        <w:numPr>
          <w:ilvl w:val="0"/>
          <w:numId w:val="1"/>
        </w:numPr>
        <w:spacing w:after="60"/>
      </w:pPr>
      <w:r>
        <w:rPr>
          <w:sz w:val="22"/>
          <w:szCs w:val="22"/>
        </w:rPr>
        <w:t xml:space="preserve">Records showing COP.13.b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COP.13.b reviewed «quarterly».</w:t>
      </w:r>
    </w:p>
    <w:p>
      <w:pPr>
        <w:pStyle w:val="Heading2"/>
        <w:spacing w:after="100" w:before="220"/>
      </w:pPr>
      <w:r>
        <w:t xml:space="preserve">COP.13.c — A pre-induction assessment is performed and documented.</w:t>
      </w:r>
    </w:p>
    <w:p>
      <w:pPr>
        <w:pStyle w:val="ListParagraph"/>
        <w:numPr>
          <w:ilvl w:val="0"/>
          <w:numId w:val="1"/>
        </w:numPr>
        <w:spacing w:after="60"/>
      </w:pPr>
      <w:r>
        <w:rPr>
          <w:sz w:val="22"/>
          <w:szCs w:val="22"/>
        </w:rPr>
        <w:t xml:space="preserve">Records showing COP.13.c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COP.13.c reviewed «quarterly».</w:t>
      </w:r>
    </w:p>
    <w:p>
      <w:pPr>
        <w:pStyle w:val="Heading2"/>
        <w:spacing w:after="100" w:before="220"/>
      </w:pPr>
      <w:r>
        <w:t xml:space="preserve">COP.13.d — The anaesthesiologist obtains informed consent for administration of anaesthesia.</w:t>
      </w:r>
    </w:p>
    <w:p>
      <w:pPr>
        <w:pStyle w:val="ListParagraph"/>
        <w:numPr>
          <w:ilvl w:val="0"/>
          <w:numId w:val="1"/>
        </w:numPr>
        <w:spacing w:after="60"/>
      </w:pPr>
      <w:r>
        <w:rPr>
          <w:sz w:val="22"/>
          <w:szCs w:val="22"/>
        </w:rPr>
        <w:t xml:space="preserve">Records showing COP.13.d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COP.13.d reviewed «quarterly».</w:t>
      </w:r>
    </w:p>
    <w:p>
      <w:pPr>
        <w:pStyle w:val="Heading2"/>
        <w:spacing w:after="100" w:before="220"/>
      </w:pPr>
      <w:r>
        <w:t xml:space="preserve">COP.13.e — During anaesthesia, monitoring includes a regular recording of temperature, heart rate, cardiac rhythm, respiratory rate, blood pressure, oxygen saturation and end-tidal carbon dioxide.</w:t>
      </w:r>
    </w:p>
    <w:p>
      <w:pPr>
        <w:pStyle w:val="ListParagraph"/>
        <w:numPr>
          <w:ilvl w:val="0"/>
          <w:numId w:val="1"/>
        </w:numPr>
        <w:spacing w:after="60"/>
      </w:pPr>
      <w:r>
        <w:rPr>
          <w:sz w:val="22"/>
          <w:szCs w:val="22"/>
        </w:rPr>
        <w:t xml:space="preserve">Records showing COP.13.e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COP.13.e reviewed «quarterly».</w:t>
      </w:r>
    </w:p>
    <w:p>
      <w:pPr>
        <w:pStyle w:val="Heading2"/>
        <w:spacing w:after="100" w:before="220"/>
      </w:pPr>
      <w:r>
        <w:t xml:space="preserve">COP.13.f — Patient’s post-anaesthesia status is monitored and documented.</w:t>
      </w:r>
    </w:p>
    <w:p>
      <w:pPr>
        <w:pStyle w:val="ListParagraph"/>
        <w:numPr>
          <w:ilvl w:val="0"/>
          <w:numId w:val="1"/>
        </w:numPr>
        <w:spacing w:after="60"/>
      </w:pPr>
      <w:r>
        <w:rPr>
          <w:sz w:val="22"/>
          <w:szCs w:val="22"/>
        </w:rPr>
        <w:t xml:space="preserve">Records showing COP.13.f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COP.13.f reviewed «quarterly».</w:t>
      </w:r>
    </w:p>
    <w:p>
      <w:pPr>
        <w:pStyle w:val="Heading2"/>
        <w:spacing w:after="100" w:before="220"/>
      </w:pPr>
      <w:r>
        <w:t xml:space="preserve">COP.13.g — The anaesthesiologist applies dened criteria to transfer the patient from the recovery area.</w:t>
      </w:r>
    </w:p>
    <w:p>
      <w:pPr>
        <w:pStyle w:val="ListParagraph"/>
        <w:numPr>
          <w:ilvl w:val="0"/>
          <w:numId w:val="1"/>
        </w:numPr>
        <w:spacing w:after="60"/>
      </w:pPr>
      <w:r>
        <w:rPr>
          <w:sz w:val="22"/>
          <w:szCs w:val="22"/>
        </w:rPr>
        <w:t xml:space="preserve">Records showing COP.13.g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COP.13.h — The type of anaesthesia and anaesthetic medications used are documented in the patient record.</w:t>
      </w:r>
    </w:p>
    <w:p>
      <w:pPr>
        <w:pStyle w:val="ListParagraph"/>
        <w:numPr>
          <w:ilvl w:val="0"/>
          <w:numId w:val="1"/>
        </w:numPr>
        <w:spacing w:after="60"/>
      </w:pPr>
      <w:r>
        <w:rPr>
          <w:sz w:val="22"/>
          <w:szCs w:val="22"/>
        </w:rPr>
        <w:t xml:space="preserve">Records showing COP.13.h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COP.13.h reviewed «quarterly».</w:t>
      </w:r>
    </w:p>
    <w:p>
      <w:pPr>
        <w:pStyle w:val="Heading2"/>
        <w:spacing w:after="100" w:before="220"/>
      </w:pPr>
      <w:r>
        <w:t xml:space="preserve">COP.13.i — Procedures shall comply with infection prevention and control guidelines to prevent cross-infection between patients.</w:t>
      </w:r>
    </w:p>
    <w:p>
      <w:pPr>
        <w:pStyle w:val="ListParagraph"/>
        <w:numPr>
          <w:ilvl w:val="0"/>
          <w:numId w:val="1"/>
        </w:numPr>
        <w:spacing w:after="60"/>
      </w:pPr>
      <w:r>
        <w:rPr>
          <w:sz w:val="22"/>
          <w:szCs w:val="22"/>
        </w:rPr>
        <w:t xml:space="preserve">Records showing COP.13.i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COP.13.i reviewed «quarterly».</w:t>
      </w:r>
    </w:p>
    <w:p>
      <w:pPr>
        <w:pStyle w:val="Heading2"/>
        <w:spacing w:after="100" w:before="220"/>
      </w:pPr>
      <w:r>
        <w:t xml:space="preserve">COP.13.j — Intra-operative adverse anaesthesia events are recorded and monitored.</w:t>
      </w:r>
    </w:p>
    <w:p>
      <w:pPr>
        <w:pStyle w:val="ListParagraph"/>
        <w:numPr>
          <w:ilvl w:val="0"/>
          <w:numId w:val="1"/>
        </w:numPr>
        <w:spacing w:after="60"/>
      </w:pPr>
      <w:r>
        <w:rPr>
          <w:sz w:val="22"/>
          <w:szCs w:val="22"/>
        </w:rPr>
        <w:t xml:space="preserve">Records showing COP.13.j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COP.13.j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«HCO/COP/POL/13»  |  Controlled document  |  Anaesthesia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2026-08-20T14:56:29.842Z</dcterms:created>
  <dcterms:modified xsi:type="dcterms:W3CDTF">2026-08-20T14:56:29.842Z</dcterms:modified>
</cp:coreProperties>
</file>

<file path=docProps/custom.xml><?xml version="1.0" encoding="utf-8"?>
<Properties xmlns="http://schemas.openxmlformats.org/officeDocument/2006/custom-properties" xmlns:vt="http://schemas.openxmlformats.org/officeDocument/2006/docPropsVTypes"/>
</file>