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COP.11.h — Quality-assurance programme for procedural and theatre practice</w:t>
      </w:r>
    </w:p>
    <w:p>
      <w:r>
        <w:t>COP.11 Record 8 — Theatre quality-assurance programme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Period Covered: Audit period.</w:t>
      </w:r>
    </w:p>
    <w:p>
      <w:pPr>
        <w:pStyle w:val="ListParagraph"/>
      </w:pPr>
      <w:r>
        <w:t>Checklist Completion as Real-Time Pause (%): Measured use, not possession of the form.</w:t>
      </w:r>
    </w:p>
    <w:p>
      <w:pPr>
        <w:pStyle w:val="ListParagraph"/>
      </w:pPr>
      <w:r>
        <w:t>Consent-Before-Incision Compliance (%): Compliance rate.</w:t>
      </w:r>
    </w:p>
    <w:p>
      <w:pPr>
        <w:pStyle w:val="ListParagraph"/>
      </w:pPr>
      <w:r>
        <w:t>Postponements/Cancellations After Arrival (Count, Reasons): e.g. missing implant, unmarked site, equipment failure.</w:t>
      </w:r>
    </w:p>
    <w:p>
      <w:pPr>
        <w:pStyle w:val="ListParagraph"/>
      </w:pPr>
      <w:r>
        <w:t>Near-Misses / Actual Wrong-Site Events (Count, Details): Any such event, reported immediately and analysed.</w:t>
      </w:r>
    </w:p>
    <w:p>
      <w:pPr>
        <w:pStyle w:val="ListParagraph"/>
      </w:pPr>
      <w:r>
        <w:t>Corrective/Preventive Action (Owner, Due Date): Action taken, not a reminder to be careful.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the quality-assurance programme actually looks at whether the process ran -- the pause, the consent, the notes -- not at infection rates, which stay with the infection-surveillance policy.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quarterly review finds one postponement for a missing implant; this log shows a concrete process change followed, with an owner and a date, not just a reminder to be more careful.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the organisation to implement a quality-assurance programme -- an Achievement,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Period Covered</w:t>
            </w:r>
          </w:p>
        </w:tc>
        <w:tc>
          <w:tcPr>
            <w:tcW w:type="dxa" w:w="1440"/>
          </w:tcPr>
          <w:p>
            <w:r>
              <w:t>Checklist Completion as Real-Time Pause (%)</w:t>
            </w:r>
          </w:p>
        </w:tc>
        <w:tc>
          <w:tcPr>
            <w:tcW w:type="dxa" w:w="1440"/>
          </w:tcPr>
          <w:p>
            <w:r>
              <w:t>Consent-Before-Incision Compliance (%)</w:t>
            </w:r>
          </w:p>
        </w:tc>
        <w:tc>
          <w:tcPr>
            <w:tcW w:type="dxa" w:w="1440"/>
          </w:tcPr>
          <w:p>
            <w:r>
              <w:t>Postponements/Cancellations After Arrival (Count, Reasons)</w:t>
            </w:r>
          </w:p>
        </w:tc>
        <w:tc>
          <w:tcPr>
            <w:tcW w:type="dxa" w:w="1440"/>
          </w:tcPr>
          <w:p>
            <w:r>
              <w:t>Near-Misses / Actual Wrong-Site Events (Count, Details)</w:t>
            </w:r>
          </w:p>
        </w:tc>
        <w:tc>
          <w:tcPr>
            <w:tcW w:type="dxa" w:w="1440"/>
          </w:tcPr>
          <w:p>
            <w:r>
              <w:t>Corrective/Preventive Action (Owner, Due Date)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Q1 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100% real-time pause confirmed by spot audit</w:t>
            </w:r>
          </w:p>
        </w:tc>
        <w:tc>
          <w:tcPr>
            <w:tcW w:type="dxa" w:w="1440"/>
            <w:shd w:val="clear" w:color="auto" w:fill="FFF2CC"/>
          </w:tcPr>
          <w:p>
            <w:r>
              <w:t>100%</w:t>
            </w:r>
          </w:p>
        </w:tc>
        <w:tc>
          <w:tcPr>
            <w:tcW w:type="dxa" w:w="1440"/>
            <w:shd w:val="clear" w:color="auto" w:fill="FFF2CC"/>
          </w:tcPr>
          <w:p>
            <w:r>
              <w:t>1 (missing implant, confirmed before induction next time)</w:t>
            </w:r>
          </w:p>
        </w:tc>
        <w:tc>
          <w:tcPr>
            <w:tcW w:type="dxa" w:w="1440"/>
            <w:shd w:val="clear" w:color="auto" w:fill="FFF2CC"/>
          </w:tcPr>
          <w:p>
            <w:r>
              <w:t>0</w:t>
            </w:r>
          </w:p>
        </w:tc>
        <w:tc>
          <w:tcPr>
            <w:tcW w:type="dxa" w:w="1440"/>
            <w:shd w:val="clear" w:color="auto" w:fill="FFF2CC"/>
          </w:tcPr>
          <w:p>
            <w:r>
              <w:t>Pre-list implant-confirmation step added to Record 7 -- Theatre In-Charge, 01/04/2026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