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5245"/>
          <w:sz w:val="52"/>
        </w:rPr>
        <w:t>CAPITAL MANAGEMENT</w:t>
      </w:r>
    </w:p>
    <w:p>
      <w:pPr>
        <w:spacing w:after="280"/>
      </w:pPr>
      <w:r>
        <w:rPr>
          <w:i/>
          <w:color w:val="51604F"/>
          <w:sz w:val="26"/>
        </w:rPr>
        <w:t>Standard Operating Procedure — Upande Sphynx</w:t>
      </w:r>
    </w:p>
    <w:tbl>
      <w:tblPr>
        <w:tblW w:type="auto" w:w="0"/>
        <w:tblLayout w:type="autofit"/>
        <w:tblLook w:firstColumn="1" w:firstRow="1" w:lastColumn="0" w:lastRow="0" w:noHBand="0" w:noVBand="1" w:val="04A0"/>
      </w:tblPr>
      <w:tblGrid>
        <w:gridCol w:w="1872"/>
        <w:gridCol w:w="7488"/>
      </w:tblGrid>
      <w:tr>
        <w:tc>
          <w:tcPr>
            <w:tcW w:type="dxa" w:w="4824"/>
          </w:tcPr>
          <w:p>
            <w:r/>
            <w:r>
              <w:rPr>
                <w:b/>
                <w:color w:val="1F5245"/>
                <w:sz w:val="20"/>
              </w:rPr>
              <w:t>App</w:t>
            </w:r>
          </w:p>
        </w:tc>
        <w:tc>
          <w:tcPr>
            <w:tcW w:type="dxa" w:w="4824"/>
          </w:tcPr>
          <w:p>
            <w:r/>
            <w:r>
              <w:rPr>
                <w:sz w:val="20"/>
              </w:rPr>
              <w:t>Upande Sphynx</w:t>
            </w:r>
          </w:p>
        </w:tc>
      </w:tr>
      <w:tr>
        <w:tc>
          <w:tcPr>
            <w:tcW w:type="dxa" w:w="4824"/>
          </w:tcPr>
          <w:p>
            <w:r/>
            <w:r>
              <w:rPr>
                <w:b/>
                <w:color w:val="1F5245"/>
                <w:sz w:val="20"/>
              </w:rPr>
              <w:t>Covers</w:t>
            </w:r>
          </w:p>
        </w:tc>
        <w:tc>
          <w:tcPr>
            <w:tcW w:type="dxa" w:w="4824"/>
          </w:tcPr>
          <w:p>
            <w:r/>
            <w:r>
              <w:rPr>
                <w:sz w:val="20"/>
              </w:rPr>
              <w:t>Share Agreement, Share Movement, Convertible Loan Note, Share Transfer, Share Register, Shareholder, and related reports</w:t>
            </w:r>
          </w:p>
        </w:tc>
      </w:tr>
      <w:tr>
        <w:tc>
          <w:tcPr>
            <w:tcW w:type="dxa" w:w="4824"/>
          </w:tcPr>
          <w:p>
            <w:r/>
            <w:r>
              <w:rPr>
                <w:b/>
                <w:color w:val="1F5245"/>
                <w:sz w:val="20"/>
              </w:rPr>
              <w:t>Audience</w:t>
            </w:r>
          </w:p>
        </w:tc>
        <w:tc>
          <w:tcPr>
            <w:tcW w:type="dxa" w:w="4824"/>
          </w:tcPr>
          <w:p>
            <w:r/>
            <w:r>
              <w:rPr>
                <w:sz w:val="20"/>
              </w:rPr>
              <w:t>Accounts Manager / System Manager users who administer share issuance, convertible loans, and share transfers</w:t>
            </w:r>
          </w:p>
        </w:tc>
      </w:tr>
      <w:tr>
        <w:tc>
          <w:tcPr>
            <w:tcW w:type="dxa" w:w="4824"/>
          </w:tcPr>
          <w:p>
            <w:r/>
            <w:r>
              <w:rPr>
                <w:b/>
                <w:color w:val="1F5245"/>
                <w:sz w:val="20"/>
              </w:rPr>
              <w:t>Last reviewed</w:t>
            </w:r>
          </w:p>
        </w:tc>
        <w:tc>
          <w:tcPr>
            <w:tcW w:type="dxa" w:w="4824"/>
          </w:tcPr>
          <w:p>
            <w:r/>
            <w:r>
              <w:rPr>
                <w:sz w:val="20"/>
              </w:rPr>
              <w:t>2026-07-29</w:t>
            </w:r>
          </w:p>
        </w:tc>
      </w:tr>
    </w:tbl>
    <w:p>
      <w:pPr>
        <w:spacing w:after="80"/>
      </w:pPr>
    </w:p>
    <w:p>
      <w:pPr>
        <w:pStyle w:val="Heading1"/>
      </w:pPr>
      <w:r>
        <w:t>0. Read this first — known issues</w:t>
      </w:r>
    </w:p>
    <w:p>
      <w:pPr>
        <w:spacing w:after="160"/>
      </w:pPr>
      <w:r>
        <w:rPr>
          <w:b w:val="0"/>
          <w:i w:val="0"/>
          <w:color w:val="1E2B22"/>
          <w:sz w:val="22"/>
        </w:rPr>
        <w:t>Most of this feature is now working end-to-end from the Desk UI. A batch of backend bugs was just fixed (2026-07-29) — see the changelog below. A few genuine gaps remain; read this before following the steps that follow.</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color="auto" w:fill="1F5245"/>
          </w:tcPr>
          <w:p>
            <w:r/>
            <w:r>
              <w:rPr>
                <w:b/>
                <w:color w:val="FFFFFF"/>
                <w:sz w:val="19"/>
              </w:rPr>
              <w:t>#</w:t>
            </w:r>
          </w:p>
        </w:tc>
        <w:tc>
          <w:tcPr>
            <w:tcW w:type="dxa" w:w="3216"/>
            <w:shd w:val="clear" w:color="auto" w:fill="1F5245"/>
          </w:tcPr>
          <w:p>
            <w:r/>
            <w:r>
              <w:rPr>
                <w:b/>
                <w:color w:val="FFFFFF"/>
                <w:sz w:val="19"/>
              </w:rPr>
              <w:t>Issue</w:t>
            </w:r>
          </w:p>
        </w:tc>
        <w:tc>
          <w:tcPr>
            <w:tcW w:type="dxa" w:w="3216"/>
            <w:shd w:val="clear" w:color="auto" w:fill="1F5245"/>
          </w:tcPr>
          <w:p>
            <w:r/>
            <w:r>
              <w:rPr>
                <w:b/>
                <w:color w:val="FFFFFF"/>
                <w:sz w:val="19"/>
              </w:rPr>
              <w:t>Effect</w:t>
            </w:r>
          </w:p>
        </w:tc>
      </w:tr>
      <w:tr>
        <w:tc>
          <w:tcPr>
            <w:tcW w:type="dxa" w:w="3216"/>
          </w:tcPr>
          <w:p>
            <w:r/>
            <w:r>
              <w:rPr>
                <w:b w:val="0"/>
                <w:i w:val="0"/>
                <w:sz w:val="19"/>
              </w:rPr>
              <w:t>1</w:t>
            </w:r>
          </w:p>
        </w:tc>
        <w:tc>
          <w:tcPr>
            <w:tcW w:type="dxa" w:w="3216"/>
          </w:tcPr>
          <w:p>
            <w:r/>
            <w:r>
              <w:rPr>
                <w:b/>
                <w:i w:val="0"/>
                <w:sz w:val="19"/>
              </w:rPr>
              <w:t>Share Register</w:t>
            </w:r>
            <w:r>
              <w:rPr>
                <w:b w:val="0"/>
                <w:i w:val="0"/>
                <w:sz w:val="19"/>
              </w:rPr>
              <w:t xml:space="preserve"> and </w:t>
            </w:r>
            <w:r>
              <w:rPr>
                <w:b/>
                <w:i w:val="0"/>
                <w:sz w:val="19"/>
              </w:rPr>
              <w:t>Bulk Upload</w:t>
            </w:r>
            <w:r>
              <w:rPr>
                <w:b w:val="0"/>
                <w:i w:val="0"/>
                <w:sz w:val="19"/>
              </w:rPr>
              <w:t xml:space="preserve"> are empty placeholders.</w:t>
            </w:r>
          </w:p>
        </w:tc>
        <w:tc>
          <w:tcPr>
            <w:tcW w:type="dxa" w:w="3216"/>
          </w:tcPr>
          <w:p>
            <w:r/>
            <w:r>
              <w:rPr>
                <w:b w:val="0"/>
                <w:i w:val="0"/>
                <w:sz w:val="19"/>
              </w:rPr>
              <w:t>Don't use them — there is nothing behind them yet.</w:t>
            </w:r>
          </w:p>
        </w:tc>
      </w:tr>
      <w:tr>
        <w:tc>
          <w:tcPr>
            <w:tcW w:type="dxa" w:w="3216"/>
          </w:tcPr>
          <w:p>
            <w:r/>
            <w:r>
              <w:rPr>
                <w:b w:val="0"/>
                <w:i w:val="0"/>
                <w:sz w:val="19"/>
              </w:rPr>
              <w:t>2</w:t>
            </w:r>
          </w:p>
        </w:tc>
        <w:tc>
          <w:tcPr>
            <w:tcW w:type="dxa" w:w="3216"/>
          </w:tcPr>
          <w:p>
            <w:r/>
            <w:r>
              <w:rPr>
                <w:b/>
                <w:i w:val="0"/>
                <w:sz w:val="19"/>
              </w:rPr>
              <w:t>No configurable approval workflow.</w:t>
            </w:r>
            <w:r>
              <w:rPr>
                <w:b w:val="0"/>
                <w:i w:val="0"/>
                <w:sz w:val="19"/>
              </w:rPr>
              <w:t xml:space="preserve"> Status fields are read-only and only change automatically as a side effect of the actions below.</w:t>
            </w:r>
          </w:p>
        </w:tc>
        <w:tc>
          <w:tcPr>
            <w:tcW w:type="dxa" w:w="3216"/>
          </w:tcPr>
          <w:p>
            <w:r/>
            <w:r>
              <w:rPr>
                <w:b w:val="0"/>
                <w:i w:val="0"/>
                <w:sz w:val="19"/>
              </w:rPr>
              <w:t>This is by design, not a bug — don't expect a "Submit for Approval" step, and don't try to edit the Status field directly.</w:t>
            </w:r>
          </w:p>
        </w:tc>
      </w:tr>
      <w:tr>
        <w:tc>
          <w:tcPr>
            <w:tcW w:type="dxa" w:w="3216"/>
          </w:tcPr>
          <w:p>
            <w:r/>
            <w:r>
              <w:rPr>
                <w:b w:val="0"/>
                <w:i w:val="0"/>
                <w:sz w:val="19"/>
              </w:rPr>
              <w:t>3</w:t>
            </w:r>
          </w:p>
        </w:tc>
        <w:tc>
          <w:tcPr>
            <w:tcW w:type="dxa" w:w="3216"/>
          </w:tcPr>
          <w:p>
            <w:r/>
            <w:r>
              <w:rPr>
                <w:b w:val="0"/>
                <w:i w:val="0"/>
                <w:sz w:val="19"/>
              </w:rPr>
              <w:t xml:space="preserve">Two fields on </w:t>
            </w:r>
            <w:r>
              <w:rPr>
                <w:b/>
                <w:i w:val="0"/>
                <w:sz w:val="19"/>
              </w:rPr>
              <w:t>Shareholder</w:t>
            </w:r>
            <w:r>
              <w:rPr>
                <w:b w:val="0"/>
                <w:i w:val="0"/>
                <w:sz w:val="19"/>
              </w:rPr>
              <w:t xml:space="preserve"> — "Total Shares Held" and "Total Investment" — are not currently kept up to date by any process.</w:t>
            </w:r>
          </w:p>
        </w:tc>
        <w:tc>
          <w:tcPr>
            <w:tcW w:type="dxa" w:w="3216"/>
          </w:tcPr>
          <w:p>
            <w:r/>
            <w:r>
              <w:rPr>
                <w:b w:val="0"/>
                <w:i w:val="0"/>
                <w:sz w:val="19"/>
              </w:rPr>
              <w:t xml:space="preserve">Don't trust these two fields as a source of truth. Use the </w:t>
            </w:r>
            <w:r>
              <w:rPr>
                <w:b/>
                <w:i w:val="0"/>
                <w:sz w:val="19"/>
              </w:rPr>
              <w:t>Share Transactions Report</w:t>
            </w:r>
            <w:r>
              <w:rPr>
                <w:b w:val="0"/>
                <w:i w:val="0"/>
                <w:sz w:val="19"/>
              </w:rPr>
              <w:t xml:space="preserve"> (Section 6) instead.</w:t>
            </w:r>
          </w:p>
        </w:tc>
      </w:tr>
      <w:tr>
        <w:tc>
          <w:tcPr>
            <w:tcW w:type="dxa" w:w="3216"/>
          </w:tcPr>
          <w:p>
            <w:r/>
            <w:r>
              <w:rPr>
                <w:b w:val="0"/>
                <w:i w:val="0"/>
                <w:sz w:val="19"/>
              </w:rPr>
              <w:t>4</w:t>
            </w:r>
          </w:p>
        </w:tc>
        <w:tc>
          <w:tcPr>
            <w:tcW w:type="dxa" w:w="3216"/>
          </w:tcPr>
          <w:p>
            <w:r/>
            <w:r>
              <w:rPr>
                <w:b w:val="0"/>
                <w:i w:val="0"/>
                <w:sz w:val="19"/>
              </w:rPr>
              <w:t xml:space="preserve">There is currently no way to mark a CLN as </w:t>
            </w:r>
            <w:r>
              <w:rPr>
                <w:b/>
                <w:i w:val="0"/>
                <w:sz w:val="19"/>
              </w:rPr>
              <w:t>"Repaid"</w:t>
            </w:r>
            <w:r>
              <w:rPr>
                <w:b w:val="0"/>
                <w:i w:val="0"/>
                <w:sz w:val="19"/>
              </w:rPr>
              <w:t xml:space="preserve"> — that status option exists on the form but nothing sets it.</w:t>
            </w:r>
          </w:p>
        </w:tc>
        <w:tc>
          <w:tcPr>
            <w:tcW w:type="dxa" w:w="3216"/>
          </w:tcPr>
          <w:p>
            <w:r/>
            <w:r>
              <w:rPr>
                <w:b w:val="0"/>
                <w:i w:val="0"/>
                <w:sz w:val="19"/>
              </w:rPr>
              <w:t>If a loan is repaid rather than converted, check with your dev team on how to record this in the meantime.</w:t>
            </w:r>
          </w:p>
        </w:tc>
      </w:tr>
    </w:tbl>
    <w:p>
      <w:pPr>
        <w:spacing w:after="80"/>
      </w:pPr>
    </w:p>
    <w:p>
      <w:pPr>
        <w:pStyle w:val="Heading2"/>
      </w:pPr>
      <w:r>
        <w:t>Fixed 2026-07-29</w:t>
      </w:r>
    </w:p>
    <w:p>
      <w:pPr>
        <w:spacing w:after="160"/>
      </w:pPr>
      <w:r>
        <w:rPr>
          <w:b w:val="0"/>
          <w:i w:val="0"/>
          <w:color w:val="1E2B22"/>
          <w:sz w:val="22"/>
        </w:rPr>
        <w:t>The following used to block this process and have now been corrected in the backend:</w:t>
      </w:r>
    </w:p>
    <w:p>
      <w:pPr>
        <w:pStyle w:val="ListBullet"/>
        <w:spacing w:after="80"/>
      </w:pPr>
      <w:r>
        <w:rPr>
          <w:b w:val="0"/>
          <w:i w:val="0"/>
          <w:sz w:val="22"/>
        </w:rPr>
        <w:t>Share Movement's controller was missing its core class and could error on open/save/submit — fixed.</w:t>
      </w:r>
    </w:p>
    <w:p>
      <w:pPr>
        <w:pStyle w:val="ListBullet"/>
        <w:spacing w:after="80"/>
      </w:pPr>
      <w:r>
        <w:rPr>
          <w:b w:val="0"/>
          <w:i w:val="0"/>
          <w:sz w:val="22"/>
        </w:rPr>
        <w:t>The Share Agreement cancel/delete logic was missing a required import and would fail — fixed.</w:t>
      </w:r>
    </w:p>
    <w:p>
      <w:pPr>
        <w:pStyle w:val="ListBullet"/>
        <w:spacing w:after="80"/>
      </w:pPr>
      <w:r>
        <w:rPr>
          <w:b w:val="0"/>
          <w:i w:val="0"/>
          <w:sz w:val="22"/>
        </w:rPr>
        <w:t>The Convertible Loan Note's exchange rate field was being read under the wrong name during disbursement, interest accrual, and conversion, so a manually entered exchange rate was silently ignored — fixed.</w:t>
      </w:r>
    </w:p>
    <w:p>
      <w:pPr>
        <w:pStyle w:val="ListBullet"/>
        <w:spacing w:after="80"/>
      </w:pPr>
      <w:r>
        <w:rPr>
          <w:b w:val="0"/>
          <w:i w:val="0"/>
          <w:sz w:val="22"/>
        </w:rPr>
        <w:t>The CLN's "converted to" reference field was typed as a link to the wrong doctype (Share Transfer instead of Share Movement) and the conversion function wrote to a database column that didn't exist, which would have thrown an error — fixed.</w:t>
      </w:r>
    </w:p>
    <w:p>
      <w:pPr>
        <w:pStyle w:val="ListBullet"/>
        <w:spacing w:after="80"/>
      </w:pPr>
      <w:r>
        <w:rPr>
          <w:b w:val="0"/>
          <w:i w:val="0"/>
          <w:sz w:val="22"/>
        </w:rPr>
        <w:t>The "Cancel Agreement" / "Delete Agreement" / "Cancel Movement" / "Delete Movement" buttons called API methods that didn't exist — those methods now exist and the buttons work.</w:t>
      </w:r>
    </w:p>
    <w:p>
      <w:pPr>
        <w:pStyle w:val="ListBullet"/>
        <w:spacing w:after="80"/>
      </w:pPr>
      <w:r>
        <w:rPr>
          <w:b w:val="0"/>
          <w:i w:val="0"/>
          <w:sz w:val="22"/>
        </w:rPr>
        <w:t>Movement-type/status logic in the Share Movement validation (certificate number generation, source-document checks, inflow/outflow accounting) referenced values that could never actually occur — reconciled to match the real options.</w:t>
      </w:r>
    </w:p>
    <w:tbl>
      <w:tblPr>
        <w:tblW w:type="auto" w:w="0"/>
        <w:jc w:val="left"/>
        <w:tblLook w:firstColumn="1" w:firstRow="1" w:lastColumn="0" w:lastRow="0" w:noHBand="0" w:noVBand="1" w:val="04A0"/>
      </w:tblPr>
      <w:tblGrid>
        <w:gridCol w:w="9072"/>
      </w:tblGrid>
      <w:tr>
        <w:tc>
          <w:tcPr>
            <w:tcW w:type="dxa" w:w="9648"/>
            <w:shd w:val="clear" w:color="auto" w:fill="DFEAE5"/>
          </w:tcPr>
          <w:p>
            <w:pPr>
              <w:spacing w:after="40"/>
            </w:pPr>
            <w:r>
              <w:rPr>
                <w:b/>
                <w:color w:val="1F5245"/>
                <w:sz w:val="18"/>
              </w:rPr>
              <w:t>IF YOU'RE ON A SITE THAT HASN'T PICKED UP THIS UPDATE YET</w:t>
            </w:r>
          </w:p>
          <w:p>
            <w:pPr>
              <w:spacing w:after="40"/>
            </w:pPr>
            <w:r>
              <w:rPr>
                <w:b w:val="0"/>
                <w:i w:val="0"/>
                <w:sz w:val="21"/>
              </w:rPr>
              <w:t>Run bench --site &lt;site&gt; migrate (or ask whoever manages the site to), then hard-refresh the Desk so it reloads the doctype metadata.</w:t>
            </w:r>
          </w:p>
        </w:tc>
      </w:tr>
    </w:tbl>
    <w:p>
      <w:pPr>
        <w:spacing w:after="40"/>
      </w:pPr>
    </w:p>
    <w:p>
      <w:pPr>
        <w:pStyle w:val="Heading1"/>
      </w:pPr>
      <w:r>
        <w:t>1. Who can do this</w:t>
      </w:r>
    </w:p>
    <w:p>
      <w:pPr>
        <w:spacing w:after="160"/>
      </w:pPr>
      <w:r>
        <w:rPr>
          <w:b w:val="0"/>
          <w:i w:val="0"/>
          <w:color w:val="1E2B22"/>
          <w:sz w:val="22"/>
        </w:rPr>
        <w:t>Only two roles currently have access to any of these doctypes:</w:t>
      </w:r>
    </w:p>
    <w:p>
      <w:pPr>
        <w:pStyle w:val="ListBullet"/>
        <w:spacing w:after="80"/>
      </w:pPr>
      <w:r>
        <w:rPr>
          <w:b/>
          <w:i w:val="0"/>
          <w:sz w:val="22"/>
        </w:rPr>
        <w:t>System Manager</w:t>
      </w:r>
    </w:p>
    <w:p>
      <w:pPr>
        <w:pStyle w:val="ListBullet"/>
        <w:spacing w:after="80"/>
      </w:pPr>
      <w:r>
        <w:rPr>
          <w:b/>
          <w:i w:val="0"/>
          <w:sz w:val="22"/>
        </w:rPr>
        <w:t>Accounts Manager</w:t>
      </w:r>
    </w:p>
    <w:p>
      <w:pPr>
        <w:spacing w:after="160"/>
      </w:pPr>
      <w:r>
        <w:rPr>
          <w:b w:val="0"/>
          <w:i w:val="0"/>
          <w:color w:val="1E2B22"/>
          <w:sz w:val="22"/>
        </w:rPr>
        <w:t>If you need to give someone view-only access (e.g. an investor-relations contact who should only look at holdings), that role doesn't exist yet — ask your dev team to create one; don't grant System Manager or Accounts Manager just for read access.</w:t>
      </w:r>
    </w:p>
    <w:p>
      <w:pPr>
        <w:spacing w:after="160"/>
      </w:pPr>
      <w:r>
        <w:rPr>
          <w:b w:val="0"/>
          <w:i w:val="0"/>
          <w:color w:val="1E2B22"/>
          <w:sz w:val="22"/>
        </w:rPr>
        <w:t xml:space="preserve">The </w:t>
      </w:r>
      <w:r>
        <w:rPr>
          <w:b/>
          <w:i w:val="0"/>
          <w:color w:val="1E2B22"/>
          <w:sz w:val="22"/>
        </w:rPr>
        <w:t>Share Transactions Report</w:t>
      </w:r>
      <w:r>
        <w:rPr>
          <w:b w:val="0"/>
          <w:i w:val="0"/>
          <w:color w:val="1E2B22"/>
          <w:sz w:val="22"/>
        </w:rPr>
        <w:t xml:space="preserve"> (Section 6) is additionally visible to the </w:t>
      </w:r>
      <w:r>
        <w:rPr>
          <w:b/>
          <w:i w:val="0"/>
          <w:color w:val="1E2B22"/>
          <w:sz w:val="22"/>
        </w:rPr>
        <w:t>Accounts User</w:t>
      </w:r>
      <w:r>
        <w:rPr>
          <w:b w:val="0"/>
          <w:i w:val="0"/>
          <w:color w:val="1E2B22"/>
          <w:sz w:val="22"/>
        </w:rPr>
        <w:t xml:space="preserve"> role.</w:t>
      </w:r>
    </w:p>
    <w:p>
      <w:pPr>
        <w:pStyle w:val="Heading1"/>
      </w:pPr>
      <w:r>
        <w:t>2. One-time setup (do this before your first transaction)</w:t>
      </w:r>
    </w:p>
    <w:p>
      <w:pPr>
        <w:spacing w:after="160"/>
      </w:pPr>
      <w:r>
        <w:rPr>
          <w:b w:val="0"/>
          <w:i w:val="0"/>
          <w:color w:val="1E2B22"/>
          <w:sz w:val="22"/>
        </w:rPr>
        <w:t>Before you can issue shares or record a loan note, make sure the following master data exists. If you're not the first person setting this up in your company, skip to Section 3.</w:t>
      </w:r>
    </w:p>
    <w:p>
      <w:pPr>
        <w:pStyle w:val="ListNumber"/>
        <w:spacing w:after="80"/>
      </w:pPr>
      <w:r>
        <w:rPr>
          <w:b/>
          <w:i w:val="0"/>
          <w:sz w:val="22"/>
        </w:rPr>
        <w:t>Company</w:t>
      </w:r>
      <w:r>
        <w:rPr>
          <w:b w:val="0"/>
          <w:i w:val="0"/>
          <w:sz w:val="22"/>
        </w:rPr>
        <w:t xml:space="preserve"> — confirm the company record exists with its default currency set correctly.</w:t>
      </w:r>
    </w:p>
    <w:p>
      <w:pPr>
        <w:pStyle w:val="ListNumber"/>
        <w:spacing w:after="80"/>
      </w:pPr>
      <w:r>
        <w:rPr>
          <w:b/>
          <w:i w:val="0"/>
          <w:sz w:val="22"/>
        </w:rPr>
        <w:t>Chart of Accounts</w:t>
      </w:r>
      <w:r>
        <w:rPr>
          <w:b w:val="0"/>
          <w:i w:val="0"/>
          <w:sz w:val="22"/>
        </w:rPr>
        <w:t xml:space="preserve"> — confirm these accounts exist (create if missing): a </w:t>
      </w:r>
      <w:r>
        <w:rPr>
          <w:b/>
          <w:i w:val="0"/>
          <w:sz w:val="22"/>
        </w:rPr>
        <w:t>Share Capital</w:t>
      </w:r>
      <w:r>
        <w:rPr>
          <w:b w:val="0"/>
          <w:i w:val="0"/>
          <w:sz w:val="22"/>
        </w:rPr>
        <w:t xml:space="preserve"> account (Equity), a </w:t>
      </w:r>
      <w:r>
        <w:rPr>
          <w:b/>
          <w:i w:val="0"/>
          <w:sz w:val="22"/>
        </w:rPr>
        <w:t>Share Premium</w:t>
      </w:r>
      <w:r>
        <w:rPr>
          <w:b w:val="0"/>
          <w:i w:val="0"/>
          <w:sz w:val="22"/>
        </w:rPr>
        <w:t xml:space="preserve"> account (Equity), a </w:t>
      </w:r>
      <w:r>
        <w:rPr>
          <w:b/>
          <w:i w:val="0"/>
          <w:sz w:val="22"/>
        </w:rPr>
        <w:t>Loan Liability</w:t>
      </w:r>
      <w:r>
        <w:rPr>
          <w:b w:val="0"/>
          <w:i w:val="0"/>
          <w:sz w:val="22"/>
        </w:rPr>
        <w:t xml:space="preserve"> account (Liability) for convertible loan notes, an </w:t>
      </w:r>
      <w:r>
        <w:rPr>
          <w:b/>
          <w:i w:val="0"/>
          <w:sz w:val="22"/>
        </w:rPr>
        <w:t>Interest Expense</w:t>
      </w:r>
      <w:r>
        <w:rPr>
          <w:b w:val="0"/>
          <w:i w:val="0"/>
          <w:sz w:val="22"/>
        </w:rPr>
        <w:t xml:space="preserve"> account and an </w:t>
      </w:r>
      <w:r>
        <w:rPr>
          <w:b/>
          <w:i w:val="0"/>
          <w:sz w:val="22"/>
        </w:rPr>
        <w:t>Interest Payable</w:t>
      </w:r>
      <w:r>
        <w:rPr>
          <w:b w:val="0"/>
          <w:i w:val="0"/>
          <w:sz w:val="22"/>
        </w:rPr>
        <w:t xml:space="preserve"> account for CLN interest accrual, and a </w:t>
      </w:r>
      <w:r>
        <w:rPr>
          <w:b/>
          <w:i w:val="0"/>
          <w:sz w:val="22"/>
        </w:rPr>
        <w:t>Bank Account</w:t>
      </w:r>
      <w:r>
        <w:rPr>
          <w:b w:val="0"/>
          <w:i w:val="0"/>
          <w:sz w:val="22"/>
        </w:rPr>
        <w:t xml:space="preserve"> with its linked GL account.</w:t>
      </w:r>
    </w:p>
    <w:p>
      <w:pPr>
        <w:pStyle w:val="ListNumber"/>
        <w:spacing w:after="80"/>
      </w:pPr>
      <w:r>
        <w:rPr>
          <w:b/>
          <w:i w:val="0"/>
          <w:sz w:val="22"/>
        </w:rPr>
        <w:t>Share Type</w:t>
      </w:r>
      <w:r>
        <w:rPr>
          <w:b w:val="0"/>
          <w:i w:val="0"/>
          <w:sz w:val="22"/>
        </w:rPr>
        <w:t xml:space="preserve"> — create one record per class of share you issue, e.g. "Ordinary Shares," "Preference Shares." (Go to: Share Type List → New.)</w:t>
      </w:r>
    </w:p>
    <w:p>
      <w:pPr>
        <w:pStyle w:val="ListNumber"/>
        <w:spacing w:after="80"/>
      </w:pPr>
      <w:r>
        <w:rPr>
          <w:b/>
          <w:i w:val="0"/>
          <w:sz w:val="22"/>
        </w:rPr>
        <w:t>Shareholder — company record.</w:t>
      </w:r>
      <w:r>
        <w:rPr>
          <w:b w:val="0"/>
          <w:i w:val="0"/>
          <w:sz w:val="22"/>
        </w:rPr>
        <w:t xml:space="preserve"> Create a Shareholder record representing your own company (used as the counterparty on issuances). Confirm its name matches what other doctypes default to (e.g. the CLN doctype defaults the "company shareholder" field to "Sphynx" — check this matches your actual record name).</w:t>
      </w:r>
    </w:p>
    <w:p>
      <w:pPr>
        <w:pStyle w:val="ListNumber"/>
        <w:spacing w:after="80"/>
      </w:pPr>
      <w:r>
        <w:rPr>
          <w:b/>
          <w:i w:val="0"/>
          <w:sz w:val="22"/>
        </w:rPr>
        <w:t>Shareholder — investor/lender records.</w:t>
      </w:r>
      <w:r>
        <w:rPr>
          <w:b w:val="0"/>
          <w:i w:val="0"/>
          <w:sz w:val="22"/>
        </w:rPr>
        <w:t xml:space="preserve"> Create one Shareholder record per investor or lender before creating any agreement or loan note for them.</w:t>
      </w:r>
    </w:p>
    <w:p>
      <w:pPr>
        <w:pStyle w:val="Heading1"/>
      </w:pPr>
      <w:r>
        <w:t>3. Process A — Issuing shares via a Share Agreement</w:t>
      </w:r>
    </w:p>
    <w:p>
      <w:pPr>
        <w:spacing w:after="160"/>
      </w:pPr>
      <w:r>
        <w:rPr>
          <w:b w:val="0"/>
          <w:i w:val="0"/>
          <w:color w:val="1E2B22"/>
          <w:sz w:val="22"/>
        </w:rPr>
        <w:t>Use this when a shareholder is buying shares directly (subscription, share purchase, etc.).</w:t>
      </w:r>
    </w:p>
    <w:p>
      <w:pPr>
        <w:pStyle w:val="Heading3"/>
      </w:pPr>
      <w:r>
        <w:t>Step 1 — Create the Share Agreement</w:t>
      </w:r>
    </w:p>
    <w:p>
      <w:pPr>
        <w:spacing w:after="160"/>
      </w:pPr>
      <w:r>
        <w:rPr>
          <w:b w:val="0"/>
          <w:i w:val="0"/>
          <w:color w:val="1E2B22"/>
          <w:sz w:val="22"/>
        </w:rPr>
        <w:t xml:space="preserve">Go to </w:t>
      </w:r>
      <w:r>
        <w:rPr>
          <w:b/>
          <w:i w:val="0"/>
          <w:color w:val="1E2B22"/>
          <w:sz w:val="22"/>
        </w:rPr>
        <w:t>Share Agreement List → New</w:t>
      </w:r>
      <w:r>
        <w:rPr>
          <w:b w:val="0"/>
          <w:i w:val="0"/>
          <w:color w:val="1E2B22"/>
          <w:sz w:val="22"/>
        </w:rPr>
        <w:t>. Fill in:</w:t>
      </w:r>
    </w:p>
    <w:p>
      <w:pPr>
        <w:pStyle w:val="ListBullet"/>
        <w:spacing w:after="80"/>
      </w:pPr>
      <w:r>
        <w:rPr>
          <w:b/>
          <w:i w:val="0"/>
          <w:sz w:val="22"/>
        </w:rPr>
        <w:t>Agreement Date</w:t>
      </w:r>
      <w:r>
        <w:rPr>
          <w:b w:val="0"/>
          <w:i w:val="0"/>
          <w:sz w:val="22"/>
        </w:rPr>
        <w:t xml:space="preserve"> (defaults to today)</w:t>
      </w:r>
    </w:p>
    <w:p>
      <w:pPr>
        <w:pStyle w:val="ListBullet"/>
        <w:spacing w:after="80"/>
      </w:pPr>
      <w:r>
        <w:rPr>
          <w:b/>
          <w:i w:val="0"/>
          <w:sz w:val="22"/>
        </w:rPr>
        <w:t>Shareholder/Investor</w:t>
      </w:r>
      <w:r>
        <w:rPr>
          <w:b w:val="0"/>
          <w:i w:val="0"/>
          <w:sz w:val="22"/>
        </w:rPr>
        <w:t xml:space="preserve"> — link to the Shareholder record</w:t>
      </w:r>
    </w:p>
    <w:p>
      <w:pPr>
        <w:pStyle w:val="ListBullet"/>
        <w:spacing w:after="80"/>
      </w:pPr>
      <w:r>
        <w:rPr>
          <w:b/>
          <w:i w:val="0"/>
          <w:sz w:val="22"/>
        </w:rPr>
        <w:t>Agreement Type</w:t>
      </w:r>
      <w:r>
        <w:rPr>
          <w:b w:val="0"/>
          <w:i w:val="0"/>
          <w:sz w:val="22"/>
        </w:rPr>
        <w:t xml:space="preserve"> — Subscription Agreement / Share Purchase Agreement / Secondary Transfer Agreement / Shareholders Agreement / Vesting Agreement</w:t>
      </w:r>
    </w:p>
    <w:p>
      <w:pPr>
        <w:pStyle w:val="ListBullet"/>
        <w:spacing w:after="80"/>
      </w:pPr>
      <w:r>
        <w:rPr>
          <w:b/>
          <w:i w:val="0"/>
          <w:sz w:val="22"/>
        </w:rPr>
        <w:t>Share Class/Type</w:t>
      </w:r>
      <w:r>
        <w:rPr>
          <w:b w:val="0"/>
          <w:i w:val="0"/>
          <w:sz w:val="22"/>
        </w:rPr>
        <w:t xml:space="preserve">, </w:t>
      </w:r>
      <w:r>
        <w:rPr>
          <w:b/>
          <w:i w:val="0"/>
          <w:sz w:val="22"/>
        </w:rPr>
        <w:t>Number of Shares</w:t>
      </w:r>
      <w:r>
        <w:rPr>
          <w:b w:val="0"/>
          <w:i w:val="0"/>
          <w:sz w:val="22"/>
        </w:rPr>
        <w:t xml:space="preserve">, </w:t>
      </w:r>
      <w:r>
        <w:rPr>
          <w:b/>
          <w:i w:val="0"/>
          <w:sz w:val="22"/>
        </w:rPr>
        <w:t>Price per Share</w:t>
      </w:r>
      <w:r>
        <w:rPr>
          <w:b w:val="0"/>
          <w:i w:val="0"/>
          <w:sz w:val="22"/>
        </w:rPr>
        <w:t xml:space="preserve">, </w:t>
      </w:r>
      <w:r>
        <w:rPr>
          <w:b/>
          <w:i w:val="0"/>
          <w:sz w:val="22"/>
        </w:rPr>
        <w:t>Par Value per Share</w:t>
      </w:r>
    </w:p>
    <w:p>
      <w:pPr>
        <w:pStyle w:val="ListBullet"/>
        <w:spacing w:after="80"/>
      </w:pPr>
      <w:r>
        <w:rPr>
          <w:b/>
          <w:i w:val="0"/>
          <w:sz w:val="22"/>
        </w:rPr>
        <w:t>Transaction Currency</w:t>
      </w:r>
      <w:r>
        <w:rPr>
          <w:b w:val="0"/>
          <w:i w:val="0"/>
          <w:sz w:val="22"/>
        </w:rPr>
        <w:t xml:space="preserve"> and </w:t>
      </w:r>
      <w:r>
        <w:rPr>
          <w:b/>
          <w:i w:val="0"/>
          <w:sz w:val="22"/>
        </w:rPr>
        <w:t>Exchange Rate</w:t>
      </w:r>
      <w:r>
        <w:rPr>
          <w:b w:val="0"/>
          <w:i w:val="0"/>
          <w:sz w:val="22"/>
        </w:rPr>
        <w:t xml:space="preserve"> (if not your base currency)</w:t>
      </w:r>
    </w:p>
    <w:p>
      <w:pPr>
        <w:pStyle w:val="ListBullet"/>
        <w:spacing w:after="80"/>
      </w:pPr>
      <w:r>
        <w:rPr>
          <w:b/>
          <w:i w:val="0"/>
          <w:sz w:val="22"/>
        </w:rPr>
        <w:t>Share Capital Account</w:t>
      </w:r>
      <w:r>
        <w:rPr>
          <w:b w:val="0"/>
          <w:i w:val="0"/>
          <w:sz w:val="22"/>
        </w:rPr>
        <w:t xml:space="preserve"> and </w:t>
      </w:r>
      <w:r>
        <w:rPr>
          <w:b/>
          <w:i w:val="0"/>
          <w:sz w:val="22"/>
        </w:rPr>
        <w:t>Share Premium Account</w:t>
      </w:r>
    </w:p>
    <w:p>
      <w:pPr>
        <w:pStyle w:val="ListBullet"/>
        <w:spacing w:after="80"/>
      </w:pPr>
      <w:r>
        <w:rPr>
          <w:b w:val="0"/>
          <w:i w:val="0"/>
          <w:sz w:val="22"/>
        </w:rPr>
        <w:t>Terms section (optional): vesting period, lock-in period, voting/dividend rights, liquidation preference, anti-dilution protection, board seats, drag-along/tag-along rights</w:t>
      </w:r>
    </w:p>
    <w:p>
      <w:pPr>
        <w:pStyle w:val="ListBullet"/>
        <w:spacing w:after="80"/>
      </w:pPr>
      <w:r>
        <w:rPr>
          <w:b w:val="0"/>
          <w:i w:val="0"/>
          <w:sz w:val="22"/>
        </w:rPr>
        <w:t>Payment section: payment method, bank account, payment date</w:t>
      </w:r>
    </w:p>
    <w:p>
      <w:pPr>
        <w:pStyle w:val="ListBullet"/>
        <w:spacing w:after="80"/>
      </w:pPr>
      <w:r>
        <w:rPr>
          <w:b w:val="0"/>
          <w:i w:val="0"/>
          <w:sz w:val="22"/>
        </w:rPr>
        <w:t xml:space="preserve">Attach the </w:t>
      </w:r>
      <w:r>
        <w:rPr>
          <w:b/>
          <w:i w:val="0"/>
          <w:sz w:val="22"/>
        </w:rPr>
        <w:t>signed agreement</w:t>
      </w:r>
      <w:r>
        <w:rPr>
          <w:b w:val="0"/>
          <w:i w:val="0"/>
          <w:sz w:val="22"/>
        </w:rPr>
        <w:t xml:space="preserve"> document</w:t>
      </w:r>
    </w:p>
    <w:p>
      <w:pPr>
        <w:spacing w:after="160"/>
      </w:pPr>
      <w:r>
        <w:rPr>
          <w:b/>
          <w:i w:val="0"/>
          <w:color w:val="1E2B22"/>
          <w:sz w:val="22"/>
        </w:rPr>
        <w:t>Total Consideration</w:t>
      </w:r>
      <w:r>
        <w:rPr>
          <w:b w:val="0"/>
          <w:i w:val="0"/>
          <w:color w:val="1E2B22"/>
          <w:sz w:val="22"/>
        </w:rPr>
        <w:t xml:space="preserve"> and </w:t>
      </w:r>
      <w:r>
        <w:rPr>
          <w:b/>
          <w:i w:val="0"/>
          <w:color w:val="1E2B22"/>
          <w:sz w:val="22"/>
        </w:rPr>
        <w:t>Share Premium Amount</w:t>
      </w:r>
      <w:r>
        <w:rPr>
          <w:b w:val="0"/>
          <w:i w:val="0"/>
          <w:color w:val="1E2B22"/>
          <w:sz w:val="22"/>
        </w:rPr>
        <w:t xml:space="preserve"> calculate automatically — you don't need to fill these in.</w:t>
      </w:r>
    </w:p>
    <w:p>
      <w:pPr>
        <w:pStyle w:val="Heading3"/>
      </w:pPr>
      <w:r>
        <w:t>Step 2 — Submit the agreement</w:t>
      </w:r>
    </w:p>
    <w:p>
      <w:pPr>
        <w:spacing w:after="160"/>
      </w:pPr>
      <w:r>
        <w:rPr>
          <w:b w:val="0"/>
          <w:i w:val="0"/>
          <w:color w:val="1E2B22"/>
          <w:sz w:val="22"/>
        </w:rPr>
        <w:t xml:space="preserve">Use the standard </w:t>
      </w:r>
      <w:r>
        <w:rPr>
          <w:b/>
          <w:i w:val="0"/>
          <w:color w:val="1E2B22"/>
          <w:sz w:val="22"/>
        </w:rPr>
        <w:t>Submit</w:t>
      </w:r>
      <w:r>
        <w:rPr>
          <w:b w:val="0"/>
          <w:i w:val="0"/>
          <w:color w:val="1E2B22"/>
          <w:sz w:val="22"/>
        </w:rPr>
        <w:t xml:space="preserve"> action. Status will show as "Draft" until the next step runs (it's a read-only field, this is expected).</w:t>
      </w:r>
    </w:p>
    <w:p>
      <w:pPr>
        <w:pStyle w:val="Heading3"/>
      </w:pPr>
      <w:r>
        <w:t>Step 3 — Issue the shares</w:t>
      </w:r>
    </w:p>
    <w:p>
      <w:pPr>
        <w:spacing w:after="160"/>
      </w:pPr>
      <w:r>
        <w:rPr>
          <w:b w:val="0"/>
          <w:i w:val="0"/>
          <w:color w:val="1E2B22"/>
          <w:sz w:val="22"/>
        </w:rPr>
        <w:t xml:space="preserve">Click </w:t>
      </w:r>
      <w:r>
        <w:rPr>
          <w:b/>
          <w:i w:val="0"/>
          <w:color w:val="1E2B22"/>
          <w:sz w:val="22"/>
        </w:rPr>
        <w:t>Actions → Issue Shares</w:t>
      </w:r>
      <w:r>
        <w:rPr>
          <w:b w:val="0"/>
          <w:i w:val="0"/>
          <w:color w:val="1E2B22"/>
          <w:sz w:val="22"/>
        </w:rPr>
        <w:t>. This will:</w:t>
      </w:r>
    </w:p>
    <w:p>
      <w:pPr>
        <w:pStyle w:val="ListBullet"/>
        <w:spacing w:after="80"/>
      </w:pPr>
      <w:r>
        <w:rPr>
          <w:b w:val="0"/>
          <w:i w:val="0"/>
          <w:sz w:val="22"/>
        </w:rPr>
        <w:t xml:space="preserve">Create a linked </w:t>
      </w:r>
      <w:r>
        <w:rPr>
          <w:b/>
          <w:i w:val="0"/>
          <w:sz w:val="22"/>
        </w:rPr>
        <w:t>Share Movement</w:t>
      </w:r>
      <w:r>
        <w:rPr>
          <w:b w:val="0"/>
          <w:i w:val="0"/>
          <w:sz w:val="22"/>
        </w:rPr>
        <w:t xml:space="preserve"> record (type: Equity Capital Injection)</w:t>
      </w:r>
    </w:p>
    <w:p>
      <w:pPr>
        <w:pStyle w:val="ListBullet"/>
        <w:spacing w:after="80"/>
      </w:pPr>
      <w:r>
        <w:rPr>
          <w:b w:val="0"/>
          <w:i w:val="0"/>
          <w:sz w:val="22"/>
        </w:rPr>
        <w:t>Update the agreement's status to "Shares Issued"</w:t>
      </w:r>
    </w:p>
    <w:p>
      <w:pPr>
        <w:spacing w:after="160"/>
      </w:pPr>
      <w:r>
        <w:rPr>
          <w:b w:val="0"/>
          <w:i w:val="0"/>
          <w:color w:val="1E2B22"/>
          <w:sz w:val="22"/>
        </w:rPr>
        <w:t>You'll be offered the option to open the newly created Share Movement directly.</w:t>
      </w:r>
    </w:p>
    <w:p>
      <w:pPr>
        <w:pStyle w:val="Heading3"/>
      </w:pPr>
      <w:r>
        <w:t>Step 4 — Post the accounting entry</w:t>
      </w:r>
    </w:p>
    <w:p>
      <w:pPr>
        <w:spacing w:after="160"/>
      </w:pPr>
      <w:r>
        <w:rPr>
          <w:b w:val="0"/>
          <w:i w:val="0"/>
          <w:color w:val="1E2B22"/>
          <w:sz w:val="22"/>
        </w:rPr>
        <w:t>From the Share Movement record, create the Journal Entry that records the payment — Debit Bank, Credit Share Capital (and Share Premium, if the issue price is above par) — which links back to the Share Movement automatically.</w:t>
      </w:r>
    </w:p>
    <w:tbl>
      <w:tblPr>
        <w:tblW w:type="auto" w:w="0"/>
        <w:jc w:val="left"/>
        <w:tblLook w:firstColumn="1" w:firstRow="1" w:lastColumn="0" w:lastRow="0" w:noHBand="0" w:noVBand="1" w:val="04A0"/>
      </w:tblPr>
      <w:tblGrid>
        <w:gridCol w:w="9072"/>
      </w:tblGrid>
      <w:tr>
        <w:tc>
          <w:tcPr>
            <w:tcW w:type="dxa" w:w="9648"/>
            <w:shd w:val="clear" w:color="auto" w:fill="DFEAE5"/>
          </w:tcPr>
          <w:p>
            <w:pPr>
              <w:spacing w:after="40"/>
            </w:pPr>
            <w:r>
              <w:rPr>
                <w:b/>
                <w:color w:val="1F5245"/>
                <w:sz w:val="18"/>
              </w:rPr>
              <w:t>TO CANCEL AN AGREEMENT</w:t>
            </w:r>
          </w:p>
          <w:p>
            <w:pPr>
              <w:spacing w:after="40"/>
            </w:pPr>
            <w:r>
              <w:rPr>
                <w:b w:val="0"/>
                <w:i w:val="0"/>
                <w:sz w:val="21"/>
              </w:rPr>
              <w:t>Use the Cancel Agreement button (Actions menu) on a submitted agreement. This cascades automatically — it cancels the linked Share Movement and Journal Entry for you. Once cancelled, a Delete Agreement button appears if you need to remove it entirely (this also cleans up the now-cancelled linked documents).</w:t>
            </w:r>
          </w:p>
        </w:tc>
      </w:tr>
    </w:tbl>
    <w:p>
      <w:pPr>
        <w:spacing w:after="40"/>
      </w:pPr>
    </w:p>
    <w:p>
      <w:pPr>
        <w:pStyle w:val="Heading1"/>
      </w:pPr>
      <w:r>
        <w:t>4. Process B — Raising a Convertible Loan Note (CLN)</w:t>
      </w:r>
    </w:p>
    <w:p>
      <w:pPr>
        <w:spacing w:after="160"/>
      </w:pPr>
      <w:r>
        <w:rPr>
          <w:b w:val="0"/>
          <w:i w:val="0"/>
          <w:color w:val="1E2B22"/>
          <w:sz w:val="22"/>
        </w:rPr>
        <w:t>Use this when an investor is lending money that converts to equity later (e.g. at the next funding round).</w:t>
      </w:r>
    </w:p>
    <w:p>
      <w:pPr>
        <w:pStyle w:val="Heading3"/>
      </w:pPr>
      <w:r>
        <w:t>Step 1 — Create the Convertible Loan Note</w:t>
      </w:r>
    </w:p>
    <w:p>
      <w:pPr>
        <w:spacing w:after="160"/>
      </w:pPr>
      <w:r>
        <w:rPr>
          <w:b w:val="0"/>
          <w:i w:val="0"/>
          <w:color w:val="1E2B22"/>
          <w:sz w:val="22"/>
        </w:rPr>
        <w:t xml:space="preserve">Go to </w:t>
      </w:r>
      <w:r>
        <w:rPr>
          <w:b/>
          <w:i w:val="0"/>
          <w:color w:val="1E2B22"/>
          <w:sz w:val="22"/>
        </w:rPr>
        <w:t>Convertible Loan Note List → New</w:t>
      </w:r>
      <w:r>
        <w:rPr>
          <w:b w:val="0"/>
          <w:i w:val="0"/>
          <w:color w:val="1E2B22"/>
          <w:sz w:val="22"/>
        </w:rPr>
        <w:t>. Fill in:</w:t>
      </w:r>
    </w:p>
    <w:p>
      <w:pPr>
        <w:pStyle w:val="ListBullet"/>
        <w:spacing w:after="80"/>
      </w:pPr>
      <w:r>
        <w:rPr>
          <w:b/>
          <w:i w:val="0"/>
          <w:sz w:val="22"/>
        </w:rPr>
        <w:t>Issue Date</w:t>
      </w:r>
      <w:r>
        <w:rPr>
          <w:b w:val="0"/>
          <w:i w:val="0"/>
          <w:sz w:val="22"/>
        </w:rPr>
        <w:t xml:space="preserve">, </w:t>
      </w:r>
      <w:r>
        <w:rPr>
          <w:b/>
          <w:i w:val="0"/>
          <w:sz w:val="22"/>
        </w:rPr>
        <w:t>Lender</w:t>
      </w:r>
      <w:r>
        <w:rPr>
          <w:b w:val="0"/>
          <w:i w:val="0"/>
          <w:sz w:val="22"/>
        </w:rPr>
        <w:t xml:space="preserve"> (Shareholder), </w:t>
      </w:r>
      <w:r>
        <w:rPr>
          <w:b/>
          <w:i w:val="0"/>
          <w:sz w:val="22"/>
        </w:rPr>
        <w:t>Lender Type</w:t>
      </w:r>
      <w:r>
        <w:rPr>
          <w:b w:val="0"/>
          <w:i w:val="0"/>
          <w:sz w:val="22"/>
        </w:rPr>
        <w:t xml:space="preserve">, </w:t>
      </w:r>
      <w:r>
        <w:rPr>
          <w:b/>
          <w:i w:val="0"/>
          <w:sz w:val="22"/>
        </w:rPr>
        <w:t>Maturity Date</w:t>
      </w:r>
    </w:p>
    <w:p>
      <w:pPr>
        <w:pStyle w:val="ListBullet"/>
        <w:spacing w:after="80"/>
      </w:pPr>
      <w:r>
        <w:rPr>
          <w:b/>
          <w:i w:val="0"/>
          <w:sz w:val="22"/>
        </w:rPr>
        <w:t>Principal Amount</w:t>
      </w:r>
      <w:r>
        <w:rPr>
          <w:b w:val="0"/>
          <w:i w:val="0"/>
          <w:sz w:val="22"/>
        </w:rPr>
        <w:t xml:space="preserve">, </w:t>
      </w:r>
      <w:r>
        <w:rPr>
          <w:b/>
          <w:i w:val="0"/>
          <w:sz w:val="22"/>
        </w:rPr>
        <w:t>Interest Rate</w:t>
      </w:r>
      <w:r>
        <w:rPr>
          <w:b w:val="0"/>
          <w:i w:val="0"/>
          <w:sz w:val="22"/>
        </w:rPr>
        <w:t xml:space="preserve">, </w:t>
      </w:r>
      <w:r>
        <w:rPr>
          <w:b/>
          <w:i w:val="0"/>
          <w:sz w:val="22"/>
        </w:rPr>
        <w:t>Interest Calculation Method</w:t>
      </w:r>
      <w:r>
        <w:rPr>
          <w:b w:val="0"/>
          <w:i w:val="0"/>
          <w:sz w:val="22"/>
        </w:rPr>
        <w:t xml:space="preserve"> (Simple/Compound), </w:t>
      </w:r>
      <w:r>
        <w:rPr>
          <w:b/>
          <w:i w:val="0"/>
          <w:sz w:val="22"/>
        </w:rPr>
        <w:t>Interest Payment Frequency</w:t>
      </w:r>
    </w:p>
    <w:p>
      <w:pPr>
        <w:pStyle w:val="ListBullet"/>
        <w:spacing w:after="80"/>
      </w:pPr>
      <w:r>
        <w:rPr>
          <w:b/>
          <w:i w:val="0"/>
          <w:sz w:val="22"/>
        </w:rPr>
        <w:t>Loan Currency</w:t>
      </w:r>
      <w:r>
        <w:rPr>
          <w:b w:val="0"/>
          <w:i w:val="0"/>
          <w:sz w:val="22"/>
        </w:rPr>
        <w:t xml:space="preserve"> and </w:t>
      </w:r>
      <w:r>
        <w:rPr>
          <w:b/>
          <w:i w:val="0"/>
          <w:sz w:val="22"/>
        </w:rPr>
        <w:t>Exchange Rate (To Base Currency)</w:t>
      </w:r>
      <w:r>
        <w:rPr>
          <w:b w:val="0"/>
          <w:i w:val="0"/>
          <w:sz w:val="22"/>
        </w:rPr>
        <w:t xml:space="preserve"> — this rate is now correctly used by disbursement and interest accrual if you don't override it when running those actions.</w:t>
      </w:r>
    </w:p>
    <w:p>
      <w:pPr>
        <w:pStyle w:val="ListBullet"/>
        <w:spacing w:after="80"/>
      </w:pPr>
      <w:r>
        <w:rPr>
          <w:b/>
          <w:i w:val="0"/>
          <w:sz w:val="22"/>
        </w:rPr>
        <w:t>Conversion Trigger</w:t>
      </w:r>
      <w:r>
        <w:rPr>
          <w:b w:val="0"/>
          <w:i w:val="0"/>
          <w:sz w:val="22"/>
        </w:rPr>
        <w:t xml:space="preserve"> (At Maturity / Qualified Financing Round / Optional / Automatic on Event), discount rate, valuation cap, conversion share type, par value</w:t>
      </w:r>
    </w:p>
    <w:p>
      <w:pPr>
        <w:pStyle w:val="ListBullet"/>
        <w:spacing w:after="80"/>
      </w:pPr>
      <w:r>
        <w:rPr>
          <w:b w:val="0"/>
          <w:i w:val="0"/>
          <w:sz w:val="22"/>
        </w:rPr>
        <w:t xml:space="preserve">Accounting: </w:t>
      </w:r>
      <w:r>
        <w:rPr>
          <w:b/>
          <w:i w:val="0"/>
          <w:sz w:val="22"/>
        </w:rPr>
        <w:t>Loan Liability Account</w:t>
      </w:r>
      <w:r>
        <w:rPr>
          <w:b w:val="0"/>
          <w:i w:val="0"/>
          <w:sz w:val="22"/>
        </w:rPr>
        <w:t xml:space="preserve">, </w:t>
      </w:r>
      <w:r>
        <w:rPr>
          <w:b/>
          <w:i w:val="0"/>
          <w:sz w:val="22"/>
        </w:rPr>
        <w:t>Bank Account</w:t>
      </w:r>
      <w:r>
        <w:rPr>
          <w:b w:val="0"/>
          <w:i w:val="0"/>
          <w:sz w:val="22"/>
        </w:rPr>
        <w:t xml:space="preserve">, </w:t>
      </w:r>
      <w:r>
        <w:rPr>
          <w:b/>
          <w:i w:val="0"/>
          <w:sz w:val="22"/>
        </w:rPr>
        <w:t>Interest Expense/Payable Accounts</w:t>
      </w:r>
      <w:r>
        <w:rPr>
          <w:b w:val="0"/>
          <w:i w:val="0"/>
          <w:sz w:val="22"/>
        </w:rPr>
        <w:t xml:space="preserve">, </w:t>
      </w:r>
      <w:r>
        <w:rPr>
          <w:b/>
          <w:i w:val="0"/>
          <w:sz w:val="22"/>
        </w:rPr>
        <w:t>Share Capital/Premium Accounts</w:t>
      </w:r>
      <w:r>
        <w:rPr>
          <w:b w:val="0"/>
          <w:i w:val="0"/>
          <w:sz w:val="22"/>
        </w:rPr>
        <w:t xml:space="preserve"> (needed later for conversion)</w:t>
      </w:r>
    </w:p>
    <w:p>
      <w:pPr>
        <w:pStyle w:val="ListBullet"/>
        <w:spacing w:after="80"/>
      </w:pPr>
      <w:r>
        <w:rPr>
          <w:b w:val="0"/>
          <w:i w:val="0"/>
          <w:sz w:val="22"/>
        </w:rPr>
        <w:t>Attach the signed note agreement</w:t>
      </w:r>
    </w:p>
    <w:p>
      <w:pPr>
        <w:pStyle w:val="Heading3"/>
      </w:pPr>
      <w:r>
        <w:t>Step 2 — Submit the CLN</w:t>
      </w:r>
    </w:p>
    <w:p>
      <w:pPr>
        <w:pStyle w:val="Heading3"/>
      </w:pPr>
      <w:r>
        <w:t>Step 3 — Record disbursement</w:t>
      </w:r>
    </w:p>
    <w:p>
      <w:pPr>
        <w:spacing w:after="160"/>
      </w:pPr>
      <w:r>
        <w:rPr>
          <w:b w:val="0"/>
          <w:i w:val="0"/>
          <w:color w:val="1E2B22"/>
          <w:sz w:val="22"/>
        </w:rPr>
        <w:t xml:space="preserve">Click </w:t>
      </w:r>
      <w:r>
        <w:rPr>
          <w:b/>
          <w:i w:val="0"/>
          <w:color w:val="1E2B22"/>
          <w:sz w:val="22"/>
        </w:rPr>
        <w:t>Actions → Record Loan Disbursement</w:t>
      </w:r>
      <w:r>
        <w:rPr>
          <w:b w:val="0"/>
          <w:i w:val="0"/>
          <w:color w:val="1E2B22"/>
          <w:sz w:val="22"/>
        </w:rPr>
        <w:t>. This posts Debit Bank / Credit Loan Liability, and moves the CLN's status to "Active." (It also updates the lender's "Has Active Convertible Loans" flag on their Shareholder record.)</w:t>
      </w:r>
    </w:p>
    <w:p>
      <w:pPr>
        <w:pStyle w:val="Heading3"/>
      </w:pPr>
      <w:r>
        <w:t>Step 4 — Accrue interest periodically</w:t>
      </w:r>
    </w:p>
    <w:p>
      <w:pPr>
        <w:spacing w:after="160"/>
      </w:pPr>
      <w:r>
        <w:rPr>
          <w:b w:val="0"/>
          <w:i w:val="0"/>
          <w:color w:val="1E2B22"/>
          <w:sz w:val="22"/>
        </w:rPr>
        <w:t xml:space="preserve">When you need to book interest (per your chosen frequency), click </w:t>
      </w:r>
      <w:r>
        <w:rPr>
          <w:b/>
          <w:i w:val="0"/>
          <w:color w:val="1E2B22"/>
          <w:sz w:val="22"/>
        </w:rPr>
        <w:t>Actions → Accrue Interest</w:t>
      </w:r>
      <w:r>
        <w:rPr>
          <w:b w:val="0"/>
          <w:i w:val="0"/>
          <w:color w:val="1E2B22"/>
          <w:sz w:val="22"/>
        </w:rPr>
        <w:t xml:space="preserve"> and enter the accrual date (and an exchange rate override, if needed). This posts Debit Interest Expense / Credit Interest Payable and adds a row to the CLN's Interest Accruals table, visible read-only on the form.</w:t>
      </w:r>
    </w:p>
    <w:p>
      <w:pPr>
        <w:pStyle w:val="Heading3"/>
      </w:pPr>
      <w:r>
        <w:t>Step 5 — Convert to shares</w:t>
      </w:r>
    </w:p>
    <w:p>
      <w:pPr>
        <w:spacing w:after="160"/>
      </w:pPr>
      <w:r>
        <w:rPr>
          <w:b w:val="0"/>
          <w:i w:val="0"/>
          <w:color w:val="1E2B22"/>
          <w:sz w:val="22"/>
        </w:rPr>
        <w:t xml:space="preserve">When the conversion trigger is met, click </w:t>
      </w:r>
      <w:r>
        <w:rPr>
          <w:b/>
          <w:i w:val="0"/>
          <w:color w:val="1E2B22"/>
          <w:sz w:val="22"/>
        </w:rPr>
        <w:t>Actions → Convert to Shares</w:t>
      </w:r>
      <w:r>
        <w:rPr>
          <w:b w:val="0"/>
          <w:i w:val="0"/>
          <w:color w:val="1E2B22"/>
          <w:sz w:val="22"/>
        </w:rPr>
        <w:t>, supplying the next round's share price and/or fully diluted share count as applicable. This will:</w:t>
      </w:r>
    </w:p>
    <w:p>
      <w:pPr>
        <w:pStyle w:val="ListBullet"/>
        <w:spacing w:after="80"/>
      </w:pPr>
      <w:r>
        <w:rPr>
          <w:b w:val="0"/>
          <w:i w:val="0"/>
          <w:sz w:val="22"/>
        </w:rPr>
        <w:t>Calculate the conversion price (using the discount and/or valuation cap, whichever gives the lower price)</w:t>
      </w:r>
    </w:p>
    <w:p>
      <w:pPr>
        <w:pStyle w:val="ListBullet"/>
        <w:spacing w:after="80"/>
      </w:pPr>
      <w:r>
        <w:rPr>
          <w:b w:val="0"/>
          <w:i w:val="0"/>
          <w:sz w:val="22"/>
        </w:rPr>
        <w:t>Post a conversion Journal Entry clearing the loan liability (and any interest payable) into Share Capital/Premium</w:t>
      </w:r>
    </w:p>
    <w:p>
      <w:pPr>
        <w:pStyle w:val="ListBullet"/>
        <w:spacing w:after="80"/>
      </w:pPr>
      <w:r>
        <w:rPr>
          <w:b w:val="0"/>
          <w:i w:val="0"/>
          <w:sz w:val="22"/>
        </w:rPr>
        <w:t>Create and submit a Share Movement (type: Loan Equity Injection)</w:t>
      </w:r>
    </w:p>
    <w:p>
      <w:pPr>
        <w:pStyle w:val="ListBullet"/>
        <w:spacing w:after="80"/>
      </w:pPr>
      <w:r>
        <w:rPr>
          <w:b w:val="0"/>
          <w:i w:val="0"/>
          <w:sz w:val="22"/>
        </w:rPr>
        <w:t>Set the CLN's status to "Converted"</w:t>
      </w:r>
    </w:p>
    <w:tbl>
      <w:tblPr>
        <w:tblW w:type="auto" w:w="0"/>
        <w:jc w:val="left"/>
        <w:tblLook w:firstColumn="1" w:firstRow="1" w:lastColumn="0" w:lastRow="0" w:noHBand="0" w:noVBand="1" w:val="04A0"/>
      </w:tblPr>
      <w:tblGrid>
        <w:gridCol w:w="9072"/>
      </w:tblGrid>
      <w:tr>
        <w:tc>
          <w:tcPr>
            <w:tcW w:type="dxa" w:w="9648"/>
            <w:shd w:val="clear" w:color="auto" w:fill="DFEAE5"/>
          </w:tcPr>
          <w:p>
            <w:pPr>
              <w:spacing w:after="40"/>
            </w:pPr>
            <w:r>
              <w:rPr>
                <w:b/>
                <w:color w:val="1F5245"/>
                <w:sz w:val="18"/>
              </w:rPr>
              <w:t>TO CANCEL A CLN</w:t>
            </w:r>
          </w:p>
          <w:p>
            <w:pPr>
              <w:spacing w:after="40"/>
            </w:pPr>
            <w:r>
              <w:rPr>
                <w:b w:val="0"/>
                <w:i w:val="0"/>
                <w:sz w:val="21"/>
              </w:rPr>
              <w:t>Use the standard Frappe Cancel action. This cascades automatically — it will cancel the linked Share Movement, conversion Journal Entry, every interest accrual Journal Entry, and the disbursement Journal Entry, and recalculate the lender's active-loan totals. Once cancelled, use Delete CLN &amp; All Linked Docs if you need to remove it entirely.</w:t>
            </w:r>
          </w:p>
        </w:tc>
      </w:tr>
    </w:tbl>
    <w:p>
      <w:pPr>
        <w:spacing w:after="40"/>
      </w:pPr>
    </w:p>
    <w:tbl>
      <w:tblPr>
        <w:tblW w:type="auto" w:w="0"/>
        <w:jc w:val="left"/>
        <w:tblLook w:firstColumn="1" w:firstRow="1" w:lastColumn="0" w:lastRow="0" w:noHBand="0" w:noVBand="1" w:val="04A0"/>
      </w:tblPr>
      <w:tblGrid>
        <w:gridCol w:w="9072"/>
      </w:tblGrid>
      <w:tr>
        <w:tc>
          <w:tcPr>
            <w:tcW w:type="dxa" w:w="9648"/>
            <w:shd w:val="clear" w:color="auto" w:fill="F5EAD2"/>
          </w:tcPr>
          <w:p>
            <w:pPr>
              <w:spacing w:after="40"/>
            </w:pPr>
            <w:r>
              <w:rPr>
                <w:b/>
                <w:color w:val="A9741F"/>
                <w:sz w:val="18"/>
              </w:rPr>
              <w:t>NO REPAYMENT PATH YET</w:t>
            </w:r>
          </w:p>
          <w:p>
            <w:pPr>
              <w:spacing w:after="40"/>
            </w:pPr>
            <w:r>
              <w:rPr>
                <w:b w:val="0"/>
                <w:i w:val="0"/>
                <w:sz w:val="21"/>
              </w:rPr>
              <w:t>There is currently no way to mark a CLN as "Repaid" (Known Issue 4). If a loan is repaid rather than converted, ask your dev team how they'd like this handled until that's built.</w:t>
            </w:r>
          </w:p>
        </w:tc>
      </w:tr>
    </w:tbl>
    <w:p>
      <w:pPr>
        <w:spacing w:after="40"/>
      </w:pPr>
    </w:p>
    <w:p>
      <w:pPr>
        <w:pStyle w:val="Heading1"/>
      </w:pPr>
      <w:r>
        <w:t>5. Process C — Share transfers, secondary sales, and buybacks</w:t>
      </w:r>
    </w:p>
    <w:p>
      <w:pPr>
        <w:spacing w:after="160"/>
      </w:pPr>
      <w:r>
        <w:rPr>
          <w:b w:val="0"/>
          <w:i w:val="0"/>
          <w:color w:val="1E2B22"/>
          <w:sz w:val="22"/>
        </w:rPr>
        <w:t>Ordinary secondary transfers between shareholders (not a fresh issuance) go through the standard Share Transfer doctype, not Share Agreement.</w:t>
      </w:r>
    </w:p>
    <w:p>
      <w:pPr>
        <w:pStyle w:val="Heading3"/>
      </w:pPr>
      <w:r>
        <w:t>Step 1 — Create the Share Transfer</w:t>
      </w:r>
    </w:p>
    <w:p>
      <w:pPr>
        <w:spacing w:after="160"/>
      </w:pPr>
      <w:r>
        <w:rPr>
          <w:b w:val="0"/>
          <w:i w:val="0"/>
          <w:color w:val="1E2B22"/>
          <w:sz w:val="22"/>
        </w:rPr>
        <w:t xml:space="preserve">Go to </w:t>
      </w:r>
      <w:r>
        <w:rPr>
          <w:b/>
          <w:i w:val="0"/>
          <w:color w:val="1E2B22"/>
          <w:sz w:val="22"/>
        </w:rPr>
        <w:t>Share Transfer List → New</w:t>
      </w:r>
      <w:r>
        <w:rPr>
          <w:b w:val="0"/>
          <w:i w:val="0"/>
          <w:color w:val="1E2B22"/>
          <w:sz w:val="22"/>
        </w:rPr>
        <w:t>.</w:t>
      </w:r>
    </w:p>
    <w:p>
      <w:pPr>
        <w:pStyle w:val="ListBullet"/>
        <w:spacing w:after="80"/>
      </w:pPr>
      <w:r>
        <w:rPr>
          <w:b w:val="0"/>
          <w:i w:val="0"/>
          <w:sz w:val="22"/>
        </w:rPr>
        <w:t xml:space="preserve">Choose the </w:t>
      </w:r>
      <w:r>
        <w:rPr>
          <w:b/>
          <w:i w:val="0"/>
          <w:sz w:val="22"/>
        </w:rPr>
        <w:t>Transfer Type</w:t>
      </w:r>
      <w:r>
        <w:rPr>
          <w:b w:val="0"/>
          <w:i w:val="0"/>
          <w:sz w:val="22"/>
        </w:rPr>
        <w:t>.</w:t>
      </w:r>
    </w:p>
    <w:p>
      <w:pPr>
        <w:pStyle w:val="ListBullet"/>
        <w:spacing w:after="80"/>
      </w:pPr>
      <w:r>
        <w:rPr>
          <w:b w:val="0"/>
          <w:i w:val="0"/>
          <w:sz w:val="22"/>
        </w:rPr>
        <w:t xml:space="preserve">If this is an </w:t>
      </w:r>
      <w:r>
        <w:rPr>
          <w:b/>
          <w:i w:val="0"/>
          <w:sz w:val="22"/>
        </w:rPr>
        <w:t>Issue</w:t>
      </w:r>
      <w:r>
        <w:rPr>
          <w:b w:val="0"/>
          <w:i w:val="0"/>
          <w:sz w:val="22"/>
        </w:rPr>
        <w:t xml:space="preserve">, also choose </w:t>
      </w:r>
      <w:r>
        <w:rPr>
          <w:b/>
          <w:i w:val="0"/>
          <w:sz w:val="22"/>
        </w:rPr>
        <w:t>Issue Type</w:t>
      </w:r>
      <w:r>
        <w:rPr>
          <w:b w:val="0"/>
          <w:i w:val="0"/>
          <w:sz w:val="22"/>
        </w:rPr>
        <w:t>: Standard or Convertible Loan — this determines which account fields appear.</w:t>
      </w:r>
    </w:p>
    <w:p>
      <w:pPr>
        <w:pStyle w:val="ListBullet"/>
        <w:spacing w:after="80"/>
      </w:pPr>
      <w:r>
        <w:rPr>
          <w:b w:val="0"/>
          <w:i w:val="0"/>
          <w:sz w:val="22"/>
        </w:rPr>
        <w:t xml:space="preserve">Fill in shares, rate per share (in transaction currency), the </w:t>
      </w:r>
      <w:r>
        <w:rPr>
          <w:b/>
          <w:i w:val="0"/>
          <w:sz w:val="22"/>
        </w:rPr>
        <w:t>Receiving Account (Asset)</w:t>
      </w:r>
      <w:r>
        <w:rPr>
          <w:b w:val="0"/>
          <w:i w:val="0"/>
          <w:sz w:val="22"/>
        </w:rPr>
        <w:t xml:space="preserve"> where funds come in, and the </w:t>
      </w:r>
      <w:r>
        <w:rPr>
          <w:b/>
          <w:i w:val="0"/>
          <w:sz w:val="22"/>
        </w:rPr>
        <w:t>Share Capital / Loan Liability Account</w:t>
      </w:r>
      <w:r>
        <w:rPr>
          <w:b w:val="0"/>
          <w:i w:val="0"/>
          <w:sz w:val="22"/>
        </w:rPr>
        <w:t xml:space="preserve"> for the equity or liability side.</w:t>
      </w:r>
    </w:p>
    <w:p>
      <w:pPr>
        <w:pStyle w:val="ListBullet"/>
        <w:spacing w:after="80"/>
      </w:pPr>
      <w:r>
        <w:rPr>
          <w:b w:val="0"/>
          <w:i w:val="0"/>
          <w:sz w:val="22"/>
        </w:rPr>
        <w:t xml:space="preserve">If your transaction currency differs from the company currency, enter the </w:t>
      </w:r>
      <w:r>
        <w:rPr>
          <w:b/>
          <w:i w:val="0"/>
          <w:sz w:val="22"/>
        </w:rPr>
        <w:t>Exchange Rate</w:t>
      </w:r>
      <w:r>
        <w:rPr>
          <w:b w:val="0"/>
          <w:i w:val="0"/>
          <w:sz w:val="22"/>
        </w:rPr>
        <w:t xml:space="preserve"> — the system will reject the save if this is missing and the currencies differ.</w:t>
      </w:r>
    </w:p>
    <w:p>
      <w:pPr>
        <w:spacing w:after="160"/>
      </w:pPr>
      <w:r>
        <w:rPr>
          <w:b w:val="0"/>
          <w:i w:val="0"/>
          <w:color w:val="1E2B22"/>
          <w:sz w:val="22"/>
        </w:rPr>
        <w:t>The system automatically validates that your chosen accounts are not group accounts, belong to the right company, match the transaction currency, and are the correct account type. If you get a validation error, it's almost always one of those four checks.</w:t>
      </w:r>
    </w:p>
    <w:p>
      <w:pPr>
        <w:pStyle w:val="Heading3"/>
      </w:pPr>
      <w:r>
        <w:t>Step 2 — Submit the Share Transfer</w:t>
      </w:r>
    </w:p>
    <w:p>
      <w:pPr>
        <w:pStyle w:val="Heading3"/>
      </w:pPr>
      <w:r>
        <w:t>Step 3 — Post the accounting entry</w:t>
      </w:r>
    </w:p>
    <w:p>
      <w:pPr>
        <w:spacing w:after="160"/>
      </w:pPr>
      <w:r>
        <w:rPr>
          <w:b w:val="0"/>
          <w:i w:val="0"/>
          <w:color w:val="1E2B22"/>
          <w:sz w:val="22"/>
        </w:rPr>
        <w:t xml:space="preserve">Use </w:t>
      </w:r>
      <w:r>
        <w:rPr>
          <w:b/>
          <w:i w:val="0"/>
          <w:color w:val="1E2B22"/>
          <w:sz w:val="22"/>
        </w:rPr>
        <w:t>Create Journal Entry</w:t>
      </w:r>
      <w:r>
        <w:rPr>
          <w:b w:val="0"/>
          <w:i w:val="0"/>
          <w:color w:val="1E2B22"/>
          <w:sz w:val="22"/>
        </w:rPr>
        <w:t xml:space="preserve"> on the form. This posts Debit Receiving/Asset Account, Credit Share Capital/Liability Account, with the shareholder recorded as the accounting party.</w:t>
      </w:r>
    </w:p>
    <w:tbl>
      <w:tblPr>
        <w:tblW w:type="auto" w:w="0"/>
        <w:jc w:val="left"/>
        <w:tblLook w:firstColumn="1" w:firstRow="1" w:lastColumn="0" w:lastRow="0" w:noHBand="0" w:noVBand="1" w:val="04A0"/>
      </w:tblPr>
      <w:tblGrid>
        <w:gridCol w:w="9072"/>
      </w:tblGrid>
      <w:tr>
        <w:tc>
          <w:tcPr>
            <w:tcW w:type="dxa" w:w="9648"/>
            <w:shd w:val="clear" w:color="auto" w:fill="DFEAE5"/>
          </w:tcPr>
          <w:p>
            <w:pPr>
              <w:spacing w:after="40"/>
            </w:pPr>
            <w:r>
              <w:rPr>
                <w:b/>
                <w:color w:val="1F5245"/>
                <w:sz w:val="18"/>
              </w:rPr>
              <w:t>TO REVERSE</w:t>
            </w:r>
          </w:p>
          <w:p>
            <w:pPr>
              <w:spacing w:after="40"/>
            </w:pPr>
            <w:r>
              <w:rPr>
                <w:b w:val="0"/>
                <w:i w:val="0"/>
                <w:sz w:val="21"/>
              </w:rPr>
              <w:t>Use Cancel Journal Entry to cancel the linked JE before cancelling the Share Transfer itself.</w:t>
            </w:r>
          </w:p>
        </w:tc>
      </w:tr>
    </w:tbl>
    <w:p>
      <w:pPr>
        <w:spacing w:after="40"/>
      </w:pPr>
    </w:p>
    <w:tbl>
      <w:tblPr>
        <w:tblW w:type="auto" w:w="0"/>
        <w:jc w:val="left"/>
        <w:tblLook w:firstColumn="1" w:firstRow="1" w:lastColumn="0" w:lastRow="0" w:noHBand="0" w:noVBand="1" w:val="04A0"/>
      </w:tblPr>
      <w:tblGrid>
        <w:gridCol w:w="9072"/>
      </w:tblGrid>
      <w:tr>
        <w:tc>
          <w:tcPr>
            <w:tcW w:type="dxa" w:w="9648"/>
            <w:shd w:val="clear" w:color="auto" w:fill="F5EAD2"/>
          </w:tcPr>
          <w:p>
            <w:pPr>
              <w:spacing w:after="40"/>
            </w:pPr>
            <w:r>
              <w:rPr>
                <w:b/>
                <w:color w:val="A9741F"/>
                <w:sz w:val="18"/>
              </w:rPr>
              <w:t>BUYBACKS</w:t>
            </w:r>
          </w:p>
          <w:p>
            <w:pPr>
              <w:spacing w:after="40"/>
            </w:pPr>
            <w:r>
              <w:rPr>
                <w:b w:val="0"/>
                <w:i w:val="0"/>
                <w:sz w:val="21"/>
              </w:rPr>
              <w:t>A company buyback of its own shares is recorded as a Share Movement with Movement Type = "Share Buyback," then post the Journal Entry from the Share Movement — this posts the reverse of a normal issuance (Credit Bank, Debit Share Capital/Premium).</w:t>
            </w:r>
          </w:p>
        </w:tc>
      </w:tr>
    </w:tbl>
    <w:p>
      <w:pPr>
        <w:spacing w:after="40"/>
      </w:pPr>
    </w:p>
    <w:p>
      <w:pPr>
        <w:pStyle w:val="Heading1"/>
      </w:pPr>
      <w:r>
        <w:t>6. Reporting — how to check holdings and history</w:t>
      </w:r>
    </w:p>
    <w:p>
      <w:pPr>
        <w:spacing w:after="160"/>
      </w:pPr>
      <w:r>
        <w:rPr>
          <w:b w:val="0"/>
          <w:i w:val="0"/>
          <w:color w:val="1E2B22"/>
          <w:sz w:val="22"/>
        </w:rPr>
        <w:t>Two reports exist. Their names are slightly misleading, so use the right one for what you need:</w:t>
      </w:r>
    </w:p>
    <w:p>
      <w:pPr>
        <w:pStyle w:val="Heading3"/>
      </w:pPr>
      <w:r>
        <w:t>Share Transactions Report — use this for a cap table / "who owns what"</w:t>
      </w:r>
    </w:p>
    <w:p>
      <w:pPr>
        <w:spacing w:after="160"/>
      </w:pPr>
      <w:r>
        <w:rPr>
          <w:b w:val="0"/>
          <w:i w:val="0"/>
          <w:color w:val="1E2B22"/>
          <w:sz w:val="22"/>
        </w:rPr>
        <w:t xml:space="preserve">Go to </w:t>
      </w:r>
      <w:r>
        <w:rPr>
          <w:b/>
          <w:i w:val="0"/>
          <w:color w:val="1E2B22"/>
          <w:sz w:val="22"/>
        </w:rPr>
        <w:t>Report → Share Transactions Report</w:t>
      </w:r>
      <w:r>
        <w:rPr>
          <w:b w:val="0"/>
          <w:i w:val="0"/>
          <w:color w:val="1E2B22"/>
          <w:sz w:val="22"/>
        </w:rPr>
        <w:t>.</w:t>
      </w:r>
    </w:p>
    <w:p>
      <w:pPr>
        <w:pStyle w:val="ListBullet"/>
        <w:spacing w:after="80"/>
      </w:pPr>
      <w:r>
        <w:rPr>
          <w:b w:val="0"/>
          <w:i w:val="0"/>
          <w:sz w:val="22"/>
        </w:rPr>
        <w:t>Filter by Company (required), Shareholder, Share Class, date range, and/or Movement Type.</w:t>
      </w:r>
    </w:p>
    <w:p>
      <w:pPr>
        <w:pStyle w:val="ListBullet"/>
        <w:spacing w:after="80"/>
      </w:pPr>
      <w:r>
        <w:rPr>
          <w:b w:val="0"/>
          <w:i w:val="0"/>
          <w:sz w:val="22"/>
        </w:rPr>
        <w:t>Shows a running cumulative shares-held balance and ownership percentage per shareholder/share class, combining Share Movements and CLN loan activity.</w:t>
      </w:r>
    </w:p>
    <w:p>
      <w:pPr>
        <w:pStyle w:val="ListBullet"/>
        <w:spacing w:after="80"/>
      </w:pPr>
      <w:r>
        <w:rPr>
          <w:b w:val="0"/>
          <w:i w:val="0"/>
          <w:sz w:val="22"/>
        </w:rPr>
        <w:t>Available to System Manager, Accounts Manager, and Accounts User.</w:t>
      </w:r>
    </w:p>
    <w:p>
      <w:pPr>
        <w:pStyle w:val="ListBullet"/>
        <w:spacing w:after="80"/>
      </w:pPr>
      <w:r>
        <w:rPr>
          <w:b w:val="0"/>
          <w:i w:val="0"/>
          <w:sz w:val="22"/>
        </w:rPr>
        <w:t>This is the authoritative source for current holdings — not the "Total Shares Held" field on the Shareholder record (see Known Issue 3).</w:t>
      </w:r>
    </w:p>
    <w:p>
      <w:pPr>
        <w:pStyle w:val="Heading3"/>
      </w:pPr>
      <w:r>
        <w:t>Share Movement Report — use this for a Journal-Entry-level audit trail</w:t>
      </w:r>
    </w:p>
    <w:p>
      <w:pPr>
        <w:spacing w:after="160"/>
      </w:pPr>
      <w:r>
        <w:rPr>
          <w:b w:val="0"/>
          <w:i w:val="0"/>
          <w:color w:val="1E2B22"/>
          <w:sz w:val="22"/>
        </w:rPr>
        <w:t xml:space="preserve">Go to </w:t>
      </w:r>
      <w:r>
        <w:rPr>
          <w:b/>
          <w:i w:val="0"/>
          <w:color w:val="1E2B22"/>
          <w:sz w:val="22"/>
        </w:rPr>
        <w:t>Report → Share Movement Report</w:t>
      </w:r>
      <w:r>
        <w:rPr>
          <w:b w:val="0"/>
          <w:i w:val="0"/>
          <w:color w:val="1E2B22"/>
          <w:sz w:val="22"/>
        </w:rPr>
        <w:t>.</w:t>
      </w:r>
    </w:p>
    <w:p>
      <w:pPr>
        <w:pStyle w:val="ListBullet"/>
        <w:spacing w:after="80"/>
      </w:pPr>
      <w:r>
        <w:rPr>
          <w:b w:val="0"/>
          <w:i w:val="0"/>
          <w:sz w:val="22"/>
        </w:rPr>
        <w:t>No filters; shows all relevant Share Transfer + Journal Entry activity per shareholder.</w:t>
      </w:r>
    </w:p>
    <w:p>
      <w:pPr>
        <w:pStyle w:val="ListBullet"/>
        <w:spacing w:after="80"/>
      </w:pPr>
      <w:r>
        <w:rPr>
          <w:b w:val="0"/>
          <w:i w:val="0"/>
          <w:sz w:val="22"/>
        </w:rPr>
        <w:t>Despite the name, it reports on Share Transfer records and journal entries — not the Share Movement doctype. Use it to trace the accounting side of a transaction, not to answer "how many shares does someone hold."</w:t>
      </w:r>
    </w:p>
    <w:p>
      <w:pPr>
        <w:pStyle w:val="Heading1"/>
      </w:pPr>
      <w:r>
        <w:t>7. Quick troubleshooting</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color="auto" w:fill="1F5245"/>
          </w:tcPr>
          <w:p>
            <w:r/>
            <w:r>
              <w:rPr>
                <w:b/>
                <w:color w:val="FFFFFF"/>
                <w:sz w:val="19"/>
              </w:rPr>
              <w:t>You see...</w:t>
            </w:r>
          </w:p>
        </w:tc>
        <w:tc>
          <w:tcPr>
            <w:tcW w:type="dxa" w:w="3216"/>
            <w:shd w:val="clear" w:color="auto" w:fill="1F5245"/>
          </w:tcPr>
          <w:p>
            <w:r/>
            <w:r>
              <w:rPr>
                <w:b/>
                <w:color w:val="FFFFFF"/>
                <w:sz w:val="19"/>
              </w:rPr>
              <w:t>Likely cause</w:t>
            </w:r>
          </w:p>
        </w:tc>
        <w:tc>
          <w:tcPr>
            <w:tcW w:type="dxa" w:w="3216"/>
            <w:shd w:val="clear" w:color="auto" w:fill="1F5245"/>
          </w:tcPr>
          <w:p>
            <w:r/>
            <w:r>
              <w:rPr>
                <w:b/>
                <w:color w:val="FFFFFF"/>
                <w:sz w:val="19"/>
              </w:rPr>
              <w:t>What to do</w:t>
            </w:r>
          </w:p>
        </w:tc>
      </w:tr>
      <w:tr>
        <w:tc>
          <w:tcPr>
            <w:tcW w:type="dxa" w:w="3216"/>
          </w:tcPr>
          <w:p>
            <w:r/>
            <w:r>
              <w:rPr>
                <w:b w:val="0"/>
                <w:i w:val="0"/>
                <w:sz w:val="19"/>
              </w:rPr>
              <w:t>Share Agreement/Movement/CLN status won't change from the dropdown</w:t>
            </w:r>
          </w:p>
        </w:tc>
        <w:tc>
          <w:tcPr>
            <w:tcW w:type="dxa" w:w="3216"/>
          </w:tcPr>
          <w:p>
            <w:r/>
            <w:r>
              <w:rPr>
                <w:b w:val="0"/>
                <w:i w:val="0"/>
                <w:sz w:val="19"/>
              </w:rPr>
              <w:t>By design — status is read-only, set only by backend logic</w:t>
            </w:r>
          </w:p>
        </w:tc>
        <w:tc>
          <w:tcPr>
            <w:tcW w:type="dxa" w:w="3216"/>
          </w:tcPr>
          <w:p>
            <w:r/>
            <w:r>
              <w:rPr>
                <w:b w:val="0"/>
                <w:i w:val="0"/>
                <w:sz w:val="19"/>
              </w:rPr>
              <w:t>Don't try to edit it manually; it updates automatically once the relevant action runs</w:t>
            </w:r>
          </w:p>
        </w:tc>
      </w:tr>
      <w:tr>
        <w:tc>
          <w:tcPr>
            <w:tcW w:type="dxa" w:w="3216"/>
          </w:tcPr>
          <w:p>
            <w:r/>
            <w:r>
              <w:rPr>
                <w:b w:val="0"/>
                <w:i w:val="0"/>
                <w:sz w:val="19"/>
              </w:rPr>
              <w:t>"Exchange Rate is required" on Share Transfer</w:t>
            </w:r>
          </w:p>
        </w:tc>
        <w:tc>
          <w:tcPr>
            <w:tcW w:type="dxa" w:w="3216"/>
          </w:tcPr>
          <w:p>
            <w:r/>
            <w:r>
              <w:rPr>
                <w:b w:val="0"/>
                <w:i w:val="0"/>
                <w:sz w:val="19"/>
              </w:rPr>
              <w:t>Transaction currency ≠ company currency and no rate entered</w:t>
            </w:r>
          </w:p>
        </w:tc>
        <w:tc>
          <w:tcPr>
            <w:tcW w:type="dxa" w:w="3216"/>
          </w:tcPr>
          <w:p>
            <w:r/>
            <w:r>
              <w:rPr>
                <w:b w:val="0"/>
                <w:i w:val="0"/>
                <w:sz w:val="19"/>
              </w:rPr>
              <w:t>Enter an exchange rate before saving</w:t>
            </w:r>
          </w:p>
        </w:tc>
      </w:tr>
      <w:tr>
        <w:tc>
          <w:tcPr>
            <w:tcW w:type="dxa" w:w="3216"/>
          </w:tcPr>
          <w:p>
            <w:r/>
            <w:r>
              <w:rPr>
                <w:b w:val="0"/>
                <w:i w:val="0"/>
                <w:sz w:val="19"/>
              </w:rPr>
              <w:t>Account validation error on Share Transfer</w:t>
            </w:r>
          </w:p>
        </w:tc>
        <w:tc>
          <w:tcPr>
            <w:tcW w:type="dxa" w:w="3216"/>
          </w:tcPr>
          <w:p>
            <w:r/>
            <w:r>
              <w:rPr>
                <w:b w:val="0"/>
                <w:i w:val="0"/>
                <w:sz w:val="19"/>
              </w:rPr>
              <w:t>Account is a group account, wrong company, wrong currency, or wrong root type</w:t>
            </w:r>
          </w:p>
        </w:tc>
        <w:tc>
          <w:tcPr>
            <w:tcW w:type="dxa" w:w="3216"/>
          </w:tcPr>
          <w:p>
            <w:r/>
            <w:r>
              <w:rPr>
                <w:b w:val="0"/>
                <w:i w:val="0"/>
                <w:sz w:val="19"/>
              </w:rPr>
              <w:t>Check the account's Company, Currency, and Root Type fields</w:t>
            </w:r>
          </w:p>
        </w:tc>
      </w:tr>
      <w:tr>
        <w:tc>
          <w:tcPr>
            <w:tcW w:type="dxa" w:w="3216"/>
          </w:tcPr>
          <w:p>
            <w:r/>
            <w:r>
              <w:rPr>
                <w:b w:val="0"/>
                <w:i w:val="0"/>
                <w:sz w:val="19"/>
              </w:rPr>
              <w:t>Shareholder's "Total Shares Held"/"Total Investment" looks wrong or blank</w:t>
            </w:r>
          </w:p>
        </w:tc>
        <w:tc>
          <w:tcPr>
            <w:tcW w:type="dxa" w:w="3216"/>
          </w:tcPr>
          <w:p>
            <w:r/>
            <w:r>
              <w:rPr>
                <w:b w:val="0"/>
                <w:i w:val="0"/>
                <w:sz w:val="19"/>
              </w:rPr>
              <w:t>Known Issue 3 — not populated by any process</w:t>
            </w:r>
          </w:p>
        </w:tc>
        <w:tc>
          <w:tcPr>
            <w:tcW w:type="dxa" w:w="3216"/>
          </w:tcPr>
          <w:p>
            <w:r/>
            <w:r>
              <w:rPr>
                <w:b w:val="0"/>
                <w:i w:val="0"/>
                <w:sz w:val="19"/>
              </w:rPr>
              <w:t>Use the Share Transactions Report instead</w:t>
            </w:r>
          </w:p>
        </w:tc>
      </w:tr>
      <w:tr>
        <w:tc>
          <w:tcPr>
            <w:tcW w:type="dxa" w:w="3216"/>
          </w:tcPr>
          <w:p>
            <w:r/>
            <w:r>
              <w:rPr>
                <w:b w:val="0"/>
                <w:i w:val="0"/>
                <w:sz w:val="19"/>
              </w:rPr>
              <w:t>Can't find a "Repaid" action for a CLN</w:t>
            </w:r>
          </w:p>
        </w:tc>
        <w:tc>
          <w:tcPr>
            <w:tcW w:type="dxa" w:w="3216"/>
          </w:tcPr>
          <w:p>
            <w:r/>
            <w:r>
              <w:rPr>
                <w:b w:val="0"/>
                <w:i w:val="0"/>
                <w:sz w:val="19"/>
              </w:rPr>
              <w:t>Not implemented yet (Known Issue 4)</w:t>
            </w:r>
          </w:p>
        </w:tc>
        <w:tc>
          <w:tcPr>
            <w:tcW w:type="dxa" w:w="3216"/>
          </w:tcPr>
          <w:p>
            <w:r/>
            <w:r>
              <w:rPr>
                <w:b w:val="0"/>
                <w:i w:val="0"/>
                <w:sz w:val="19"/>
              </w:rPr>
              <w:t>Escalate to dev team for how to record loan repayment in the interim</w:t>
            </w:r>
          </w:p>
        </w:tc>
      </w:tr>
      <w:tr>
        <w:tc>
          <w:tcPr>
            <w:tcW w:type="dxa" w:w="3216"/>
          </w:tcPr>
          <w:p>
            <w:r/>
            <w:r>
              <w:rPr>
                <w:b w:val="0"/>
                <w:i w:val="0"/>
                <w:sz w:val="19"/>
              </w:rPr>
              <w:t>Actions buttons (Issue Shares, Record Disbursement, etc.) don't appear on a form</w:t>
            </w:r>
          </w:p>
        </w:tc>
        <w:tc>
          <w:tcPr>
            <w:tcW w:type="dxa" w:w="3216"/>
          </w:tcPr>
          <w:p>
            <w:r/>
            <w:r>
              <w:rPr>
                <w:b w:val="0"/>
                <w:i w:val="0"/>
                <w:sz w:val="19"/>
              </w:rPr>
              <w:t>The button logic lives in a site-level Client Script, not the app itself</w:t>
            </w:r>
          </w:p>
        </w:tc>
        <w:tc>
          <w:tcPr>
            <w:tcW w:type="dxa" w:w="3216"/>
          </w:tcPr>
          <w:p>
            <w:r/>
            <w:r>
              <w:rPr>
                <w:b w:val="0"/>
                <w:i w:val="0"/>
                <w:sz w:val="19"/>
              </w:rPr>
              <w:t>Confirm the Client Script for that doctype is enabled on this site</w:t>
            </w:r>
          </w:p>
        </w:tc>
      </w:tr>
    </w:tbl>
    <w:p>
      <w:pPr>
        <w:spacing w:after="80"/>
      </w:pPr>
    </w:p>
    <w:p>
      <w:pPr>
        <w:pStyle w:val="Heading1"/>
      </w:pPr>
      <w:r>
        <w:t>8. Remaining items for the dev team</w:t>
      </w:r>
    </w:p>
    <w:p>
      <w:pPr>
        <w:spacing w:after="160"/>
      </w:pPr>
      <w:r>
        <w:rPr>
          <w:b w:val="0"/>
          <w:i w:val="0"/>
          <w:color w:val="1E2B22"/>
          <w:sz w:val="22"/>
        </w:rPr>
        <w:t>Lower-priority, not blocking normal use:</w:t>
      </w:r>
    </w:p>
    <w:p>
      <w:pPr>
        <w:pStyle w:val="ListNumber"/>
        <w:spacing w:after="80"/>
      </w:pPr>
      <w:r>
        <w:rPr>
          <w:b w:val="0"/>
          <w:i w:val="0"/>
          <w:sz w:val="22"/>
        </w:rPr>
        <w:t>Decide the fate of Share Register and Bulk Upload (finish or remove) — both are non-functional stubs today.</w:t>
      </w:r>
    </w:p>
    <w:p>
      <w:pPr>
        <w:pStyle w:val="ListNumber"/>
        <w:spacing w:after="80"/>
      </w:pPr>
      <w:r>
        <w:rPr>
          <w:b w:val="0"/>
          <w:i w:val="0"/>
          <w:sz w:val="22"/>
        </w:rPr>
        <w:t>Decide whether Shareholder's "Total Shares Held"/"Total Investment" should be auto-computed, and wire that up.</w:t>
      </w:r>
    </w:p>
    <w:p>
      <w:pPr>
        <w:pStyle w:val="ListNumber"/>
        <w:spacing w:after="80"/>
      </w:pPr>
      <w:r>
        <w:rPr>
          <w:b w:val="0"/>
          <w:i w:val="0"/>
          <w:sz w:val="22"/>
        </w:rPr>
        <w:t>Decide how CLN repayment (as opposed to conversion) should be recorded, and build that path.</w:t>
      </w:r>
    </w:p>
    <w:p>
      <w:pPr>
        <w:pStyle w:val="ListNumber"/>
        <w:spacing w:after="80"/>
      </w:pPr>
      <w:r>
        <w:rPr>
          <w:b w:val="0"/>
          <w:i w:val="0"/>
          <w:sz w:val="22"/>
        </w:rPr>
        <w:t>The action buttons currently live as Client Script records on the site database, not as version-controlled .js files in the app. Consider exporting them as fixtures so they travel with the app across environments.</w:t>
      </w:r>
    </w:p>
    <w:p/>
    <w:p>
      <w:pPr>
        <w:spacing w:before="400"/>
      </w:pPr>
      <w:r>
        <w:rPr>
          <w:i/>
          <w:color w:val="51604F"/>
          <w:sz w:val="18"/>
        </w:rPr>
        <w:t>Source of truth: docs/CAPITAL_MANAGEMENT_SOP.md in the upande_sphynx repository. Update that file first when the process changes.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B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2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F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6F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