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4CB2E">
      <w:pPr>
        <w:spacing w:after="500"/>
      </w:pPr>
    </w:p>
    <w:p w14:paraId="7FA47363">
      <w:pPr>
        <w:spacing w:after="80"/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SAP BTP Capstone Project</w:t>
      </w:r>
    </w:p>
    <w:p w14:paraId="28C2FF2A">
      <w:pPr>
        <w:spacing w:after="40"/>
      </w:pPr>
    </w:p>
    <w:p w14:paraId="0C12F106">
      <w:pPr>
        <w:pBdr>
          <w:bottom w:val="single" w:color="1F4E79" w:sz="8" w:space="4"/>
        </w:pBdr>
        <w:spacing w:after="8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Procure-to-Pay (P2P)</w:t>
      </w:r>
    </w:p>
    <w:p w14:paraId="3F609BA1">
      <w:pPr>
        <w:spacing w:after="40"/>
      </w:pPr>
    </w:p>
    <w:p w14:paraId="3F86C584">
      <w:pPr>
        <w:spacing w:after="400"/>
        <w:jc w:val="center"/>
      </w:pPr>
      <w:r>
        <w:rPr>
          <w:rFonts w:ascii="Arial" w:hAnsi="Arial" w:eastAsia="Arial" w:cs="Arial"/>
          <w:color w:val="666666"/>
          <w:sz w:val="28"/>
          <w:szCs w:val="28"/>
        </w:rPr>
        <w:t>End-to-End SAP MM Process on SAP BTP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41FC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A8C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38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70A02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B03E">
            <w:r>
              <w:rPr>
                <w:rFonts w:ascii="Arial" w:hAnsi="Arial" w:eastAsia="Arial" w:cs="Arial"/>
                <w:sz w:val="22"/>
                <w:szCs w:val="22"/>
              </w:rPr>
              <w:t>Module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8AE1">
            <w:r>
              <w:rPr>
                <w:rFonts w:ascii="Arial" w:hAnsi="Arial" w:eastAsia="Arial" w:cs="Arial"/>
                <w:sz w:val="22"/>
                <w:szCs w:val="22"/>
              </w:rPr>
              <w:t>SAP MM – Materials Management</w:t>
            </w:r>
          </w:p>
        </w:tc>
      </w:tr>
      <w:tr w14:paraId="6749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DAAE">
            <w:r>
              <w:rPr>
                <w:rFonts w:ascii="Arial" w:hAnsi="Arial" w:eastAsia="Arial" w:cs="Arial"/>
                <w:sz w:val="22"/>
                <w:szCs w:val="22"/>
              </w:rPr>
              <w:t>Platform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1B74">
            <w:r>
              <w:rPr>
                <w:rFonts w:ascii="Arial" w:hAnsi="Arial" w:eastAsia="Arial" w:cs="Arial"/>
                <w:sz w:val="22"/>
                <w:szCs w:val="22"/>
              </w:rPr>
              <w:t>SAP Business Technology Platform (BTP)</w:t>
            </w:r>
          </w:p>
        </w:tc>
      </w:tr>
      <w:tr w14:paraId="15D02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5D5E">
            <w:r>
              <w:rPr>
                <w:rFonts w:ascii="Arial" w:hAnsi="Arial" w:eastAsia="Arial" w:cs="Arial"/>
                <w:sz w:val="22"/>
                <w:szCs w:val="22"/>
              </w:rPr>
              <w:t>Company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F053">
            <w:r>
              <w:rPr>
                <w:rFonts w:ascii="Arial" w:hAnsi="Arial" w:eastAsia="Arial" w:cs="Arial"/>
                <w:sz w:val="22"/>
                <w:szCs w:val="22"/>
              </w:rPr>
              <w:t>ABC Manufacturing Pvt. Ltd. (Fictitious)</w:t>
            </w:r>
          </w:p>
        </w:tc>
      </w:tr>
      <w:tr w14:paraId="5266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C741">
            <w:r>
              <w:rPr>
                <w:rFonts w:ascii="Arial" w:hAnsi="Arial" w:eastAsia="Arial" w:cs="Arial"/>
                <w:sz w:val="22"/>
                <w:szCs w:val="22"/>
              </w:rPr>
              <w:t>Scenario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8263">
            <w:r>
              <w:rPr>
                <w:rFonts w:ascii="Arial" w:hAnsi="Arial" w:eastAsia="Arial" w:cs="Arial"/>
                <w:sz w:val="22"/>
                <w:szCs w:val="22"/>
              </w:rPr>
              <w:t>Procure-to-Pay (P2P) – Full Cycle</w:t>
            </w:r>
          </w:p>
        </w:tc>
      </w:tr>
      <w:tr w14:paraId="7DC24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0C03">
            <w:r>
              <w:rPr>
                <w:rFonts w:ascii="Arial" w:hAnsi="Arial" w:eastAsia="Arial" w:cs="Arial"/>
                <w:sz w:val="22"/>
                <w:szCs w:val="22"/>
              </w:rPr>
              <w:t>Submitted To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0FC1">
            <w:r>
              <w:rPr>
                <w:rFonts w:ascii="Arial" w:hAnsi="Arial" w:eastAsia="Arial" w:cs="Arial"/>
                <w:sz w:val="22"/>
                <w:szCs w:val="22"/>
              </w:rPr>
              <w:t>KIIT University / ExcelR Edtech Pvt. Ltd.</w:t>
            </w:r>
          </w:p>
        </w:tc>
      </w:tr>
      <w:tr w14:paraId="46E7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A43E">
            <w:r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AB9B">
            <w:r>
              <w:rPr>
                <w:rFonts w:hint="default" w:cs="Arial"/>
                <w:sz w:val="22"/>
                <w:szCs w:val="22"/>
                <w:lang w:val="en-US"/>
              </w:rPr>
              <w:t>21</w:t>
            </w:r>
            <w:r>
              <w:rPr>
                <w:rFonts w:hint="default" w:cs="Arial"/>
                <w:sz w:val="22"/>
                <w:szCs w:val="22"/>
                <w:vertAlign w:val="superscript"/>
                <w:lang w:val="en-US"/>
              </w:rPr>
              <w:t>st</w:t>
            </w:r>
            <w:r>
              <w:rPr>
                <w:rFonts w:hint="default" w:cs="Arial"/>
                <w:sz w:val="22"/>
                <w:szCs w:val="22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22"/>
                <w:szCs w:val="22"/>
              </w:rPr>
              <w:t>April 2026</w:t>
            </w:r>
          </w:p>
        </w:tc>
      </w:tr>
    </w:tbl>
    <w:p w14:paraId="0E3C849F">
      <w:pPr>
        <w:spacing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39814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93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Student Details</w:t>
            </w:r>
          </w:p>
        </w:tc>
        <w:tc>
          <w:tcPr>
            <w:tcW w:w="60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046A">
            <w:pPr>
              <w:jc w:val="center"/>
            </w:pPr>
          </w:p>
        </w:tc>
      </w:tr>
      <w:tr w14:paraId="1336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2C9F">
            <w:r>
              <w:rPr>
                <w:rFonts w:ascii="Arial" w:hAnsi="Arial" w:eastAsia="Arial" w:cs="Arial"/>
                <w:sz w:val="22"/>
                <w:szCs w:val="22"/>
              </w:rPr>
              <w:t>Name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1CD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Upasana Roy</w:t>
            </w:r>
          </w:p>
        </w:tc>
      </w:tr>
      <w:tr w14:paraId="217E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4AA2">
            <w:r>
              <w:rPr>
                <w:rFonts w:ascii="Arial" w:hAnsi="Arial" w:eastAsia="Arial" w:cs="Arial"/>
                <w:sz w:val="22"/>
                <w:szCs w:val="22"/>
              </w:rPr>
              <w:t>Roll Number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B72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23051881</w:t>
            </w:r>
          </w:p>
        </w:tc>
      </w:tr>
      <w:tr w14:paraId="0849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9E8F">
            <w:r>
              <w:rPr>
                <w:rFonts w:ascii="Arial" w:hAnsi="Arial" w:eastAsia="Arial" w:cs="Arial"/>
                <w:sz w:val="22"/>
                <w:szCs w:val="22"/>
              </w:rPr>
              <w:t>Batch / Program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709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BTech CSE</w:t>
            </w:r>
          </w:p>
        </w:tc>
      </w:tr>
    </w:tbl>
    <w:p w14:paraId="356AA494">
      <w:r>
        <w:br w:type="textWrapping"/>
      </w:r>
    </w:p>
    <w:p w14:paraId="411BB71E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1. Project Title</w:t>
      </w:r>
    </w:p>
    <w:p w14:paraId="4D17B759">
      <w:pPr>
        <w:pBdr>
          <w:bottom w:val="single" w:color="2E75B6" w:sz="6" w:space="1"/>
        </w:pBdr>
        <w:spacing w:after="120"/>
      </w:pPr>
    </w:p>
    <w:p w14:paraId="182F4074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Procure-to-Pay (P2P) – End-to-End SAP MM Process for ABC Manufacturing Pvt. Ltd., built on SAP Business Technology Platform (BTP) using CAP (Cloud Application Programming Model) with SAP Fiori frontend.</w:t>
      </w:r>
    </w:p>
    <w:p w14:paraId="0A32EFC5">
      <w:pPr>
        <w:spacing w:after="120"/>
      </w:pPr>
    </w:p>
    <w:p w14:paraId="2D04D065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2. Problem Statement</w:t>
      </w:r>
    </w:p>
    <w:p w14:paraId="68568982">
      <w:pPr>
        <w:pBdr>
          <w:bottom w:val="single" w:color="2E75B6" w:sz="6" w:space="1"/>
        </w:pBdr>
        <w:spacing w:after="120"/>
      </w:pPr>
    </w:p>
    <w:p w14:paraId="28F9268F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ABC Manufacturing Pvt. Ltd. relied on manual, paper-based procurement processes which caused significant operational challenges:</w:t>
      </w:r>
    </w:p>
    <w:p w14:paraId="270D2759">
      <w:pPr>
        <w:spacing w:after="60"/>
      </w:pPr>
    </w:p>
    <w:p w14:paraId="4A8DD5C5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Delays in purchase order creation and vendor communication</w:t>
      </w:r>
    </w:p>
    <w:p w14:paraId="4AE9807B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No real-time visibility into inventory levels and material availability</w:t>
      </w:r>
    </w:p>
    <w:p w14:paraId="0FFA1F48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Inconsistent invoice verification leading to payment discrepancies</w:t>
      </w:r>
    </w:p>
    <w:p w14:paraId="70E8862D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Inability to accurately track goods receipt against purchase orders</w:t>
      </w:r>
    </w:p>
    <w:p w14:paraId="1660EAA7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High risk of duplicate payments and vendor fraud due to weak controls</w:t>
      </w:r>
    </w:p>
    <w:p w14:paraId="425905B1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No centralized system for managing vendor master data or purchase history</w:t>
      </w:r>
    </w:p>
    <w:p w14:paraId="5BFF3A30">
      <w:pPr>
        <w:spacing w:after="120"/>
      </w:pPr>
    </w:p>
    <w:p w14:paraId="7A533C14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To solve these challenges, the company implemented an SAP BTP CAP application to automate the complete Procure-to-Pay cycle — from identifying material requirements through to vendor payment.</w:t>
      </w:r>
    </w:p>
    <w:p w14:paraId="6101BBF7">
      <w:pPr>
        <w:spacing w:after="120"/>
      </w:pPr>
    </w:p>
    <w:p w14:paraId="496DFCA5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3. Tech Stack</w:t>
      </w:r>
    </w:p>
    <w:p w14:paraId="68C71707">
      <w:pPr>
        <w:pBdr>
          <w:bottom w:val="single" w:color="2E75B6" w:sz="6" w:space="1"/>
        </w:pBdr>
        <w:spacing w:after="12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 w14:paraId="3CBD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3D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55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37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</w:tr>
      <w:tr w14:paraId="7B147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9C29">
            <w:r>
              <w:rPr>
                <w:rFonts w:ascii="Arial" w:hAnsi="Arial" w:eastAsia="Arial" w:cs="Arial"/>
                <w:sz w:val="22"/>
                <w:szCs w:val="22"/>
              </w:rPr>
              <w:t>Backend Framework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38DB">
            <w:r>
              <w:rPr>
                <w:rFonts w:ascii="Arial" w:hAnsi="Arial" w:eastAsia="Arial" w:cs="Arial"/>
                <w:sz w:val="22"/>
                <w:szCs w:val="22"/>
              </w:rPr>
              <w:t>SAP CAP (Cloud Application Programming) – Node.js</w:t>
            </w:r>
          </w:p>
        </w:tc>
      </w:tr>
      <w:tr w14:paraId="6FF7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7A94">
            <w:r>
              <w:rPr>
                <w:rFonts w:ascii="Arial" w:hAnsi="Arial" w:eastAsia="Arial" w:cs="Arial"/>
                <w:sz w:val="22"/>
                <w:szCs w:val="22"/>
              </w:rPr>
              <w:t>API Standard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CE61">
            <w:r>
              <w:rPr>
                <w:rFonts w:ascii="Arial" w:hAnsi="Arial" w:eastAsia="Arial" w:cs="Arial"/>
                <w:sz w:val="22"/>
                <w:szCs w:val="22"/>
              </w:rPr>
              <w:t>OData V4 (auto-generated by CAP)</w:t>
            </w:r>
          </w:p>
        </w:tc>
      </w:tr>
      <w:tr w14:paraId="633C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AD1E">
            <w:r>
              <w:rPr>
                <w:rFonts w:ascii="Arial" w:hAnsi="Arial" w:eastAsia="Arial" w:cs="Arial"/>
                <w:sz w:val="22"/>
                <w:szCs w:val="22"/>
              </w:rPr>
              <w:t>Frontend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2D71">
            <w:r>
              <w:rPr>
                <w:rFonts w:ascii="Arial" w:hAnsi="Arial" w:eastAsia="Arial" w:cs="Arial"/>
                <w:sz w:val="22"/>
                <w:szCs w:val="22"/>
              </w:rPr>
              <w:t>SAP Fiori / SAPUI5 (XML Views + Controllers)</w:t>
            </w:r>
          </w:p>
        </w:tc>
      </w:tr>
      <w:tr w14:paraId="1AAED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8609">
            <w:r>
              <w:rPr>
                <w:rFonts w:ascii="Arial" w:hAnsi="Arial" w:eastAsia="Arial" w:cs="Arial"/>
                <w:sz w:val="22"/>
                <w:szCs w:val="22"/>
              </w:rPr>
              <w:t>Database (Dev)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437D">
            <w:r>
              <w:rPr>
                <w:rFonts w:ascii="Arial" w:hAnsi="Arial" w:eastAsia="Arial" w:cs="Arial"/>
                <w:sz w:val="22"/>
                <w:szCs w:val="22"/>
              </w:rPr>
              <w:t>SQLite (in-memory)</w:t>
            </w:r>
          </w:p>
        </w:tc>
      </w:tr>
      <w:tr w14:paraId="42F3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C6F4">
            <w:r>
              <w:rPr>
                <w:rFonts w:ascii="Arial" w:hAnsi="Arial" w:eastAsia="Arial" w:cs="Arial"/>
                <w:sz w:val="22"/>
                <w:szCs w:val="22"/>
              </w:rPr>
              <w:t>Database (Prod)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09D0">
            <w:r>
              <w:rPr>
                <w:rFonts w:ascii="Arial" w:hAnsi="Arial" w:eastAsia="Arial" w:cs="Arial"/>
                <w:sz w:val="22"/>
                <w:szCs w:val="22"/>
              </w:rPr>
              <w:t>SAP HANA Cloud</w:t>
            </w:r>
          </w:p>
        </w:tc>
      </w:tr>
      <w:tr w14:paraId="68F99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29EF">
            <w:r>
              <w:rPr>
                <w:rFonts w:ascii="Arial" w:hAnsi="Arial" w:eastAsia="Arial" w:cs="Arial"/>
                <w:sz w:val="22"/>
                <w:szCs w:val="22"/>
              </w:rPr>
              <w:t>Authentication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2ACF">
            <w:r>
              <w:rPr>
                <w:rFonts w:ascii="Arial" w:hAnsi="Arial" w:eastAsia="Arial" w:cs="Arial"/>
                <w:sz w:val="22"/>
                <w:szCs w:val="22"/>
              </w:rPr>
              <w:t>SAP XSUAA (OAuth 2.0)</w:t>
            </w:r>
          </w:p>
        </w:tc>
      </w:tr>
      <w:tr w14:paraId="23A2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72F5">
            <w:r>
              <w:rPr>
                <w:rFonts w:ascii="Arial" w:hAnsi="Arial" w:eastAsia="Arial" w:cs="Arial"/>
                <w:sz w:val="22"/>
                <w:szCs w:val="22"/>
              </w:rPr>
              <w:t>Deployment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E793">
            <w:r>
              <w:rPr>
                <w:rFonts w:ascii="Arial" w:hAnsi="Arial" w:eastAsia="Arial" w:cs="Arial"/>
                <w:sz w:val="22"/>
                <w:szCs w:val="22"/>
              </w:rPr>
              <w:t>SAP BTP – Cloud Foundry Environment</w:t>
            </w:r>
          </w:p>
        </w:tc>
      </w:tr>
      <w:tr w14:paraId="4270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9E4E">
            <w:r>
              <w:rPr>
                <w:rFonts w:ascii="Arial" w:hAnsi="Arial" w:eastAsia="Arial" w:cs="Arial"/>
                <w:sz w:val="22"/>
                <w:szCs w:val="22"/>
              </w:rPr>
              <w:t>Build Tool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326F2">
            <w:r>
              <w:rPr>
                <w:rFonts w:ascii="Arial" w:hAnsi="Arial" w:eastAsia="Arial" w:cs="Arial"/>
                <w:sz w:val="22"/>
                <w:szCs w:val="22"/>
              </w:rPr>
              <w:t>MTA (Multi-Target Application Builder)</w:t>
            </w:r>
          </w:p>
        </w:tc>
      </w:tr>
      <w:tr w14:paraId="4782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B21E">
            <w:r>
              <w:rPr>
                <w:rFonts w:ascii="Arial" w:hAnsi="Arial" w:eastAsia="Arial" w:cs="Arial"/>
                <w:sz w:val="22"/>
                <w:szCs w:val="22"/>
              </w:rPr>
              <w:t>Security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EE11">
            <w:r>
              <w:rPr>
                <w:rFonts w:ascii="Arial" w:hAnsi="Arial" w:eastAsia="Arial" w:cs="Arial"/>
                <w:sz w:val="22"/>
                <w:szCs w:val="22"/>
              </w:rPr>
              <w:t>xs-security.json – Role-based access control (Viewer / Manager)</w:t>
            </w:r>
          </w:p>
        </w:tc>
      </w:tr>
    </w:tbl>
    <w:p w14:paraId="1D9E1931">
      <w:r>
        <w:br w:type="textWrapping"/>
      </w:r>
    </w:p>
    <w:p w14:paraId="7ABD51C9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4. Solution &amp; Features</w:t>
      </w:r>
    </w:p>
    <w:p w14:paraId="07383BE4">
      <w:pPr>
        <w:pBdr>
          <w:bottom w:val="single" w:color="2E75B6" w:sz="6" w:space="1"/>
        </w:pBdr>
        <w:spacing w:after="120"/>
      </w:pPr>
    </w:p>
    <w:p w14:paraId="6F30E2F6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The application implements the complete P2P cycle as an SAP BTP CAP service with OData V4 APIs and a SAP Fiori frontend. The process flow is:</w:t>
      </w:r>
    </w:p>
    <w:p w14:paraId="749D2ED5">
      <w:pPr>
        <w:spacing w:after="60"/>
      </w:pPr>
    </w:p>
    <w:p w14:paraId="7F43EF01">
      <w:pPr>
        <w:spacing w:after="120"/>
        <w:jc w:val="center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Purchase Requisition  →  Purchase Order  →  Goods Receipt  →  Invoice Verification  →  Payment</w:t>
      </w:r>
    </w:p>
    <w:p w14:paraId="1D18862F">
      <w:pPr>
        <w:spacing w:after="120"/>
      </w:pPr>
    </w:p>
    <w:p w14:paraId="7E6EDD7C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Key Modules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000"/>
        <w:gridCol w:w="3526"/>
      </w:tblGrid>
      <w:tr w14:paraId="0888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8D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6F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T-Code</w:t>
            </w:r>
          </w:p>
        </w:tc>
        <w:tc>
          <w:tcPr>
            <w:tcW w:w="35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37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3AFE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8CBB">
            <w:r>
              <w:rPr>
                <w:rFonts w:ascii="Arial" w:hAnsi="Arial" w:eastAsia="Arial" w:cs="Arial"/>
                <w:sz w:val="22"/>
                <w:szCs w:val="22"/>
              </w:rPr>
              <w:t>Purchase Requisition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3DBD">
            <w:r>
              <w:rPr>
                <w:rFonts w:ascii="Arial" w:hAnsi="Arial" w:eastAsia="Arial" w:cs="Arial"/>
                <w:sz w:val="22"/>
                <w:szCs w:val="22"/>
              </w:rPr>
              <w:t>ME51N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9224">
            <w:r>
              <w:rPr>
                <w:rFonts w:ascii="Arial" w:hAnsi="Arial" w:eastAsia="Arial" w:cs="Arial"/>
                <w:sz w:val="22"/>
                <w:szCs w:val="22"/>
              </w:rPr>
              <w:t>Raise internal material requests with approval workflow</w:t>
            </w:r>
          </w:p>
        </w:tc>
      </w:tr>
      <w:tr w14:paraId="10AC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C966">
            <w:r>
              <w:rPr>
                <w:rFonts w:ascii="Arial" w:hAnsi="Arial" w:eastAsia="Arial" w:cs="Arial"/>
                <w:sz w:val="22"/>
                <w:szCs w:val="22"/>
              </w:rPr>
              <w:t>Purchase Order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FDE0">
            <w:r>
              <w:rPr>
                <w:rFonts w:ascii="Arial" w:hAnsi="Arial" w:eastAsia="Arial" w:cs="Arial"/>
                <w:sz w:val="22"/>
                <w:szCs w:val="22"/>
              </w:rPr>
              <w:t>ME21N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93FD">
            <w:r>
              <w:rPr>
                <w:rFonts w:ascii="Arial" w:hAnsi="Arial" w:eastAsia="Arial" w:cs="Arial"/>
                <w:sz w:val="22"/>
                <w:szCs w:val="22"/>
              </w:rPr>
              <w:t>Create legally binding PO with vendor and pricing</w:t>
            </w:r>
          </w:p>
        </w:tc>
      </w:tr>
      <w:tr w14:paraId="54C9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3C94">
            <w:r>
              <w:rPr>
                <w:rFonts w:ascii="Arial" w:hAnsi="Arial" w:eastAsia="Arial" w:cs="Arial"/>
                <w:sz w:val="22"/>
                <w:szCs w:val="22"/>
              </w:rPr>
              <w:t>Goods Receipt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0E14">
            <w:r>
              <w:rPr>
                <w:rFonts w:ascii="Arial" w:hAnsi="Arial" w:eastAsia="Arial" w:cs="Arial"/>
                <w:sz w:val="22"/>
                <w:szCs w:val="22"/>
              </w:rPr>
              <w:t>MIGO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DB39">
            <w:r>
              <w:rPr>
                <w:rFonts w:ascii="Arial" w:hAnsi="Arial" w:eastAsia="Arial" w:cs="Arial"/>
                <w:sz w:val="22"/>
                <w:szCs w:val="22"/>
              </w:rPr>
              <w:t>Post GR with movement type 101; auto-updates stock</w:t>
            </w:r>
          </w:p>
        </w:tc>
      </w:tr>
      <w:tr w14:paraId="1440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1AEF">
            <w:r>
              <w:rPr>
                <w:rFonts w:ascii="Arial" w:hAnsi="Arial" w:eastAsia="Arial" w:cs="Arial"/>
                <w:sz w:val="22"/>
                <w:szCs w:val="22"/>
              </w:rPr>
              <w:t>Invoice Verification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985B">
            <w:r>
              <w:rPr>
                <w:rFonts w:ascii="Arial" w:hAnsi="Arial" w:eastAsia="Arial" w:cs="Arial"/>
                <w:sz w:val="22"/>
                <w:szCs w:val="22"/>
              </w:rPr>
              <w:t>MIRO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AB10">
            <w:r>
              <w:rPr>
                <w:rFonts w:ascii="Arial" w:hAnsi="Arial" w:eastAsia="Arial" w:cs="Arial"/>
                <w:sz w:val="22"/>
                <w:szCs w:val="22"/>
              </w:rPr>
              <w:t>Three-way match: PO vs GR vs Invoice</w:t>
            </w:r>
          </w:p>
        </w:tc>
      </w:tr>
      <w:tr w14:paraId="35DE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5E6E">
            <w:r>
              <w:rPr>
                <w:rFonts w:ascii="Arial" w:hAnsi="Arial" w:eastAsia="Arial" w:cs="Arial"/>
                <w:sz w:val="22"/>
                <w:szCs w:val="22"/>
              </w:rPr>
              <w:t>Vendor Master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C79F6">
            <w:r>
              <w:rPr>
                <w:rFonts w:ascii="Arial" w:hAnsi="Arial" w:eastAsia="Arial" w:cs="Arial"/>
                <w:sz w:val="22"/>
                <w:szCs w:val="22"/>
              </w:rPr>
              <w:t>XK01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1CE9">
            <w:r>
              <w:rPr>
                <w:rFonts w:ascii="Arial" w:hAnsi="Arial" w:eastAsia="Arial" w:cs="Arial"/>
                <w:sz w:val="22"/>
                <w:szCs w:val="22"/>
              </w:rPr>
              <w:t>Centralized vendor data management</w:t>
            </w:r>
          </w:p>
        </w:tc>
      </w:tr>
      <w:tr w14:paraId="1106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4EA7">
            <w:r>
              <w:rPr>
                <w:rFonts w:ascii="Arial" w:hAnsi="Arial" w:eastAsia="Arial" w:cs="Arial"/>
                <w:sz w:val="22"/>
                <w:szCs w:val="22"/>
              </w:rPr>
              <w:t>Material Master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B5B3">
            <w:r>
              <w:rPr>
                <w:rFonts w:ascii="Arial" w:hAnsi="Arial" w:eastAsia="Arial" w:cs="Arial"/>
                <w:sz w:val="22"/>
                <w:szCs w:val="22"/>
              </w:rPr>
              <w:t>MM01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1116">
            <w:r>
              <w:rPr>
                <w:rFonts w:ascii="Arial" w:hAnsi="Arial" w:eastAsia="Arial" w:cs="Arial"/>
                <w:sz w:val="22"/>
                <w:szCs w:val="22"/>
              </w:rPr>
              <w:t>Material data with stock and valuation</w:t>
            </w:r>
          </w:p>
        </w:tc>
      </w:tr>
    </w:tbl>
    <w:p w14:paraId="05C8D0A5">
      <w:pPr>
        <w:spacing w:after="120"/>
      </w:pPr>
    </w:p>
    <w:p w14:paraId="71320AE2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Business Actions (OData V4 API)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26"/>
      </w:tblGrid>
      <w:tr w14:paraId="509D6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13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Action</w:t>
            </w:r>
          </w:p>
        </w:tc>
        <w:tc>
          <w:tcPr>
            <w:tcW w:w="552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64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14:paraId="0E3C5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2BA4">
            <w:r>
              <w:rPr>
                <w:rFonts w:ascii="Arial" w:hAnsi="Arial" w:eastAsia="Arial" w:cs="Arial"/>
                <w:sz w:val="22"/>
                <w:szCs w:val="22"/>
              </w:rPr>
              <w:t>approvePR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30FB">
            <w:r>
              <w:rPr>
                <w:rFonts w:ascii="Arial" w:hAnsi="Arial" w:eastAsia="Arial" w:cs="Arial"/>
                <w:sz w:val="22"/>
                <w:szCs w:val="22"/>
              </w:rPr>
              <w:t>Approve a Purchase Requisition (Open → Approved)</w:t>
            </w:r>
          </w:p>
        </w:tc>
      </w:tr>
      <w:tr w14:paraId="5CAB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BB45">
            <w:r>
              <w:rPr>
                <w:rFonts w:ascii="Arial" w:hAnsi="Arial" w:eastAsia="Arial" w:cs="Arial"/>
                <w:sz w:val="22"/>
                <w:szCs w:val="22"/>
              </w:rPr>
              <w:t>convertPRtoPO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2D45">
            <w:r>
              <w:rPr>
                <w:rFonts w:ascii="Arial" w:hAnsi="Arial" w:eastAsia="Arial" w:cs="Arial"/>
                <w:sz w:val="22"/>
                <w:szCs w:val="22"/>
              </w:rPr>
              <w:t>Convert approved PR into a Purchase Order with selected vendor</w:t>
            </w:r>
          </w:p>
        </w:tc>
      </w:tr>
      <w:tr w14:paraId="3DAB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A2894">
            <w:r>
              <w:rPr>
                <w:rFonts w:ascii="Arial" w:hAnsi="Arial" w:eastAsia="Arial" w:cs="Arial"/>
                <w:sz w:val="22"/>
                <w:szCs w:val="22"/>
              </w:rPr>
              <w:t>postGoodsReceipt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2C65">
            <w:r>
              <w:rPr>
                <w:rFonts w:ascii="Arial" w:hAnsi="Arial" w:eastAsia="Arial" w:cs="Arial"/>
                <w:sz w:val="22"/>
                <w:szCs w:val="22"/>
              </w:rPr>
              <w:t>Auto-post GR; updates stock quantity in Material Master</w:t>
            </w:r>
          </w:p>
        </w:tc>
      </w:tr>
      <w:tr w14:paraId="4E56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DE6E">
            <w:r>
              <w:rPr>
                <w:rFonts w:ascii="Arial" w:hAnsi="Arial" w:eastAsia="Arial" w:cs="Arial"/>
                <w:sz w:val="22"/>
                <w:szCs w:val="22"/>
              </w:rPr>
              <w:t>verifyInvoice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C252">
            <w:r>
              <w:rPr>
                <w:rFonts w:ascii="Arial" w:hAnsi="Arial" w:eastAsia="Arial" w:cs="Arial"/>
                <w:sz w:val="22"/>
                <w:szCs w:val="22"/>
              </w:rPr>
              <w:t>Runs Three-Way Match and sets invoice to Verified or Blocked</w:t>
            </w:r>
          </w:p>
        </w:tc>
      </w:tr>
      <w:tr w14:paraId="01AD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BB8F">
            <w:r>
              <w:rPr>
                <w:rFonts w:ascii="Arial" w:hAnsi="Arial" w:eastAsia="Arial" w:cs="Arial"/>
                <w:sz w:val="22"/>
                <w:szCs w:val="22"/>
              </w:rPr>
              <w:t>getP2PSummary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CD8D">
            <w:r>
              <w:rPr>
                <w:rFonts w:ascii="Arial" w:hAnsi="Arial" w:eastAsia="Arial" w:cs="Arial"/>
                <w:sz w:val="22"/>
                <w:szCs w:val="22"/>
              </w:rPr>
              <w:t>Returns dashboard KPIs: total PRs, open POs, pending invoices, total spend</w:t>
            </w:r>
          </w:p>
        </w:tc>
      </w:tr>
    </w:tbl>
    <w:p w14:paraId="5B3194EC">
      <w:pPr>
        <w:spacing w:after="120"/>
      </w:pPr>
    </w:p>
    <w:p w14:paraId="51E6DA49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Fiori Frontend Screens</w:t>
      </w:r>
    </w:p>
    <w:p w14:paraId="61E747E2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Dashboard – KPI tiles showing total PRs, open POs, pending GRs, pending invoices and total spend</w:t>
      </w:r>
    </w:p>
    <w:p w14:paraId="4DA4D3AF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Purchase Orders List – filterable by status with inline Post GR and Add Invoice actions</w:t>
      </w:r>
    </w:p>
    <w:p w14:paraId="06F0D90D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Invoice Verification – Three-Way Match button with real-time status update (Verified / Blocked)</w:t>
      </w:r>
    </w:p>
    <w:p w14:paraId="4A175A4A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Vendor &amp; Material master views with full OData V4 CRUD support</w:t>
      </w:r>
    </w:p>
    <w:p w14:paraId="55B715F8">
      <w:r>
        <w:br w:type="textWrapping"/>
      </w:r>
    </w:p>
    <w:p w14:paraId="6569C2F1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5. Screenshots – Code in Action</w:t>
      </w:r>
    </w:p>
    <w:p w14:paraId="62A8190D">
      <w:pPr>
        <w:pBdr>
          <w:bottom w:val="single" w:color="2E75B6" w:sz="6" w:space="1"/>
        </w:pBdr>
        <w:spacing w:after="120"/>
      </w:pPr>
    </w:p>
    <w:p w14:paraId="71496462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The following screenshots show the actual project code and compilation output from the SAP BTP CAP development environment.</w:t>
      </w:r>
    </w:p>
    <w:p w14:paraId="223DFF4C">
      <w:pPr>
        <w:spacing w:after="80"/>
      </w:pPr>
    </w:p>
    <w:p w14:paraId="5A3545E0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CDS Data Model – db/schema.cds</w:t>
      </w:r>
    </w:p>
    <w:p w14:paraId="09F43E95">
      <w:pPr>
        <w:spacing w:before="100" w:after="60"/>
        <w:jc w:val="center"/>
      </w:pPr>
      <w:r>
        <w:drawing>
          <wp:inline distT="0" distB="0" distL="0" distR="0">
            <wp:extent cx="916305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BDBA">
      <w:pPr>
        <w:spacing w:after="16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Screenshot 1: CDS schema defining Vendors, PurchaseOrders, GoodsReceipts entities</w:t>
      </w:r>
    </w:p>
    <w:p w14:paraId="60839F27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Business Logic – Three-Way Match (verifyInvoice Action)</w:t>
      </w:r>
    </w:p>
    <w:p w14:paraId="2ED71189">
      <w:pPr>
        <w:spacing w:before="100" w:after="60"/>
        <w:jc w:val="center"/>
      </w:pPr>
      <w:r>
        <w:drawing>
          <wp:inline distT="0" distB="0" distL="0" distR="0">
            <wp:extent cx="9163050" cy="2809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145D">
      <w:pPr>
        <w:spacing w:after="16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Screenshot 2: srv/p2p-service.js – verifyInvoice action implementing Three-Way Match logic</w:t>
      </w:r>
    </w:p>
    <w:p w14:paraId="220A79F4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5.3 CDS Compile Output → SQL Tables</w:t>
      </w:r>
    </w:p>
    <w:p w14:paraId="2E38EB43">
      <w:pPr>
        <w:spacing w:before="100" w:after="60"/>
        <w:jc w:val="center"/>
      </w:pPr>
      <w:r>
        <w:drawing>
          <wp:inline distT="0" distB="0" distL="0" distR="0">
            <wp:extent cx="9163050" cy="2295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DE90">
      <w:pPr>
        <w:spacing w:after="16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Screenshot 3: Terminal output – CDS schema compiled to SQL (SAP HANA / SQLite compatible)</w:t>
      </w:r>
    </w:p>
    <w:p w14:paraId="7F6EFE53">
      <w:r>
        <w:br w:type="textWrapping"/>
      </w:r>
    </w:p>
    <w:p w14:paraId="55864617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5.4 OData V4 Metadata – EntitySets &amp; Actions</w:t>
      </w:r>
    </w:p>
    <w:p w14:paraId="3061691B">
      <w:pPr>
        <w:spacing w:before="100" w:after="60"/>
        <w:jc w:val="center"/>
      </w:pPr>
      <w:r>
        <w:drawing>
          <wp:inline distT="0" distB="0" distL="0" distR="0">
            <wp:extent cx="9163050" cy="2295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0F6B">
      <w:pPr>
        <w:spacing w:after="16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Screenshot 4: OData V4 metadata showing all EntitySets (Vendors, POs, GRs, Invoices) and Action Imports</w:t>
      </w:r>
    </w:p>
    <w:p w14:paraId="6FCC2921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5.5 Project File Structure</w:t>
      </w:r>
    </w:p>
    <w:p w14:paraId="4EAE6457">
      <w:pPr>
        <w:spacing w:before="100" w:after="60"/>
        <w:jc w:val="center"/>
      </w:pPr>
      <w:r>
        <w:drawing>
          <wp:inline distT="0" distB="0" distL="0" distR="0">
            <wp:extent cx="9163050" cy="2295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77BE">
      <w:pPr>
        <w:spacing w:after="160"/>
        <w:jc w:val="center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Screenshot 5: Complete project folder structure – db, srv, app layers following SAP CAP conventions</w:t>
      </w:r>
    </w:p>
    <w:p w14:paraId="0F7515B3">
      <w:pPr>
        <w:spacing w:after="120"/>
      </w:pPr>
    </w:p>
    <w:p w14:paraId="123169D8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6. Unique Points</w:t>
      </w:r>
    </w:p>
    <w:p w14:paraId="076D2797">
      <w:pPr>
        <w:pBdr>
          <w:bottom w:val="single" w:color="2E75B6" w:sz="6" w:space="1"/>
        </w:pBdr>
        <w:spacing w:after="120"/>
      </w:pPr>
    </w:p>
    <w:p w14:paraId="7326493E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Three-Way Match: PO vs. GR vs. Invoice with 5% tolerance – invoice auto-blocked if match fails</w:t>
      </w:r>
    </w:p>
    <w:p w14:paraId="56191327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Auto document numbering: PR, PO, GR numbers auto-generated on creation (e.g., PO-2026-00000001)</w:t>
      </w:r>
    </w:p>
    <w:p w14:paraId="2C3CD866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Stock auto-update: Posting a Goods Receipt automatically increments material stock quantity in real-time</w:t>
      </w:r>
    </w:p>
    <w:p w14:paraId="3C93DF79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PO lifecycle: Auto-transitions Open → Partially Received → Fully Received → Invoiced based on GR and invoice</w:t>
      </w:r>
    </w:p>
    <w:p w14:paraId="4976B4BD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Role-based access via SAP XSUAA: P2P Viewer (read-only) and P2P Manager (full access)</w:t>
      </w:r>
    </w:p>
    <w:p w14:paraId="0B6C01B8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OData V4 API: Full CRUD + custom actions/functions – compatible with any SAP Fiori or external frontend</w:t>
      </w:r>
    </w:p>
    <w:p w14:paraId="64934BDA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MTA deployment ready: Single command deploys backend, HANA DB and Fiori app to SAP BTP Cloud Foundry</w:t>
      </w:r>
    </w:p>
    <w:p w14:paraId="57E688B1">
      <w:pPr>
        <w:spacing w:after="120"/>
      </w:pPr>
    </w:p>
    <w:p w14:paraId="5A401A05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7. Future Improvements</w:t>
      </w:r>
    </w:p>
    <w:p w14:paraId="5A892081">
      <w:pPr>
        <w:pBdr>
          <w:bottom w:val="single" w:color="2E75B6" w:sz="6" w:space="1"/>
        </w:pBdr>
        <w:spacing w:after="120"/>
      </w:pPr>
    </w:p>
    <w:p w14:paraId="0AC887B2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Integration with SAP S/4HANA via SAP BTP Integration Suite for real-time data sync</w:t>
      </w:r>
    </w:p>
    <w:p w14:paraId="3568F2BC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SAP Ariba integration for advanced e-sourcing, RFQ management and supplier collaboration</w:t>
      </w:r>
    </w:p>
    <w:p w14:paraId="1BFFE808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Evaluated Receipt Settlement (ERS) – auto-post invoices on GR to eliminate manual MIRO entry</w:t>
      </w:r>
    </w:p>
    <w:p w14:paraId="4AD2EECD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Mobile-friendly SAP Fiori app with push notifications for PR approval and invoice alerts</w:t>
      </w:r>
    </w:p>
    <w:p w14:paraId="2EC48AE3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AI-powered spend analytics dashboard using SAP Analytics Cloud (SAC) embedded in BTP</w:t>
      </w:r>
    </w:p>
    <w:p w14:paraId="5A70D8CE">
      <w:pPr>
        <w:pStyle w:val="17"/>
        <w:numPr>
          <w:ilvl w:val="0"/>
          <w:numId w:val="1"/>
        </w:numPr>
        <w:spacing w:after="60"/>
        <w:jc w:val="both"/>
      </w:pPr>
      <w:r>
        <w:rPr>
          <w:rFonts w:ascii="Arial" w:hAnsi="Arial" w:eastAsia="Arial" w:cs="Arial"/>
          <w:sz w:val="24"/>
          <w:szCs w:val="24"/>
        </w:rPr>
        <w:t>SAP Build Process Automation for multi-level PR and PO approval workflows</w:t>
      </w:r>
    </w:p>
    <w:p w14:paraId="3A219B94">
      <w:pPr>
        <w:spacing w:after="200"/>
      </w:pPr>
    </w:p>
    <w:p w14:paraId="2D00D7A9">
      <w:pPr>
        <w:pStyle w:val="2"/>
        <w:spacing w:before="240" w:after="80"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>8. Conclusion</w:t>
      </w:r>
    </w:p>
    <w:p w14:paraId="15D96B80">
      <w:pPr>
        <w:pBdr>
          <w:bottom w:val="single" w:color="2E75B6" w:sz="6" w:space="1"/>
        </w:pBdr>
        <w:spacing w:after="120"/>
      </w:pPr>
    </w:p>
    <w:p w14:paraId="63227517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This project demonstrates a complete, working Procure-to-Pay (P2P) implementation built on SAP Business Technology Platform using the SAP Cloud Application Programming Model (CAP). The application covers every stage of the P2P lifecycle — from Purchase Requisition through Goods Receipt to Invoice Verification — with full business logic, OData V4 APIs, and a SAP Fiori frontend.</w:t>
      </w:r>
    </w:p>
    <w:p w14:paraId="18370F03">
      <w:pPr>
        <w:spacing w:after="80"/>
      </w:pPr>
    </w:p>
    <w:p w14:paraId="2FFD752B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The Three-Way Match mechanism ensures strong internal financial controls, while automatic stock updates and document numbering bring real operational value. The system is deployment-ready on SAP BTP Cloud Foundry and follows SAP best practices in architecture, security (XSUAA), and UI (Fiori/UI5).</w:t>
      </w:r>
    </w:p>
    <w:p w14:paraId="716D4CFE">
      <w:pPr>
        <w:spacing w:after="80"/>
      </w:pPr>
    </w:p>
    <w:p w14:paraId="038960C8">
      <w:pPr>
        <w:spacing w:after="100"/>
        <w:jc w:val="both"/>
      </w:pPr>
      <w:r>
        <w:rPr>
          <w:rFonts w:ascii="Arial" w:hAnsi="Arial" w:eastAsia="Arial" w:cs="Arial"/>
          <w:sz w:val="24"/>
          <w:szCs w:val="24"/>
        </w:rPr>
        <w:t>This solution transforms a manual, error-prone procurement process into a streamlined, auditable, and scalable enterprise application — demonstrating practical SAP MM knowledge applied on a modern cloud platform.</w:t>
      </w:r>
    </w:p>
    <w:p w14:paraId="403C8E4A">
      <w:pPr>
        <w:spacing w:after="200"/>
      </w:pPr>
    </w:p>
    <w:p w14:paraId="2A633E67">
      <w:pPr>
        <w:pBdr>
          <w:top w:val="single" w:color="2E75B6" w:sz="6" w:space="4"/>
        </w:pBdr>
        <w:spacing w:before="200"/>
        <w:jc w:val="center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>— End of Documentation —</w:t>
      </w:r>
    </w:p>
    <w:sectPr>
      <w:headerReference r:id="rId3" w:type="default"/>
      <w:footerReference r:id="rId4" w:type="default"/>
      <w:pgSz w:w="11906" w:h="16838"/>
      <w:pgMar w:top="1440" w:right="1440" w:bottom="1800" w:left="1440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83985">
    <w:pPr>
      <w:pBdr>
        <w:top w:val="single" w:color="2E75B6" w:sz="6" w:space="1"/>
      </w:pBdr>
      <w:tabs>
        <w:tab w:val="right" w:pos="902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3605F8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3605F8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  <w:szCs w:val="18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613FB">
    <w:pPr>
      <w:pBdr>
        <w:bottom w:val="single" w:color="2E75B6" w:sz="6" w:space="1"/>
      </w:pBdr>
      <w:tabs>
        <w:tab w:val="right" w:pos="9026"/>
      </w:tabs>
    </w:pPr>
    <w:r>
      <w:rPr>
        <w:rFonts w:ascii="Arial" w:hAnsi="Arial" w:eastAsia="Arial" w:cs="Arial"/>
        <w:b/>
        <w:bCs/>
        <w:color w:val="1F4E79"/>
        <w:sz w:val="18"/>
        <w:szCs w:val="18"/>
      </w:rPr>
      <w:t>SAP BTP CAP – Procure-to-Pay (P2P)</w:t>
    </w:r>
    <w:r>
      <w:rPr>
        <w:sz w:val="18"/>
        <w:szCs w:val="18"/>
      </w:rPr>
      <w:tab/>
    </w:r>
    <w:r>
      <w:rPr>
        <w:rFonts w:ascii="Arial" w:hAnsi="Arial" w:eastAsia="Arial" w:cs="Arial"/>
        <w:color w:val="666666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126856"/>
    <w:rsid w:val="466A4641"/>
    <w:rsid w:val="7556100F"/>
    <w:rsid w:val="76393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80"/>
      <w:outlineLvl w:val="0"/>
    </w:pPr>
    <w:rPr>
      <w:rFonts w:ascii="Arial" w:hAnsi="Arial" w:eastAsia="Arial" w:cs="Arial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160" w:after="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2026-04-19T07:35:00Z</dcterms:created>
  <dc:creator>Un-named</dc:creator>
  <cp:lastModifiedBy>UPASANA ROY</cp:lastModifiedBy>
  <dcterms:modified xsi:type="dcterms:W3CDTF">2026-04-19T14:13:38Z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367AD9CBCABF417FB07E008C173E24D8_12</vt:lpwstr>
  </property>
</Properties>
</file>