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c1e89a9ff90c16093cd3c2394411c26a5f9f75a"/>
      <w:r>
        <w:t xml:space="preserve">Product Requirements Document — LCA Carbon Calculator (EN 15978)</w:t>
      </w:r>
      <w:bookmarkEnd w:id="20"/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Product</w:t>
            </w:r>
          </w:p>
        </w:tc>
        <w:tc>
          <w:p>
            <w:pPr>
              <w:pStyle w:val="Compact"/>
              <w:jc w:val="left"/>
            </w:pPr>
            <w:r>
              <w:t xml:space="preserve">LCA Carbon Calculator — early-stage embodied &amp; operational carbon assessment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Standard alignment</w:t>
            </w:r>
          </w:p>
        </w:tc>
        <w:tc>
          <w:p>
            <w:pPr>
              <w:pStyle w:val="Compact"/>
              <w:jc w:val="left"/>
            </w:pPr>
            <w:r>
              <w:t xml:space="preserve">EN 15978 (building-level assessment) · EN 15804 (product EPDs) · ISO 14040 / 14044 (LCA framework)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Platform</w:t>
            </w:r>
          </w:p>
        </w:tc>
        <w:tc>
          <w:p>
            <w:pPr>
              <w:pStyle w:val="Compact"/>
              <w:jc w:val="left"/>
            </w:pPr>
            <w:r>
              <w:t xml:space="preserve">Python · Streamlit web app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Document type</w:t>
            </w:r>
          </w:p>
        </w:tc>
        <w:tc>
          <w:p>
            <w:pPr>
              <w:pStyle w:val="Compact"/>
              <w:jc w:val="left"/>
            </w:pPr>
            <w:r>
              <w:t xml:space="preserve">Technical build specification (PRD)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0.1 (draft)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23 June 2026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Upasana Sen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 for review</w:t>
            </w:r>
          </w:p>
        </w:tc>
      </w:tr>
    </w:tbl>
    <w:p>
      <w:pPr>
        <w:pStyle w:val="BlockText"/>
      </w:pPr>
      <w:r>
        <w:rPr>
          <w:b/>
        </w:rPr>
        <w:t xml:space="preserve">Scope note on standards:</w:t>
      </w:r>
      <w:r>
        <w:t xml:space="preserve"> </w:t>
      </w:r>
      <w:r>
        <w:t xml:space="preserve">EN 15978 and EN 15804 are copyrighted standards published by CEN; their full normative text is paywalled. This PRD describes the widely-documented lifecycle-module framework defined by those standards, not verbatim normative clauses. Before publishing carbon results externally, the methodology should be checked against a licensed copy of EN 15978:2011 and the relevant national annex.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X45a1b6547d3e66896e39528eedfdfecfc8c44b4"/>
      <w:r>
        <w:t xml:space="preserve">1. TL;DR</w:t>
      </w:r>
      <w:bookmarkEnd w:id="21"/>
    </w:p>
    <w:p>
      <w:pPr>
        <w:pStyle w:val="FirstParagraph"/>
      </w:pPr>
      <w:r>
        <w:t xml:space="preserve">The LCA Carbon Calculator is a Streamlit web application that lets architects, engineers, and sustainability consultants estimate the</w:t>
      </w:r>
      <w:r>
        <w:t xml:space="preserve"> </w:t>
      </w:r>
      <w:r>
        <w:rPr>
          <w:b/>
        </w:rPr>
        <w:t xml:space="preserve">whole-life carbon</w:t>
      </w:r>
      <w:r>
        <w:t xml:space="preserve"> </w:t>
      </w:r>
      <w:r>
        <w:t xml:space="preserve">of a building</w:t>
      </w:r>
      <w:r>
        <w:t xml:space="preserve"> </w:t>
      </w:r>
      <w:r>
        <w:rPr>
          <w:b/>
        </w:rPr>
        <w:t xml:space="preserve">at the early design stage</w:t>
      </w:r>
      <w:r>
        <w:t xml:space="preserve">, when a model is still a rough bill of quantities rather than a detailed BIM file. The user enters building elements and material quantities, the app pulls third-party-verified emission factors from public</w:t>
      </w:r>
      <w:r>
        <w:t xml:space="preserve"> </w:t>
      </w:r>
      <w:r>
        <w:rPr>
          <w:b/>
        </w:rPr>
        <w:t xml:space="preserve">Environmental Product Declaration (EPD)</w:t>
      </w:r>
      <w:r>
        <w:t xml:space="preserve"> </w:t>
      </w:r>
      <w:r>
        <w:t xml:space="preserve">databases, and it returns global warming potential (GWP, in kg CO₂e) broken down by</w:t>
      </w:r>
      <w:r>
        <w:t xml:space="preserve"> </w:t>
      </w:r>
      <w:r>
        <w:rPr>
          <w:b/>
        </w:rPr>
        <w:t xml:space="preserve">EN 15978 lifecycle module</w:t>
      </w:r>
      <w:r>
        <w:t xml:space="preserve"> </w:t>
      </w:r>
      <w:r>
        <w:t xml:space="preserve">(A1–A5, B6, C1–C4) and by building element.</w:t>
      </w:r>
    </w:p>
    <w:p>
      <w:pPr>
        <w:pStyle w:val="BodyText"/>
      </w:pPr>
      <w:r>
        <w:t xml:space="preserve">The differentiator is</w:t>
      </w:r>
      <w:r>
        <w:t xml:space="preserve"> </w:t>
      </w:r>
      <w:r>
        <w:rPr>
          <w:b/>
        </w:rPr>
        <w:t xml:space="preserve">transparency and standard-alignment</w:t>
      </w:r>
      <w:r>
        <w:t xml:space="preserve">: every number is traceable to a named data source and a named lifecycle module, and the methodology follows the ISO 14040/44 LCA framework. The target outcome is to let a design team compare two structural or material options on carbon in minutes, not weeks.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c3cc684388475af2c775f9878e55385d319e70d"/>
      <w:r>
        <w:t xml:space="preserve">2. Problem statement</w:t>
      </w:r>
      <w:bookmarkEnd w:id="22"/>
    </w:p>
    <w:p>
      <w:pPr>
        <w:pStyle w:val="FirstParagraph"/>
      </w:pPr>
      <w:r>
        <w:t xml:space="preserve">Embodied carbon — the emissions locked into materials and construction before a building is even occupied — is decided early in design but measured late, if at all. Whole-building LCA today is typically performed by specialist consultants near the end of design development, using desktop tools that require a near-complete BIM model. By then the high-leverage decisions (structural system, primary materials, massing) are frozen, so the assessment documents the carbon rather than reducing it.</w:t>
      </w:r>
    </w:p>
    <w:p>
      <w:pPr>
        <w:pStyle w:val="BodyText"/>
      </w:pPr>
      <w:r>
        <w:t xml:space="preserve">The people making those early decisions — architects and engineers in concept and schematic design — rarely have a fast, credible way to test "what if we used X instead of Y?" against a recognised standard. The cost of not solving this is locked-in embodied carbon that cannot be undone, weaker competitive positioning as procurement increasingly asks for carbon data, and reliance on expensive late-stage consulting.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X950fde4dca84967ef180568975f7c55d0ddbd6f"/>
      <w:r>
        <w:t xml:space="preserve">3. Background: the standards (primer)</w:t>
      </w:r>
      <w:bookmarkEnd w:id="23"/>
    </w:p>
    <w:p>
      <w:pPr>
        <w:pStyle w:val="FirstParagraph"/>
      </w:pPr>
      <w:r>
        <w:t xml:space="preserve">This section is build context, not requirements. It defines the vocabulary the rest of the spec uses.</w:t>
      </w:r>
    </w:p>
    <w:p>
      <w:pPr>
        <w:pStyle w:val="BodyText"/>
      </w:pPr>
      <w:r>
        <w:rPr>
          <w:b/>
        </w:rPr>
        <w:t xml:space="preserve">ISO 14040 / ISO 14044</w:t>
      </w:r>
      <w:r>
        <w:t xml:space="preserve"> </w:t>
      </w:r>
      <w:r>
        <w:t xml:space="preserve">define the general framework for Life Cycle Assessment: goal &amp; scope definition, inventory analysis, impact assessment, and interpretation. They are method-agnostic and apply to any product. Our calculator implements a</w:t>
      </w:r>
      <w:r>
        <w:t xml:space="preserve"> </w:t>
      </w:r>
      <w:r>
        <w:rPr>
          <w:i/>
        </w:rPr>
        <w:t xml:space="preserve">cradle-to-grave</w:t>
      </w:r>
      <w:r>
        <w:t xml:space="preserve"> </w:t>
      </w:r>
      <w:r>
        <w:t xml:space="preserve">(with optional cradle-to-gate) assessment consistent with this framework.</w:t>
      </w:r>
    </w:p>
    <w:p>
      <w:pPr>
        <w:pStyle w:val="BodyText"/>
      </w:pPr>
      <w:r>
        <w:rPr>
          <w:b/>
        </w:rPr>
        <w:t xml:space="preserve">EN 15804</w:t>
      </w:r>
      <w:r>
        <w:t xml:space="preserve"> </w:t>
      </w:r>
      <w:r>
        <w:t xml:space="preserve">is the European standard governing</w:t>
      </w:r>
      <w:r>
        <w:t xml:space="preserve"> </w:t>
      </w:r>
      <w:r>
        <w:rPr>
          <w:b/>
        </w:rPr>
        <w:t xml:space="preserve">product-level EPDs</w:t>
      </w:r>
      <w:r>
        <w:t xml:space="preserve"> </w:t>
      </w:r>
      <w:r>
        <w:t xml:space="preserve">for construction products. EPDs declare environmental impacts (including GWP) per a defined functional/declared unit (e.g. per kg, per m³, per m²). EPDs are the emission-factor data source for this tool.</w:t>
      </w:r>
    </w:p>
    <w:p>
      <w:pPr>
        <w:pStyle w:val="BodyText"/>
      </w:pPr>
      <w:r>
        <w:rPr>
          <w:b/>
        </w:rPr>
        <w:t xml:space="preserve">EN 15978</w:t>
      </w:r>
      <w:r>
        <w:t xml:space="preserve"> </w:t>
      </w:r>
      <w:r>
        <w:t xml:space="preserve">is the European standard for assessing the environmental performance of a</w:t>
      </w:r>
      <w:r>
        <w:t xml:space="preserve"> </w:t>
      </w:r>
      <w:r>
        <w:rPr>
          <w:b/>
        </w:rPr>
        <w:t xml:space="preserve">whole building</w:t>
      </w:r>
      <w:r>
        <w:t xml:space="preserve">. It organises a building's life cycle into information modules: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A1</w:t>
            </w:r>
          </w:p>
        </w:tc>
        <w:tc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p>
            <w:pPr>
              <w:pStyle w:val="Compact"/>
              <w:jc w:val="left"/>
            </w:pPr>
            <w:r>
              <w:t xml:space="preserve">Raw material supply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A2</w:t>
            </w:r>
          </w:p>
        </w:tc>
        <w:tc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p>
            <w:pPr>
              <w:pStyle w:val="Compact"/>
              <w:jc w:val="left"/>
            </w:pPr>
            <w:r>
              <w:t xml:space="preserve">Transport (to manufacturer)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A3</w:t>
            </w:r>
          </w:p>
        </w:tc>
        <w:tc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p>
            <w:pPr>
              <w:pStyle w:val="Compact"/>
              <w:jc w:val="left"/>
            </w:pPr>
            <w:r>
              <w:t xml:space="preserve">Manufacturing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A4</w:t>
            </w:r>
          </w:p>
        </w:tc>
        <w:tc>
          <w:p>
            <w:pPr>
              <w:pStyle w:val="Compact"/>
              <w:jc w:val="left"/>
            </w:pPr>
            <w:r>
              <w:t xml:space="preserve">Construction</w:t>
            </w:r>
          </w:p>
        </w:tc>
        <w:tc>
          <w:p>
            <w:pPr>
              <w:pStyle w:val="Compact"/>
              <w:jc w:val="left"/>
            </w:pPr>
            <w:r>
              <w:t xml:space="preserve">Transport to site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A5</w:t>
            </w:r>
          </w:p>
        </w:tc>
        <w:tc>
          <w:p>
            <w:pPr>
              <w:pStyle w:val="Compact"/>
              <w:jc w:val="left"/>
            </w:pPr>
            <w:r>
              <w:t xml:space="preserve">Construction</w:t>
            </w:r>
          </w:p>
        </w:tc>
        <w:tc>
          <w:p>
            <w:pPr>
              <w:pStyle w:val="Compact"/>
              <w:jc w:val="left"/>
            </w:pPr>
            <w:r>
              <w:t xml:space="preserve">Construction / installation (incl. material wastage)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B1</w:t>
            </w:r>
          </w:p>
        </w:tc>
        <w:tc>
          <w:p>
            <w:pPr>
              <w:pStyle w:val="Compact"/>
              <w:jc w:val="left"/>
            </w:pPr>
            <w:r>
              <w:t xml:space="preserve">Use</w:t>
            </w:r>
          </w:p>
        </w:tc>
        <w:tc>
          <w:p>
            <w:pPr>
              <w:pStyle w:val="Compact"/>
              <w:jc w:val="left"/>
            </w:pPr>
            <w:r>
              <w:t xml:space="preserve">Material use / emissions in use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B2</w:t>
            </w:r>
          </w:p>
        </w:tc>
        <w:tc>
          <w:p>
            <w:pPr>
              <w:pStyle w:val="Compact"/>
              <w:jc w:val="left"/>
            </w:pPr>
            <w:r>
              <w:t xml:space="preserve">Use</w:t>
            </w:r>
          </w:p>
        </w:tc>
        <w:tc>
          <w:p>
            <w:pPr>
              <w:pStyle w:val="Compact"/>
              <w:jc w:val="left"/>
            </w:pPr>
            <w:r>
              <w:t xml:space="preserve">Maintenance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B3</w:t>
            </w:r>
          </w:p>
        </w:tc>
        <w:tc>
          <w:p>
            <w:pPr>
              <w:pStyle w:val="Compact"/>
              <w:jc w:val="left"/>
            </w:pPr>
            <w:r>
              <w:t xml:space="preserve">Use</w:t>
            </w:r>
          </w:p>
        </w:tc>
        <w:tc>
          <w:p>
            <w:pPr>
              <w:pStyle w:val="Compact"/>
              <w:jc w:val="left"/>
            </w:pPr>
            <w:r>
              <w:t xml:space="preserve">Repair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B4</w:t>
            </w:r>
          </w:p>
        </w:tc>
        <w:tc>
          <w:p>
            <w:pPr>
              <w:pStyle w:val="Compact"/>
              <w:jc w:val="left"/>
            </w:pPr>
            <w:r>
              <w:t xml:space="preserve">Use</w:t>
            </w:r>
          </w:p>
        </w:tc>
        <w:tc>
          <w:p>
            <w:pPr>
              <w:pStyle w:val="Compact"/>
              <w:jc w:val="left"/>
            </w:pPr>
            <w:r>
              <w:t xml:space="preserve">Replacement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B5</w:t>
            </w:r>
          </w:p>
        </w:tc>
        <w:tc>
          <w:p>
            <w:pPr>
              <w:pStyle w:val="Compact"/>
              <w:jc w:val="left"/>
            </w:pPr>
            <w:r>
              <w:t xml:space="preserve">Use</w:t>
            </w:r>
          </w:p>
        </w:tc>
        <w:tc>
          <w:p>
            <w:pPr>
              <w:pStyle w:val="Compact"/>
              <w:jc w:val="left"/>
            </w:pPr>
            <w:r>
              <w:t xml:space="preserve">Refurbishment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B6</w:t>
            </w:r>
          </w:p>
        </w:tc>
        <w:tc>
          <w:p>
            <w:pPr>
              <w:pStyle w:val="Compact"/>
              <w:jc w:val="left"/>
            </w:pPr>
            <w:r>
              <w:t xml:space="preserve">Use</w:t>
            </w:r>
          </w:p>
        </w:tc>
        <w:tc>
          <w:p>
            <w:pPr>
              <w:pStyle w:val="Compact"/>
              <w:jc w:val="left"/>
            </w:pPr>
            <w:r>
              <w:t xml:space="preserve">Operational energy use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B7</w:t>
            </w:r>
          </w:p>
        </w:tc>
        <w:tc>
          <w:p>
            <w:pPr>
              <w:pStyle w:val="Compact"/>
              <w:jc w:val="left"/>
            </w:pPr>
            <w:r>
              <w:t xml:space="preserve">Use</w:t>
            </w:r>
          </w:p>
        </w:tc>
        <w:tc>
          <w:p>
            <w:pPr>
              <w:pStyle w:val="Compact"/>
              <w:jc w:val="left"/>
            </w:pPr>
            <w:r>
              <w:t xml:space="preserve">Operational water use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C1</w:t>
            </w:r>
          </w:p>
        </w:tc>
        <w:tc>
          <w:p>
            <w:pPr>
              <w:pStyle w:val="Compact"/>
              <w:jc w:val="left"/>
            </w:pPr>
            <w:r>
              <w:t xml:space="preserve">End of life</w:t>
            </w:r>
          </w:p>
        </w:tc>
        <w:tc>
          <w:p>
            <w:pPr>
              <w:pStyle w:val="Compact"/>
              <w:jc w:val="left"/>
            </w:pPr>
            <w:r>
              <w:t xml:space="preserve">Deconstruction / demolition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C2</w:t>
            </w:r>
          </w:p>
        </w:tc>
        <w:tc>
          <w:p>
            <w:pPr>
              <w:pStyle w:val="Compact"/>
              <w:jc w:val="left"/>
            </w:pPr>
            <w:r>
              <w:t xml:space="preserve">End of life</w:t>
            </w:r>
          </w:p>
        </w:tc>
        <w:tc>
          <w:p>
            <w:pPr>
              <w:pStyle w:val="Compact"/>
              <w:jc w:val="left"/>
            </w:pPr>
            <w:r>
              <w:t xml:space="preserve">Transport (to waste processing)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C3</w:t>
            </w:r>
          </w:p>
        </w:tc>
        <w:tc>
          <w:p>
            <w:pPr>
              <w:pStyle w:val="Compact"/>
              <w:jc w:val="left"/>
            </w:pPr>
            <w:r>
              <w:t xml:space="preserve">End of life</w:t>
            </w:r>
          </w:p>
        </w:tc>
        <w:tc>
          <w:p>
            <w:pPr>
              <w:pStyle w:val="Compact"/>
              <w:jc w:val="left"/>
            </w:pPr>
            <w:r>
              <w:t xml:space="preserve">Waste processing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C4</w:t>
            </w:r>
          </w:p>
        </w:tc>
        <w:tc>
          <w:p>
            <w:pPr>
              <w:pStyle w:val="Compact"/>
              <w:jc w:val="left"/>
            </w:pPr>
            <w:r>
              <w:t xml:space="preserve">End of life</w:t>
            </w:r>
          </w:p>
        </w:tc>
        <w:tc>
          <w:p>
            <w:pPr>
              <w:pStyle w:val="Compact"/>
              <w:jc w:val="left"/>
            </w:pPr>
            <w:r>
              <w:t xml:space="preserve">Disposal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p>
            <w:pPr>
              <w:pStyle w:val="Compact"/>
              <w:jc w:val="left"/>
            </w:pPr>
            <w:r>
              <w:t xml:space="preserve">Beyond boundary</w:t>
            </w:r>
          </w:p>
        </w:tc>
        <w:tc>
          <w:p>
            <w:pPr>
              <w:pStyle w:val="Compact"/>
              <w:jc w:val="left"/>
            </w:pPr>
            <w:r>
              <w:t xml:space="preserve">Reuse / recovery / recycling benefits &amp; loads</w:t>
            </w:r>
          </w:p>
        </w:tc>
      </w:tr>
    </w:tbl>
    <w:p>
      <w:pPr>
        <w:pStyle w:val="BodyText"/>
      </w:pPr>
      <w:r>
        <w:rPr>
          <w:b/>
        </w:rPr>
        <w:t xml:space="preserve">A1–A3</w:t>
      </w:r>
      <w:r>
        <w:t xml:space="preserve"> </w:t>
      </w:r>
      <w:r>
        <w:t xml:space="preserve">are almost always reported together (the "cradle-to-gate" product stage) because EPDs declare them as a bundle.</w:t>
      </w:r>
    </w:p>
    <w:p>
      <w:pPr>
        <w:pStyle w:val="BodyText"/>
      </w:pPr>
      <w:r>
        <w:rPr>
          <w:b/>
        </w:rPr>
        <w:t xml:space="preserve">Modules in scope for this product (bolded above): A1–A3, A4, A5, B6, C1–C4.</w:t>
      </w:r>
      <w:r>
        <w:t xml:space="preserve"> </w:t>
      </w:r>
      <w:r>
        <w:t xml:space="preserve">Modules B1–B5, B7, and D are out of MVP scope (see Non-Goals).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Xf1697e28587a1b8829ecc3d5010c1accd2942dd"/>
      <w:r>
        <w:t xml:space="preserve">4. Goals</w:t>
      </w:r>
      <w:bookmarkEnd w:id="24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Enable a credible early-stage carbon comparison.</w:t>
      </w:r>
      <w:r>
        <w:t xml:space="preserve"> </w:t>
      </w:r>
      <w:r>
        <w:t xml:space="preserve">A user can model two design options and see the GWP delta by module and element in a single session (target: full comparison in &lt; 15 minutes for a 20-line bill of quantities).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Make every result traceable.</w:t>
      </w:r>
      <w:r>
        <w:t xml:space="preserve"> </w:t>
      </w:r>
      <w:r>
        <w:t xml:space="preserve">100% of reported GWP values link back to a named data source (EPD or database record) and a named EN 15978 module — no "black box" totals.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Cover whole-life carbon, not just embodied.</w:t>
      </w:r>
      <w:r>
        <w:t xml:space="preserve"> </w:t>
      </w:r>
      <w:r>
        <w:t xml:space="preserve">Report embodied (A, C)</w:t>
      </w:r>
      <w:r>
        <w:t xml:space="preserve"> </w:t>
      </w:r>
      <w:r>
        <w:rPr>
          <w:i/>
        </w:rPr>
        <w:t xml:space="preserve">and</w:t>
      </w:r>
      <w:r>
        <w:t xml:space="preserve"> </w:t>
      </w:r>
      <w:r>
        <w:t xml:space="preserve">operational energy (B6) so totals reflect the dominant lifecycle drivers for the chosen study period.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Reduce dependence on specialist tooling for screening.</w:t>
      </w:r>
      <w:r>
        <w:t xml:space="preserve"> </w:t>
      </w:r>
      <w:r>
        <w:t xml:space="preserve">Give non-specialists a defensible first-pass number without a full BIM model or a consultant.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Produce a shareable, standard-aligned output.</w:t>
      </w:r>
      <w:r>
        <w:t xml:space="preserve"> </w:t>
      </w:r>
      <w:r>
        <w:t xml:space="preserve">Export a results summary (CSV + PDF/HTML) structured by EN 15978 module suitable for a design review.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X9891ec35b0dc2a7f481b66d0503d5aa71397588"/>
      <w:r>
        <w:t xml:space="preserve">5. Non-goals</w:t>
      </w:r>
      <w:bookmarkEnd w:id="25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Not a certified/compliance LCA tool (v1).</w:t>
      </w:r>
      <w:r>
        <w:t xml:space="preserve"> </w:t>
      </w:r>
      <w:r>
        <w:t xml:space="preserve">Output is a screening estimate for decision support, not a verified EN 15978 assessment for green-building certification (e.g. LEED, BREEAM) or regulatory filing.</w:t>
      </w:r>
      <w:r>
        <w:t xml:space="preserve"> </w:t>
      </w:r>
      <w:r>
        <w:rPr>
          <w:i/>
        </w:rPr>
        <w:t xml:space="preserve">Why: verification and audited datasets are a large separate effort; early-design screening delivers most of the value first.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No modules B1–B5, B7, or D in v1.</w:t>
      </w:r>
      <w:r>
        <w:t xml:space="preserve"> </w:t>
      </w:r>
      <w:r>
        <w:t xml:space="preserve">Maintenance, replacement, refurbishment, operational water, and end-of-life recovery credits are excluded.</w:t>
      </w:r>
      <w:r>
        <w:t xml:space="preserve"> </w:t>
      </w:r>
      <w:r>
        <w:rPr>
          <w:i/>
        </w:rPr>
        <w:t xml:space="preserve">Why: they require service-life and scenario data rarely available at concept stage; A/B6/C capture the largest share of whole-life carbon for most buildings.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No BIM/IFC import in v1.</w:t>
      </w:r>
      <w:r>
        <w:t xml:space="preserve"> </w:t>
      </w:r>
      <w:r>
        <w:t xml:space="preserve">Input is manual or CSV upload, not a parsed Revit/IFC model.</w:t>
      </w:r>
      <w:r>
        <w:t xml:space="preserve"> </w:t>
      </w:r>
      <w:r>
        <w:rPr>
          <w:i/>
        </w:rPr>
        <w:t xml:space="preserve">Why: robust BIM parsing is its own engineering track; the early-design user often has no model yet.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Not a cost estimator.</w:t>
      </w:r>
      <w:r>
        <w:t xml:space="preserve"> </w:t>
      </w:r>
      <w:r>
        <w:t xml:space="preserve">Carbon only, no $ / embodied-cost coupling.</w:t>
      </w:r>
      <w:r>
        <w:t xml:space="preserve"> </w:t>
      </w:r>
      <w:r>
        <w:rPr>
          <w:i/>
        </w:rPr>
        <w:t xml:space="preserve">Why: keeps the data model and scope focused.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No multi-user accounts / collaboration in v1.</w:t>
      </w:r>
      <w:r>
        <w:t xml:space="preserve"> </w:t>
      </w:r>
      <w:r>
        <w:t xml:space="preserve">Single-session, single-user.</w:t>
      </w:r>
      <w:r>
        <w:t xml:space="preserve"> </w:t>
      </w:r>
      <w:r>
        <w:rPr>
          <w:i/>
        </w:rPr>
        <w:t xml:space="preserve">Why: avoids backend/auth complexity until the calculation core is proven.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Xc5b9b8a09133497db3ddf0d8aa1edfe263c9f76"/>
      <w:r>
        <w:t xml:space="preserve">6. Target users &amp; personas</w:t>
      </w:r>
      <w:bookmarkEnd w:id="2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Need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Sophistication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Asha — Design architect</w:t>
            </w:r>
          </w:p>
        </w:tc>
        <w:tc>
          <w:p>
            <w:pPr>
              <w:pStyle w:val="Compact"/>
              <w:jc w:val="left"/>
            </w:pPr>
            <w:r>
              <w:t xml:space="preserve">Concept/schematic architect</w:t>
            </w:r>
          </w:p>
        </w:tc>
        <w:tc>
          <w:p>
            <w:pPr>
              <w:pStyle w:val="Compact"/>
              <w:jc w:val="left"/>
            </w:pPr>
            <w:r>
              <w:t xml:space="preserve">Quick "which option is greener" answers during design</w:t>
            </w:r>
          </w:p>
        </w:tc>
        <w:tc>
          <w:p>
            <w:pPr>
              <w:pStyle w:val="Compact"/>
              <w:jc w:val="left"/>
            </w:pPr>
            <w:r>
              <w:t xml:space="preserve">Low LCA knowledge; high design context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Ravi — Structural / sustainability engineer</w:t>
            </w:r>
          </w:p>
        </w:tc>
        <w:tc>
          <w:p>
            <w:pPr>
              <w:pStyle w:val="Compact"/>
              <w:jc w:val="left"/>
            </w:pPr>
            <w:r>
              <w:t xml:space="preserve">Engineer or in-house sustainability lead</w:t>
            </w:r>
          </w:p>
        </w:tc>
        <w:tc>
          <w:p>
            <w:pPr>
              <w:pStyle w:val="Compact"/>
              <w:jc w:val="left"/>
            </w:pPr>
            <w:r>
              <w:t xml:space="preserve">Defensible early numbers, module-level breakdown, sensitivity to material choice</w:t>
            </w:r>
          </w:p>
        </w:tc>
        <w:tc>
          <w:p>
            <w:pPr>
              <w:pStyle w:val="Compact"/>
              <w:jc w:val="left"/>
            </w:pPr>
            <w:r>
              <w:t xml:space="preserve">Medium-high; understands EPDs and modules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Maya — Sustainability consultant</w:t>
            </w:r>
          </w:p>
        </w:tc>
        <w:tc>
          <w:p>
            <w:pPr>
              <w:pStyle w:val="Compact"/>
              <w:jc w:val="left"/>
            </w:pPr>
            <w:r>
              <w:t xml:space="preserve">External consultant doing rapid screening before a full LCA</w:t>
            </w:r>
          </w:p>
        </w:tc>
        <w:tc>
          <w:p>
            <w:pPr>
              <w:pStyle w:val="Compact"/>
              <w:jc w:val="left"/>
            </w:pPr>
            <w:r>
              <w:t xml:space="preserve">Fast triage, traceable sources, exportable summary</w:t>
            </w:r>
          </w:p>
        </w:tc>
        <w:tc>
          <w:p>
            <w:pPr>
              <w:pStyle w:val="Compact"/>
              <w:jc w:val="left"/>
            </w:pPr>
            <w:r>
              <w:t xml:space="preserve">High; will scrutinise data provenance</w:t>
            </w:r>
          </w:p>
        </w:tc>
      </w:tr>
    </w:tbl>
    <w:p>
      <w:pPr>
        <w:pStyle w:val="BodyText"/>
      </w:pPr>
      <w:r>
        <w:t xml:space="preserve">Primary persona for v1:</w:t>
      </w:r>
      <w:r>
        <w:t xml:space="preserve"> </w:t>
      </w:r>
      <w:r>
        <w:rPr>
          <w:b/>
        </w:rPr>
        <w:t xml:space="preserve">Ravi</w:t>
      </w:r>
      <w:r>
        <w:t xml:space="preserve"> </w:t>
      </w:r>
      <w:r>
        <w:t xml:space="preserve">(enough domain literacy to value module-level transparency, enough volume of decisions to need speed). Asha drives the UX simplicity bar; Maya drives the traceability bar.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Xfb39c06a9cbad263f362a945ff0c123aefcc753"/>
      <w:r>
        <w:t xml:space="preserve">7. User stories</w:t>
      </w:r>
      <w:bookmarkEnd w:id="27"/>
    </w:p>
    <w:p>
      <w:pPr>
        <w:pStyle w:val="FirstParagraph"/>
      </w:pPr>
      <w:r>
        <w:t xml:space="preserve">Grouped by persona, ordered by priority within group.</w:t>
      </w:r>
    </w:p>
    <w:p>
      <w:pPr>
        <w:pStyle w:val="BodyText"/>
      </w:pPr>
      <w:r>
        <w:rPr>
          <w:b/>
        </w:rPr>
        <w:t xml:space="preserve">Project setup</w:t>
      </w:r>
    </w:p>
    <w:p>
      <w:pPr>
        <w:numPr>
          <w:ilvl w:val="0"/>
          <w:numId w:val="1003"/>
        </w:numPr>
        <w:pStyle w:val="Compact"/>
      </w:pPr>
      <w:r>
        <w:t xml:space="preserve">As an engineer, I want to create a project with a name, gross floor area, study period (years), and location so that operational and transport calculations have the right basis.</w:t>
      </w:r>
    </w:p>
    <w:p>
      <w:pPr>
        <w:numPr>
          <w:ilvl w:val="0"/>
          <w:numId w:val="1003"/>
        </w:numPr>
        <w:pStyle w:val="Compact"/>
      </w:pPr>
      <w:r>
        <w:t xml:space="preserve">As an architect, I want to start from a template (e.g. "concrete frame office") so that I am not facing a blank sheet.</w:t>
      </w:r>
    </w:p>
    <w:p>
      <w:pPr>
        <w:pStyle w:val="FirstParagraph"/>
      </w:pPr>
      <w:r>
        <w:rPr>
          <w:b/>
        </w:rPr>
        <w:t xml:space="preserve">Inventory entry</w:t>
      </w:r>
    </w:p>
    <w:p>
      <w:pPr>
        <w:numPr>
          <w:ilvl w:val="0"/>
          <w:numId w:val="1004"/>
        </w:numPr>
        <w:pStyle w:val="Compact"/>
      </w:pPr>
      <w:r>
        <w:t xml:space="preserve">As an engineer, I want to add building elements (e.g. substructure, frame, façade) and assign materials with quantities so that the model mirrors how I think about the building.</w:t>
      </w:r>
    </w:p>
    <w:p>
      <w:pPr>
        <w:numPr>
          <w:ilvl w:val="0"/>
          <w:numId w:val="1004"/>
        </w:numPr>
        <w:pStyle w:val="Compact"/>
      </w:pPr>
      <w:r>
        <w:t xml:space="preserve">As a user, I want to upload a bill of quantities as CSV so that I do not retype an existing take-off.</w:t>
      </w:r>
    </w:p>
    <w:p>
      <w:pPr>
        <w:numPr>
          <w:ilvl w:val="0"/>
          <w:numId w:val="1004"/>
        </w:numPr>
        <w:pStyle w:val="Compact"/>
      </w:pPr>
      <w:r>
        <w:t xml:space="preserve">As a user, I want to enter a quantity in a unit I have (kg, m³, m²) and have the app reconcile it with the EPD's declared unit so that I am not doing manual unit math.</w:t>
      </w:r>
    </w:p>
    <w:p>
      <w:pPr>
        <w:pStyle w:val="FirstParagraph"/>
      </w:pPr>
      <w:r>
        <w:rPr>
          <w:b/>
        </w:rPr>
        <w:t xml:space="preserve">Emission factors</w:t>
      </w:r>
    </w:p>
    <w:p>
      <w:pPr>
        <w:numPr>
          <w:ilvl w:val="0"/>
          <w:numId w:val="1005"/>
        </w:numPr>
        <w:pStyle w:val="Compact"/>
      </w:pPr>
      <w:r>
        <w:t xml:space="preserve">As a consultant, I want to search a connected EPD database for a material and pick a specific EPD so that my factor is traceable to a real declaration.</w:t>
      </w:r>
    </w:p>
    <w:p>
      <w:pPr>
        <w:numPr>
          <w:ilvl w:val="0"/>
          <w:numId w:val="1005"/>
        </w:numPr>
        <w:pStyle w:val="Compact"/>
      </w:pPr>
      <w:r>
        <w:t xml:space="preserve">As an engineer, I want a sensible generic/default factor when no specific EPD is selected so that I can still get a first number, clearly flagged as generic.</w:t>
      </w:r>
    </w:p>
    <w:p>
      <w:pPr>
        <w:numPr>
          <w:ilvl w:val="0"/>
          <w:numId w:val="1005"/>
        </w:numPr>
        <w:pStyle w:val="Compact"/>
      </w:pPr>
      <w:r>
        <w:t xml:space="preserve">As a user, I want to override any factor manually and record a note/source so that I can use a value from a supplier datasheet.</w:t>
      </w:r>
    </w:p>
    <w:p>
      <w:pPr>
        <w:pStyle w:val="FirstParagraph"/>
      </w:pPr>
      <w:r>
        <w:rPr>
          <w:b/>
        </w:rPr>
        <w:t xml:space="preserve">Calculation &amp; results</w:t>
      </w:r>
    </w:p>
    <w:p>
      <w:pPr>
        <w:numPr>
          <w:ilvl w:val="0"/>
          <w:numId w:val="1006"/>
        </w:numPr>
        <w:pStyle w:val="Compact"/>
      </w:pPr>
      <w:r>
        <w:t xml:space="preserve">As an engineer, I want GWP broken down by EN 15978 module and by element so that I can see where the carbon is.</w:t>
      </w:r>
    </w:p>
    <w:p>
      <w:pPr>
        <w:numPr>
          <w:ilvl w:val="0"/>
          <w:numId w:val="1006"/>
        </w:numPr>
        <w:pStyle w:val="Compact"/>
      </w:pPr>
      <w:r>
        <w:t xml:space="preserve">As an architect, I want to duplicate a project as "Option B", change a few materials, and see the delta so that I can compare designs.</w:t>
      </w:r>
    </w:p>
    <w:p>
      <w:pPr>
        <w:numPr>
          <w:ilvl w:val="0"/>
          <w:numId w:val="1006"/>
        </w:numPr>
        <w:pStyle w:val="Compact"/>
      </w:pPr>
      <w:r>
        <w:t xml:space="preserve">As a user, I want to see which inputs are generic vs. EPD-specific so that I know how much to trust the total.</w:t>
      </w:r>
    </w:p>
    <w:p>
      <w:pPr>
        <w:pStyle w:val="FirstParagraph"/>
      </w:pPr>
      <w:r>
        <w:rPr>
          <w:b/>
        </w:rPr>
        <w:t xml:space="preserve">Export</w:t>
      </w:r>
    </w:p>
    <w:p>
      <w:pPr>
        <w:numPr>
          <w:ilvl w:val="0"/>
          <w:numId w:val="1007"/>
        </w:numPr>
        <w:pStyle w:val="Compact"/>
      </w:pPr>
      <w:r>
        <w:t xml:space="preserve">As a consultant, I want to export results as CSV and a formatted report so that I can drop them into a design review.</w:t>
      </w:r>
    </w:p>
    <w:p>
      <w:pPr>
        <w:pStyle w:val="FirstParagraph"/>
      </w:pPr>
      <w:r>
        <w:rPr>
          <w:b/>
        </w:rPr>
        <w:t xml:space="preserve">Edge / error cases</w:t>
      </w:r>
    </w:p>
    <w:p>
      <w:pPr>
        <w:numPr>
          <w:ilvl w:val="0"/>
          <w:numId w:val="1008"/>
        </w:numPr>
        <w:pStyle w:val="Compact"/>
      </w:pPr>
      <w:r>
        <w:t xml:space="preserve">As a user, when an EPD database is unreachable, I want the app to fall back to cached/generic factors and tell me clearly so that I am not blocked.</w:t>
      </w:r>
    </w:p>
    <w:p>
      <w:pPr>
        <w:numPr>
          <w:ilvl w:val="0"/>
          <w:numId w:val="1008"/>
        </w:numPr>
        <w:pStyle w:val="Compact"/>
      </w:pPr>
      <w:r>
        <w:t xml:space="preserve">As a user, when a quantity or unit is missing/invalid, I want an inline validation error so that totals are never silently wrong.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Xa9e9b703343c1e7d2f35db08996ab641355a288"/>
      <w:r>
        <w:t xml:space="preserve">8. Functional requirements</w:t>
      </w:r>
      <w:bookmarkEnd w:id="28"/>
    </w:p>
    <w:p>
      <w:pPr>
        <w:pStyle w:val="FirstParagraph"/>
      </w:pPr>
      <w:r>
        <w:t xml:space="preserve">Prioritised</w:t>
      </w:r>
      <w:r>
        <w:t xml:space="preserve"> </w:t>
      </w:r>
      <w:r>
        <w:rPr>
          <w:b/>
        </w:rPr>
        <w:t xml:space="preserve">P0 (must-have / MVP)</w:t>
      </w:r>
      <w:r>
        <w:t xml:space="preserve">,</w:t>
      </w:r>
      <w:r>
        <w:t xml:space="preserve"> </w:t>
      </w:r>
      <w:r>
        <w:rPr>
          <w:b/>
        </w:rPr>
        <w:t xml:space="preserve">P1 (fast follow)</w:t>
      </w:r>
      <w:r>
        <w:t xml:space="preserve">,</w:t>
      </w:r>
      <w:r>
        <w:t xml:space="preserve"> </w:t>
      </w:r>
      <w:r>
        <w:rPr>
          <w:b/>
        </w:rPr>
        <w:t xml:space="preserve">P2 (future, design for it)</w:t>
      </w:r>
      <w:r>
        <w:t xml:space="preserve">.</w:t>
      </w:r>
    </w:p>
    <w:p>
      <w:pPr>
        <w:pStyle w:val="Heading3"/>
      </w:pPr>
      <w:bookmarkStart w:id="29" w:name="X492bbc6b488028a0d5f57fafa3e169950a19adc"/>
      <w:r>
        <w:t xml:space="preserve">8.1 Project &amp; inventory management</w:t>
      </w:r>
      <w:bookmarkEnd w:id="29"/>
    </w:p>
    <w:p>
      <w:pPr>
        <w:pStyle w:val="FirstParagraph"/>
      </w:pPr>
      <w:r>
        <w:rPr>
          <w:b/>
        </w:rPr>
        <w:t xml:space="preserve">P0</w:t>
      </w:r>
    </w:p>
    <w:p>
      <w:pPr>
        <w:numPr>
          <w:ilvl w:val="0"/>
          <w:numId w:val="1009"/>
        </w:numPr>
        <w:pStyle w:val="Compact"/>
      </w:pPr>
      <w:r>
        <w:t xml:space="preserve">Create / edit / delete a project with: name, building type, gross floor area (m²), study period (years, default 60), location (country/region for energy grid + transport defaults).</w:t>
      </w:r>
    </w:p>
    <w:p>
      <w:pPr>
        <w:numPr>
          <w:ilvl w:val="0"/>
          <w:numId w:val="1009"/>
        </w:numPr>
        <w:pStyle w:val="Compact"/>
      </w:pPr>
      <w:r>
        <w:t xml:space="preserve">Add elements grouped by a standard element taxonomy (substructure, superstructure/frame, envelope, internal finishes, services — a simplified Uniclass/RICS-style grouping).</w:t>
      </w:r>
    </w:p>
    <w:p>
      <w:pPr>
        <w:numPr>
          <w:ilvl w:val="0"/>
          <w:numId w:val="1009"/>
        </w:numPr>
        <w:pStyle w:val="Compact"/>
      </w:pPr>
      <w:r>
        <w:t xml:space="preserve">Add line items: material, quantity, unit (kg / m³ / m² / each), optional density (to convert volume↔mass), optional transport distance (A4), optional wastage factor (A5).</w:t>
      </w:r>
    </w:p>
    <w:p>
      <w:pPr>
        <w:numPr>
          <w:ilvl w:val="0"/>
          <w:numId w:val="1009"/>
        </w:numPr>
        <w:pStyle w:val="Compact"/>
      </w:pPr>
      <w:r>
        <w:t xml:space="preserve">Duplicate a project to create design options for comparison.</w:t>
      </w:r>
    </w:p>
    <w:p>
      <w:pPr>
        <w:pStyle w:val="FirstParagraph"/>
      </w:pPr>
      <w:r>
        <w:rPr>
          <w:i/>
        </w:rPr>
        <w:t xml:space="preserve">Acceptance criteria</w:t>
      </w:r>
    </w:p>
    <w:p>
      <w:pPr>
        <w:numPr>
          <w:ilvl w:val="0"/>
          <w:numId w:val="1010"/>
        </w:numPr>
        <w:pStyle w:val="Compact"/>
      </w:pPr>
      <w:r>
        <w:t xml:space="preserve">☐ Given a project with ≥1 valid line item, when the user requests results, then a total GWP and per-module breakdown are produced.</w:t>
      </w:r>
    </w:p>
    <w:p>
      <w:pPr>
        <w:numPr>
          <w:ilvl w:val="0"/>
          <w:numId w:val="1010"/>
        </w:numPr>
        <w:pStyle w:val="Compact"/>
      </w:pPr>
      <w:r>
        <w:t xml:space="preserve">☐ Given a line item in m³ and an EPD declared per kg, when a density is provided, then the app converts correctly and shows the converted mass.</w:t>
      </w:r>
    </w:p>
    <w:p>
      <w:pPr>
        <w:numPr>
          <w:ilvl w:val="0"/>
          <w:numId w:val="1010"/>
        </w:numPr>
        <w:pStyle w:val="Compact"/>
      </w:pPr>
      <w:r>
        <w:t xml:space="preserve">☐ Given a missing required field (quantity or unit), then the line item is flagged and excluded from totals with a visible warning.</w:t>
      </w:r>
    </w:p>
    <w:p>
      <w:pPr>
        <w:pStyle w:val="FirstParagraph"/>
      </w:pPr>
      <w:r>
        <w:rPr>
          <w:b/>
        </w:rPr>
        <w:t xml:space="preserve">P1</w:t>
      </w:r>
    </w:p>
    <w:p>
      <w:pPr>
        <w:numPr>
          <w:ilvl w:val="0"/>
          <w:numId w:val="1011"/>
        </w:numPr>
        <w:pStyle w:val="Compact"/>
      </w:pPr>
      <w:r>
        <w:t xml:space="preserve">CSV bill-of-quantities upload with column mapping.</w:t>
      </w:r>
    </w:p>
    <w:p>
      <w:pPr>
        <w:numPr>
          <w:ilvl w:val="0"/>
          <w:numId w:val="1011"/>
        </w:numPr>
        <w:pStyle w:val="Compact"/>
      </w:pPr>
      <w:r>
        <w:t xml:space="preserve">Project templates (pre-filled archetypes).</w:t>
      </w:r>
    </w:p>
    <w:p>
      <w:pPr>
        <w:pStyle w:val="FirstParagraph"/>
      </w:pPr>
      <w:r>
        <w:rPr>
          <w:b/>
        </w:rPr>
        <w:t xml:space="preserve">P2</w:t>
      </w:r>
    </w:p>
    <w:p>
      <w:pPr>
        <w:numPr>
          <w:ilvl w:val="0"/>
          <w:numId w:val="1012"/>
        </w:numPr>
        <w:pStyle w:val="Compact"/>
      </w:pPr>
      <w:r>
        <w:t xml:space="preserve">IFC/BIM quantity import.</w:t>
      </w:r>
    </w:p>
    <w:p>
      <w:pPr>
        <w:numPr>
          <w:ilvl w:val="0"/>
          <w:numId w:val="1012"/>
        </w:numPr>
        <w:pStyle w:val="Compact"/>
      </w:pPr>
      <w:r>
        <w:t xml:space="preserve">Element-level service life for B4 replacement modelling.</w:t>
      </w:r>
    </w:p>
    <w:p>
      <w:pPr>
        <w:pStyle w:val="Heading3"/>
      </w:pPr>
      <w:bookmarkStart w:id="30" w:name="Xfd57a1caf750f31050afe73163f400233431f27"/>
      <w:r>
        <w:t xml:space="preserve">8.2 Emission-factor data (EPD integration)</w:t>
      </w:r>
      <w:bookmarkEnd w:id="30"/>
    </w:p>
    <w:p>
      <w:pPr>
        <w:pStyle w:val="FirstParagraph"/>
      </w:pPr>
      <w:r>
        <w:rPr>
          <w:b/>
        </w:rPr>
        <w:t xml:space="preserve">P0</w:t>
      </w:r>
    </w:p>
    <w:p>
      <w:pPr>
        <w:numPr>
          <w:ilvl w:val="0"/>
          <w:numId w:val="1013"/>
        </w:numPr>
        <w:pStyle w:val="Compact"/>
      </w:pPr>
      <w:r>
        <w:t xml:space="preserve">Integrate at least one open EPD data source (see §11). Search by material name; display candidate EPDs with: declared unit, GWP A1–A3, geography, validity date, source.</w:t>
      </w:r>
    </w:p>
    <w:p>
      <w:pPr>
        <w:numPr>
          <w:ilvl w:val="0"/>
          <w:numId w:val="1013"/>
        </w:numPr>
        <w:pStyle w:val="Compact"/>
      </w:pPr>
      <w:r>
        <w:t xml:space="preserve">Allow selection of a specific EPD record; persist the chosen record's identifier with the line item.</w:t>
      </w:r>
    </w:p>
    <w:p>
      <w:pPr>
        <w:numPr>
          <w:ilvl w:val="0"/>
          <w:numId w:val="1013"/>
        </w:numPr>
        <w:pStyle w:val="Compact"/>
      </w:pPr>
      <w:r>
        <w:t xml:space="preserve">Provide a bundled set of</w:t>
      </w:r>
      <w:r>
        <w:t xml:space="preserve"> </w:t>
      </w:r>
      <w:r>
        <w:rPr>
          <w:b/>
        </w:rPr>
        <w:t xml:space="preserve">generic/default factors</w:t>
      </w:r>
      <w:r>
        <w:t xml:space="preserve"> </w:t>
      </w:r>
      <w:r>
        <w:t xml:space="preserve">for common materials so the app works offline / before a database pick, clearly labelled "generic".</w:t>
      </w:r>
    </w:p>
    <w:p>
      <w:pPr>
        <w:numPr>
          <w:ilvl w:val="0"/>
          <w:numId w:val="1013"/>
        </w:numPr>
        <w:pStyle w:val="Compact"/>
      </w:pPr>
      <w:r>
        <w:t xml:space="preserve">Manual factor override with a free-text source note.</w:t>
      </w:r>
    </w:p>
    <w:p>
      <w:pPr>
        <w:pStyle w:val="FirstParagraph"/>
      </w:pPr>
      <w:r>
        <w:rPr>
          <w:i/>
        </w:rPr>
        <w:t xml:space="preserve">Acceptance criteria</w:t>
      </w:r>
    </w:p>
    <w:p>
      <w:pPr>
        <w:numPr>
          <w:ilvl w:val="0"/>
          <w:numId w:val="1014"/>
        </w:numPr>
        <w:pStyle w:val="Compact"/>
      </w:pPr>
      <w:r>
        <w:t xml:space="preserve">☐ Given a material search, when the database returns results, then each result shows GWP value, unit, and a source attribution.</w:t>
      </w:r>
    </w:p>
    <w:p>
      <w:pPr>
        <w:numPr>
          <w:ilvl w:val="0"/>
          <w:numId w:val="1014"/>
        </w:numPr>
        <w:pStyle w:val="Compact"/>
      </w:pPr>
      <w:r>
        <w:t xml:space="preserve">☐ Given an EPD is selected, when results are computed, then the line item's factor, unit, and source match the selected EPD.</w:t>
      </w:r>
    </w:p>
    <w:p>
      <w:pPr>
        <w:numPr>
          <w:ilvl w:val="0"/>
          <w:numId w:val="1014"/>
        </w:numPr>
        <w:pStyle w:val="Compact"/>
      </w:pPr>
      <w:r>
        <w:t xml:space="preserve">☐ Given the database is unavailable, then the app uses cached/generic factors and shows a non-blocking "using generic data" notice.</w:t>
      </w:r>
    </w:p>
    <w:p>
      <w:pPr>
        <w:numPr>
          <w:ilvl w:val="0"/>
          <w:numId w:val="1014"/>
        </w:numPr>
        <w:pStyle w:val="Compact"/>
      </w:pPr>
      <w:r>
        <w:t xml:space="preserve">☐ Given a manual override, then the override value and note are used and visibly marked as user-supplied.</w:t>
      </w:r>
    </w:p>
    <w:p>
      <w:pPr>
        <w:pStyle w:val="FirstParagraph"/>
      </w:pPr>
      <w:r>
        <w:rPr>
          <w:b/>
        </w:rPr>
        <w:t xml:space="preserve">P1</w:t>
      </w:r>
    </w:p>
    <w:p>
      <w:pPr>
        <w:numPr>
          <w:ilvl w:val="0"/>
          <w:numId w:val="1015"/>
        </w:numPr>
        <w:pStyle w:val="Compact"/>
      </w:pPr>
      <w:r>
        <w:t xml:space="preserve">Cache EPD lookups locally to reduce API calls and enable offline reuse.</w:t>
      </w:r>
    </w:p>
    <w:p>
      <w:pPr>
        <w:numPr>
          <w:ilvl w:val="0"/>
          <w:numId w:val="1015"/>
        </w:numPr>
        <w:pStyle w:val="Compact"/>
      </w:pPr>
      <w:r>
        <w:t xml:space="preserve">Multiple data sources with source preference order and de-duplication.</w:t>
      </w:r>
    </w:p>
    <w:p>
      <w:pPr>
        <w:pStyle w:val="FirstParagraph"/>
      </w:pPr>
      <w:r>
        <w:rPr>
          <w:b/>
        </w:rPr>
        <w:t xml:space="preserve">P2</w:t>
      </w:r>
    </w:p>
    <w:p>
      <w:pPr>
        <w:numPr>
          <w:ilvl w:val="0"/>
          <w:numId w:val="1016"/>
        </w:numPr>
        <w:pStyle w:val="Compact"/>
      </w:pPr>
      <w:r>
        <w:t xml:space="preserve">Background refresh of cached EPDs on validity expiry; alert on expired EPDs.</w:t>
      </w:r>
    </w:p>
    <w:p>
      <w:pPr>
        <w:pStyle w:val="Heading3"/>
      </w:pPr>
      <w:bookmarkStart w:id="31" w:name="Xac390dec98385efe48aae4b5f75af9e60b335b4"/>
      <w:r>
        <w:t xml:space="preserve">8.3 Calculation engine</w:t>
      </w:r>
      <w:bookmarkEnd w:id="31"/>
    </w:p>
    <w:p>
      <w:pPr>
        <w:pStyle w:val="FirstParagraph"/>
      </w:pPr>
      <w:r>
        <w:rPr>
          <w:b/>
        </w:rPr>
        <w:t xml:space="preserve">P0</w:t>
      </w:r>
      <w:r>
        <w:t xml:space="preserve"> </w:t>
      </w:r>
      <w:r>
        <w:t xml:space="preserve">— Compute GWP per module per line item, aggregate to element and project level. Modules in scope: A1–A3, A4, A5, B6, C1–C4. See §10 for the methodology and formulas.</w:t>
      </w:r>
    </w:p>
    <w:p>
      <w:pPr>
        <w:pStyle w:val="BodyText"/>
      </w:pPr>
      <w:r>
        <w:rPr>
          <w:i/>
        </w:rPr>
        <w:t xml:space="preserve">Acceptance criteria</w:t>
      </w:r>
    </w:p>
    <w:p>
      <w:pPr>
        <w:numPr>
          <w:ilvl w:val="0"/>
          <w:numId w:val="1017"/>
        </w:numPr>
        <w:pStyle w:val="Compact"/>
      </w:pPr>
      <w:r>
        <w:t xml:space="preserve">☐ Module math matches the formulas in §10 for a documented worked example (unit-tested).</w:t>
      </w:r>
    </w:p>
    <w:p>
      <w:pPr>
        <w:numPr>
          <w:ilvl w:val="0"/>
          <w:numId w:val="1017"/>
        </w:numPr>
        <w:pStyle w:val="Compact"/>
      </w:pPr>
      <w:r>
        <w:t xml:space="preserve">☐ Changing a quantity, factor, distance, or wastage value updates totals deterministically.</w:t>
      </w:r>
    </w:p>
    <w:p>
      <w:pPr>
        <w:numPr>
          <w:ilvl w:val="0"/>
          <w:numId w:val="1017"/>
        </w:numPr>
        <w:pStyle w:val="Compact"/>
      </w:pPr>
      <w:r>
        <w:t xml:space="preserve">☐ Totals are reproducible: identical inputs always yield identical outputs (no hidden randomness; pinned factor data).</w:t>
      </w:r>
    </w:p>
    <w:p>
      <w:pPr>
        <w:pStyle w:val="FirstParagraph"/>
      </w:pPr>
      <w:r>
        <w:rPr>
          <w:b/>
        </w:rPr>
        <w:t xml:space="preserve">P1</w:t>
      </w:r>
      <w:r>
        <w:t xml:space="preserve"> </w:t>
      </w:r>
      <w:r>
        <w:t xml:space="preserve">— Sensitivity view: show contribution % by element/material; highlight top carbon drivers.</w:t>
      </w:r>
    </w:p>
    <w:p>
      <w:pPr>
        <w:pStyle w:val="BodyText"/>
      </w:pPr>
      <w:r>
        <w:rPr>
          <w:b/>
        </w:rPr>
        <w:t xml:space="preserve">P2</w:t>
      </w:r>
      <w:r>
        <w:t xml:space="preserve"> </w:t>
      </w:r>
      <w:r>
        <w:t xml:space="preserve">— Uncertainty ranges (e.g. low/expected/high factor bands); Monte Carlo on factor uncertainty.</w:t>
      </w:r>
    </w:p>
    <w:p>
      <w:pPr>
        <w:pStyle w:val="Heading3"/>
      </w:pPr>
      <w:bookmarkStart w:id="32" w:name="Xf0c4a5449a80d0b04701882425bed1714622c68"/>
      <w:r>
        <w:t xml:space="preserve">8.4 Results, comparison &amp; export</w:t>
      </w:r>
      <w:bookmarkEnd w:id="32"/>
    </w:p>
    <w:p>
      <w:pPr>
        <w:pStyle w:val="FirstParagraph"/>
      </w:pPr>
      <w:r>
        <w:rPr>
          <w:b/>
        </w:rPr>
        <w:t xml:space="preserve">P0</w:t>
      </w:r>
    </w:p>
    <w:p>
      <w:pPr>
        <w:numPr>
          <w:ilvl w:val="0"/>
          <w:numId w:val="1018"/>
        </w:numPr>
        <w:pStyle w:val="Compact"/>
      </w:pPr>
      <w:r>
        <w:t xml:space="preserve">Results dashboard: total GWP (kg CO₂e and kg CO₂e/m²), breakdown by module (stacked bar), breakdown by element (bar/table), embodied vs operational split.</w:t>
      </w:r>
    </w:p>
    <w:p>
      <w:pPr>
        <w:numPr>
          <w:ilvl w:val="0"/>
          <w:numId w:val="1018"/>
        </w:numPr>
        <w:pStyle w:val="Compact"/>
      </w:pPr>
      <w:r>
        <w:t xml:space="preserve">Side-by-side comparison of two projects/options with absolute and % delta.</w:t>
      </w:r>
    </w:p>
    <w:p>
      <w:pPr>
        <w:numPr>
          <w:ilvl w:val="0"/>
          <w:numId w:val="1018"/>
        </w:numPr>
        <w:pStyle w:val="Compact"/>
      </w:pPr>
      <w:r>
        <w:t xml:space="preserve">Export results to CSV; export a formatted summary (HTML or PDF) structured by module.</w:t>
      </w:r>
    </w:p>
    <w:p>
      <w:pPr>
        <w:pStyle w:val="FirstParagraph"/>
      </w:pPr>
      <w:r>
        <w:rPr>
          <w:i/>
        </w:rPr>
        <w:t xml:space="preserve">Acceptance criteria</w:t>
      </w:r>
    </w:p>
    <w:p>
      <w:pPr>
        <w:numPr>
          <w:ilvl w:val="0"/>
          <w:numId w:val="1019"/>
        </w:numPr>
        <w:pStyle w:val="Compact"/>
      </w:pPr>
      <w:r>
        <w:t xml:space="preserve">☐ Given results exist, then the dashboard shows module and element breakdowns whose parts sum to the displayed total (within rounding).</w:t>
      </w:r>
    </w:p>
    <w:p>
      <w:pPr>
        <w:numPr>
          <w:ilvl w:val="0"/>
          <w:numId w:val="1019"/>
        </w:numPr>
        <w:pStyle w:val="Compact"/>
      </w:pPr>
      <w:r>
        <w:t xml:space="preserve">☐ Given two options, then comparison shows per-module deltas and an overall delta.</w:t>
      </w:r>
    </w:p>
    <w:p>
      <w:pPr>
        <w:numPr>
          <w:ilvl w:val="0"/>
          <w:numId w:val="1019"/>
        </w:numPr>
        <w:pStyle w:val="Compact"/>
      </w:pPr>
      <w:r>
        <w:t xml:space="preserve">☐ Given an export request, then the CSV contains every line item with material, quantity, unit, factor, source, module GWPs, and totals.</w:t>
      </w:r>
    </w:p>
    <w:p>
      <w:pPr>
        <w:pStyle w:val="FirstParagraph"/>
      </w:pPr>
      <w:r>
        <w:rPr>
          <w:b/>
        </w:rPr>
        <w:t xml:space="preserve">P1</w:t>
      </w:r>
      <w:r>
        <w:t xml:space="preserve"> </w:t>
      </w:r>
      <w:r>
        <w:t xml:space="preserve">— Save/load projects to disk (JSON); shareable export bundle.</w:t>
      </w:r>
    </w:p>
    <w:p>
      <w:pPr>
        <w:pStyle w:val="BodyText"/>
      </w:pPr>
      <w:r>
        <w:rPr>
          <w:b/>
        </w:rPr>
        <w:t xml:space="preserve">P2</w:t>
      </w:r>
      <w:r>
        <w:t xml:space="preserve"> </w:t>
      </w:r>
      <w:r>
        <w:t xml:space="preserve">— Benchmark against published GWP/m² ranges by building type (requires a vetted benchmark dataset — flagged as needing a real source).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X17526c1227c60b23f8acb6aba379792d4cbe4b3"/>
      <w:r>
        <w:t xml:space="preserve">9. Non-functional requirements</w:t>
      </w:r>
      <w:bookmarkEnd w:id="33"/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Transparency:</w:t>
      </w:r>
      <w:r>
        <w:t xml:space="preserve"> </w:t>
      </w:r>
      <w:r>
        <w:t xml:space="preserve">every displayed figure must be drillable to its inputs (quantity × factor, with module and source). This is a product principle, not a nice-to-have.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Reproducibility:</w:t>
      </w:r>
      <w:r>
        <w:t xml:space="preserve"> </w:t>
      </w:r>
      <w:r>
        <w:t xml:space="preserve">factor datasets are versioned/pinned; a result records which dataset version produced it.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Performance:</w:t>
      </w:r>
      <w:r>
        <w:t xml:space="preserve"> </w:t>
      </w:r>
      <w:r>
        <w:t xml:space="preserve">recalculation of a ≤200-line project in &lt; 1 s after an input change; EPD search response surfaced in &lt; 3 s (network-dependent; show a spinner and allow generic fallback).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Resilience:</w:t>
      </w:r>
      <w:r>
        <w:t xml:space="preserve"> </w:t>
      </w:r>
      <w:r>
        <w:t xml:space="preserve">no external dependency may be a single point of failure for producing</w:t>
      </w:r>
      <w:r>
        <w:t xml:space="preserve"> </w:t>
      </w:r>
      <w:r>
        <w:rPr>
          <w:i/>
        </w:rPr>
        <w:t xml:space="preserve">a</w:t>
      </w:r>
      <w:r>
        <w:t xml:space="preserve"> </w:t>
      </w:r>
      <w:r>
        <w:t xml:space="preserve">number — generic factors always allow a fallback estimate.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Accuracy honesty:</w:t>
      </w:r>
      <w:r>
        <w:t xml:space="preserve"> </w:t>
      </w:r>
      <w:r>
        <w:t xml:space="preserve">the UI must distinguish EPD-specific vs generic vs user-override factors, and must never present a generic-data estimate as if it were EPD-verified.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Portability:</w:t>
      </w:r>
      <w:r>
        <w:t xml:space="preserve"> </w:t>
      </w:r>
      <w:r>
        <w:t xml:space="preserve">runs locally with</w:t>
      </w:r>
      <w:r>
        <w:t xml:space="preserve"> </w:t>
      </w:r>
      <w:r>
        <w:rPr>
          <w:rStyle w:val="VerbatimChar"/>
        </w:rPr>
        <w:t xml:space="preserve">streamlit run</w:t>
      </w:r>
      <w:r>
        <w:t xml:space="preserve"> </w:t>
      </w:r>
      <w:r>
        <w:t xml:space="preserve">and deploys to Streamlit Community Cloud with no paid infra.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X70330073318b7e7d8e4b060d19c45cf7f3183ff"/>
      <w:r>
        <w:t xml:space="preserve">10. Calculation methodology</w:t>
      </w:r>
      <w:bookmarkEnd w:id="34"/>
    </w:p>
    <w:p>
      <w:pPr>
        <w:pStyle w:val="FirstParagraph"/>
      </w:pPr>
      <w:r>
        <w:t xml:space="preserve">All impacts are</w:t>
      </w:r>
      <w:r>
        <w:t xml:space="preserve"> </w:t>
      </w:r>
      <w:r>
        <w:rPr>
          <w:b/>
        </w:rPr>
        <w:t xml:space="preserve">Global Warming Potential (GWP100)</w:t>
      </w:r>
      <w:r>
        <w:t xml:space="preserve"> </w:t>
      </w:r>
      <w:r>
        <w:t xml:space="preserve">in</w:t>
      </w:r>
      <w:r>
        <w:t xml:space="preserve"> </w:t>
      </w:r>
      <w:r>
        <w:rPr>
          <w:b/>
        </w:rPr>
        <w:t xml:space="preserve">kg CO₂e</w:t>
      </w:r>
      <w:r>
        <w:t xml:space="preserve">. The general LCA relationship per line item is:</w:t>
      </w:r>
    </w:p>
    <w:p>
      <w:pPr>
        <w:pStyle w:val="SourceCode"/>
      </w:pPr>
      <w:r>
        <w:rPr>
          <w:rStyle w:val="VerbatimChar"/>
        </w:rPr>
        <w:t xml:space="preserve">module_GWP = quantity_in_declared_unit × emission_factor_for_module</w:t>
      </w:r>
    </w:p>
    <w:p>
      <w:pPr>
        <w:pStyle w:val="FirstParagraph"/>
      </w:pPr>
      <w:r>
        <w:t xml:space="preserve">Quantities are normalised to the EPD's declared unit before multiplication (mass↔volume via density; area via thickness/areal density where needed).</w:t>
      </w:r>
    </w:p>
    <w:p>
      <w:pPr>
        <w:pStyle w:val="Heading3"/>
      </w:pPr>
      <w:bookmarkStart w:id="35" w:name="a1a3--product-stage-cradle-to-gate"/>
      <w:r>
        <w:t xml:space="preserve">A1–A3 — Product stage (cradle-to-gate)</w:t>
      </w:r>
      <w:bookmarkEnd w:id="35"/>
    </w:p>
    <w:p>
      <w:pPr>
        <w:pStyle w:val="SourceCode"/>
      </w:pPr>
      <w:r>
        <w:rPr>
          <w:rStyle w:val="VerbatimChar"/>
        </w:rPr>
        <w:t xml:space="preserve">GWP_A1A3 = mass_or_declared_qty × factor_A1A3</w:t>
      </w:r>
    </w:p>
    <w:p>
      <w:pPr>
        <w:pStyle w:val="FirstParagraph"/>
      </w:pPr>
      <w:r>
        <w:rPr>
          <w:rStyle w:val="VerbatimChar"/>
        </w:rPr>
        <w:t xml:space="preserve">factor_A1A3</w:t>
      </w:r>
      <w:r>
        <w:t xml:space="preserve"> </w:t>
      </w:r>
      <w:r>
        <w:t xml:space="preserve">comes directly from the selected EPD (or generic default). This is the core embodied figure.</w:t>
      </w:r>
    </w:p>
    <w:p>
      <w:pPr>
        <w:pStyle w:val="Heading3"/>
      </w:pPr>
      <w:bookmarkStart w:id="36" w:name="a4--transport-to-site"/>
      <w:r>
        <w:t xml:space="preserve">A4 — Transport to site</w:t>
      </w:r>
      <w:bookmarkEnd w:id="36"/>
    </w:p>
    <w:p>
      <w:pPr>
        <w:pStyle w:val="SourceCode"/>
      </w:pPr>
      <w:r>
        <w:rPr>
          <w:rStyle w:val="VerbatimChar"/>
        </w:rPr>
        <w:t xml:space="preserve">GWP_A4 = mass_tonnes × distance_km × transport_emission_factor (kgCO2e per tonne-km)</w:t>
      </w:r>
    </w:p>
    <w:p>
      <w:pPr>
        <w:pStyle w:val="FirstParagraph"/>
      </w:pPr>
      <w:r>
        <w:t xml:space="preserve">Transport factor depends on mode (road/rail/sea). Provide editable defaults by mode; default distance configurable per project.</w:t>
      </w:r>
    </w:p>
    <w:p>
      <w:pPr>
        <w:pStyle w:val="Heading3"/>
      </w:pPr>
      <w:bookmarkStart w:id="37" w:name="X45f1e7f01041bf3abc7ec8faa6fd59c2e0e602c"/>
      <w:r>
        <w:t xml:space="preserve">A5 — Construction / installation (incl. wastage)</w:t>
      </w:r>
      <w:bookmarkEnd w:id="37"/>
    </w:p>
    <w:p>
      <w:pPr>
        <w:pStyle w:val="FirstParagraph"/>
      </w:pPr>
      <w:r>
        <w:t xml:space="preserve">Two components:</w:t>
      </w:r>
    </w:p>
    <w:p>
      <w:pPr>
        <w:pStyle w:val="SourceCode"/>
      </w:pPr>
      <w:r>
        <w:rPr>
          <w:rStyle w:val="VerbatimChar"/>
        </w:rPr>
        <w:t xml:space="preserve">GWP_A5_waste = GWP_A1A3 × wastage_rate            # embodied carbon of wasted material</w:t>
      </w:r>
      <w:r>
        <w:br/>
      </w:r>
      <w:r>
        <w:rPr>
          <w:rStyle w:val="VerbatimChar"/>
        </w:rPr>
        <w:t xml:space="preserve">GWP_A5_site  = (site energy / process factor)      # optional, often small at early stage</w:t>
      </w:r>
    </w:p>
    <w:p>
      <w:pPr>
        <w:pStyle w:val="FirstParagraph"/>
      </w:pPr>
      <w:r>
        <w:t xml:space="preserve">MVP models wastage (material-specific default rate, editable). Site-process energy is optional/editable, default 0 with a note.</w:t>
      </w:r>
    </w:p>
    <w:p>
      <w:pPr>
        <w:pStyle w:val="Heading3"/>
      </w:pPr>
      <w:bookmarkStart w:id="38" w:name="b6--operational-energy-use"/>
      <w:r>
        <w:t xml:space="preserve">B6 — Operational energy use</w:t>
      </w:r>
      <w:bookmarkEnd w:id="38"/>
    </w:p>
    <w:p>
      <w:pPr>
        <w:pStyle w:val="SourceCode"/>
      </w:pPr>
      <w:r>
        <w:rPr>
          <w:rStyle w:val="VerbatimChar"/>
        </w:rPr>
        <w:t xml:space="preserve">GWP_B6 = annual_energy_use (kWh/yr) × grid_emission_factor (kgCO2e/kWh) × study_period_years</w:t>
      </w:r>
    </w:p>
    <w:p>
      <w:pPr>
        <w:pStyle w:val="FirstParagraph"/>
      </w:pPr>
      <w:r>
        <w:rPr>
          <w:rStyle w:val="VerbatimChar"/>
        </w:rPr>
        <w:t xml:space="preserve">annual_energy_use</w:t>
      </w:r>
      <w:r>
        <w:t xml:space="preserve"> </w:t>
      </w:r>
      <w:r>
        <w:t xml:space="preserve">is entered directly or estimated from floor area × an editable energy-intensity (kWh/m²/yr).</w:t>
      </w:r>
      <w:r>
        <w:t xml:space="preserve"> </w:t>
      </w:r>
      <w:r>
        <w:rPr>
          <w:rStyle w:val="VerbatimChar"/>
        </w:rPr>
        <w:t xml:space="preserve">grid_emission_factor</w:t>
      </w:r>
      <w:r>
        <w:t xml:space="preserve"> </w:t>
      </w:r>
      <w:r>
        <w:t xml:space="preserve">defaults by location and is editable.</w:t>
      </w:r>
      <w:r>
        <w:t xml:space="preserve"> </w:t>
      </w:r>
      <w:r>
        <w:rPr>
          <w:b/>
        </w:rPr>
        <w:t xml:space="preserve">Grid factors fall over time and vary by country — these defaults must be sourced from an official dataset and dated (flagged; do not hard-code unsourced values).</w:t>
      </w:r>
    </w:p>
    <w:p>
      <w:pPr>
        <w:pStyle w:val="Heading3"/>
      </w:pPr>
      <w:bookmarkStart w:id="39" w:name="c1c4--end-of-life"/>
      <w:r>
        <w:t xml:space="preserve">C1–C4 — End of life</w:t>
      </w:r>
      <w:bookmarkEnd w:id="39"/>
    </w:p>
    <w:p>
      <w:pPr>
        <w:pStyle w:val="SourceCode"/>
      </w:pPr>
      <w:r>
        <w:rPr>
          <w:rStyle w:val="VerbatimChar"/>
        </w:rPr>
        <w:t xml:space="preserve">GWP_C = mass_or_declared_qty × factor_C(module)</w:t>
      </w:r>
    </w:p>
    <w:p>
      <w:pPr>
        <w:pStyle w:val="FirstParagraph"/>
      </w:pPr>
      <w:r>
        <w:t xml:space="preserve">End-of-life factors (per module C1–C4) come from the EPD where declared; otherwise generic scenario factors by material/disposal route. Where an EPD reports C as a combined value, store it against C and note the aggregation.</w:t>
      </w:r>
    </w:p>
    <w:p>
      <w:pPr>
        <w:pStyle w:val="Heading3"/>
      </w:pPr>
      <w:bookmarkStart w:id="40" w:name="aggregation"/>
      <w:r>
        <w:t xml:space="preserve">Aggregation</w:t>
      </w:r>
      <w:bookmarkEnd w:id="40"/>
    </w:p>
    <w:p>
      <w:pPr>
        <w:pStyle w:val="SourceCode"/>
      </w:pPr>
      <w:r>
        <w:rPr>
          <w:rStyle w:val="VerbatimChar"/>
        </w:rPr>
        <w:t xml:space="preserve">embodied_GWP    = Σ (A1A3 + A4 + A5 + C1..C4) over all line items</w:t>
      </w:r>
      <w:r>
        <w:br/>
      </w:r>
      <w:r>
        <w:rPr>
          <w:rStyle w:val="VerbatimChar"/>
        </w:rPr>
        <w:t xml:space="preserve">operational_GWP = Σ B6</w:t>
      </w:r>
      <w:r>
        <w:br/>
      </w:r>
      <w:r>
        <w:rPr>
          <w:rStyle w:val="VerbatimChar"/>
        </w:rPr>
        <w:t xml:space="preserve">total_GWP       = embodied_GWP + operational_GWP</w:t>
      </w:r>
      <w:r>
        <w:br/>
      </w:r>
      <w:r>
        <w:rPr>
          <w:rStyle w:val="VerbatimChar"/>
        </w:rPr>
        <w:t xml:space="preserve">intensity       = total_GWP / gross_floor_area      # kgCO2e/m²</w:t>
      </w:r>
    </w:p>
    <w:p>
      <w:pPr>
        <w:pStyle w:val="Heading3"/>
      </w:pPr>
      <w:bookmarkStart w:id="41" w:name="X919c0b0dd0d7e2a50feaa6a3a0e8166799d350e"/>
      <w:r>
        <w:t xml:space="preserve">Worked example (illustrative factors — NOT real data)</w:t>
      </w:r>
      <w:bookmarkEnd w:id="41"/>
    </w:p>
    <w:p>
      <w:pPr>
        <w:pStyle w:val="BlockText"/>
      </w:pPr>
      <w:r>
        <w:t xml:space="preserve">The numbers below are placeholders to validate the math, not sourced emission factors. Replace with EPD/database values before any real use.</w:t>
      </w:r>
    </w:p>
    <w:p>
      <w:pPr>
        <w:numPr>
          <w:ilvl w:val="0"/>
          <w:numId w:val="1021"/>
        </w:numPr>
        <w:pStyle w:val="Compact"/>
      </w:pPr>
      <w:r>
        <w:t xml:space="preserve">100,000 kg of a material;</w:t>
      </w:r>
      <w:r>
        <w:t xml:space="preserve"> </w:t>
      </w:r>
      <w:r>
        <w:rPr>
          <w:rStyle w:val="VerbatimChar"/>
        </w:rPr>
        <w:t xml:space="preserve">factor_A1A3 = 0.12 kgCO2e/kg</w:t>
      </w:r>
      <w:r>
        <w:t xml:space="preserve"> </w:t>
      </w:r>
      <w:r>
        <w:t xml:space="preserve">(illustrative) →</w:t>
      </w:r>
      <w:r>
        <w:t xml:space="preserve"> </w:t>
      </w:r>
      <w:r>
        <w:rPr>
          <w:b/>
        </w:rPr>
        <w:t xml:space="preserve">A1–A3 = 12,000 kg CO₂e</w:t>
      </w:r>
    </w:p>
    <w:p>
      <w:pPr>
        <w:numPr>
          <w:ilvl w:val="0"/>
          <w:numId w:val="1021"/>
        </w:numPr>
        <w:pStyle w:val="Compact"/>
      </w:pPr>
      <w:r>
        <w:t xml:space="preserve">Transport 50 km at</w:t>
      </w:r>
      <w:r>
        <w:t xml:space="preserve"> </w:t>
      </w:r>
      <w:r>
        <w:rPr>
          <w:rStyle w:val="VerbatimChar"/>
        </w:rPr>
        <w:t xml:space="preserve">0.0001 kgCO2e/(kg·km)</w:t>
      </w:r>
      <w:r>
        <w:t xml:space="preserve"> </w:t>
      </w:r>
      <w:r>
        <w:t xml:space="preserve">(illustrative) → A4 = 100,000 × 50 × 0.0001 =</w:t>
      </w:r>
      <w:r>
        <w:t xml:space="preserve"> </w:t>
      </w:r>
      <w:r>
        <w:rPr>
          <w:b/>
        </w:rPr>
        <w:t xml:space="preserve">500 kg CO₂e</w:t>
      </w:r>
    </w:p>
    <w:p>
      <w:pPr>
        <w:numPr>
          <w:ilvl w:val="0"/>
          <w:numId w:val="1021"/>
        </w:numPr>
        <w:pStyle w:val="Compact"/>
      </w:pPr>
      <w:r>
        <w:t xml:space="preserve">Wastage 5% → A5 = 12,000 × 0.05 =</w:t>
      </w:r>
      <w:r>
        <w:t xml:space="preserve"> </w:t>
      </w:r>
      <w:r>
        <w:rPr>
          <w:b/>
        </w:rPr>
        <w:t xml:space="preserve">600 kg CO₂e</w:t>
      </w:r>
    </w:p>
    <w:p>
      <w:pPr>
        <w:numPr>
          <w:ilvl w:val="0"/>
          <w:numId w:val="1021"/>
        </w:numPr>
        <w:pStyle w:val="Compact"/>
      </w:pPr>
      <w:r>
        <w:t xml:space="preserve">End of life</w:t>
      </w:r>
      <w:r>
        <w:t xml:space="preserve"> </w:t>
      </w:r>
      <w:r>
        <w:rPr>
          <w:rStyle w:val="VerbatimChar"/>
        </w:rPr>
        <w:t xml:space="preserve">factor_C = 0.02 kgCO2e/kg</w:t>
      </w:r>
      <w:r>
        <w:t xml:space="preserve"> </w:t>
      </w:r>
      <w:r>
        <w:t xml:space="preserve">(illustrative) → C =</w:t>
      </w:r>
      <w:r>
        <w:t xml:space="preserve"> </w:t>
      </w:r>
      <w:r>
        <w:rPr>
          <w:b/>
        </w:rPr>
        <w:t xml:space="preserve">2,000 kg CO₂e</w:t>
      </w:r>
    </w:p>
    <w:p>
      <w:pPr>
        <w:numPr>
          <w:ilvl w:val="0"/>
          <w:numId w:val="1021"/>
        </w:numPr>
        <w:pStyle w:val="Compact"/>
      </w:pPr>
      <w:r>
        <w:t xml:space="preserve">Embodied for this item = 12,000 + 500 + 600 + 2,000 =</w:t>
      </w:r>
      <w:r>
        <w:t xml:space="preserve"> </w:t>
      </w:r>
      <w:r>
        <w:rPr>
          <w:b/>
        </w:rPr>
        <w:t xml:space="preserve">15,100 kg CO₂e</w:t>
      </w:r>
    </w:p>
    <w:p>
      <w:pPr>
        <w:pStyle w:val="FirstParagraph"/>
      </w:pPr>
      <w:r>
        <w:t xml:space="preserve">Each step must be covered by a unit test using these documented inputs.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Xe9d177a25908a270c064eb22d5204f2624ca4ef"/>
      <w:r>
        <w:t xml:space="preserve">11. EPD data source integration</w:t>
      </w:r>
      <w:bookmarkEnd w:id="42"/>
    </w:p>
    <w:p>
      <w:pPr>
        <w:pStyle w:val="FirstParagraph"/>
      </w:pPr>
      <w:r>
        <w:t xml:space="preserve">The "comprehensive" data strategy is to read emission factors from external, third-party-verified EPD databases via API, with a bundled generic dataset as a guaranteed fallback. Two complementary public sources are recommended for v1.</w:t>
      </w:r>
    </w:p>
    <w:p>
      <w:pPr>
        <w:pStyle w:val="BlockText"/>
      </w:pPr>
      <w:r>
        <w:rPr>
          <w:b/>
        </w:rPr>
        <w:t xml:space="preserve">Verify before building:</w:t>
      </w:r>
      <w:r>
        <w:t xml:space="preserve"> </w:t>
      </w:r>
      <w:r>
        <w:t xml:space="preserve">API endpoints, authentication, and access terms below were confirmed from public documentation as of mid-2025 and are changing (notably EC3's "2.0" modernization of its API program). Re-check the live developer docs and terms of use before integrating, and confirm attribution requirements.</w:t>
      </w:r>
    </w:p>
    <w:p>
      <w:pPr>
        <w:pStyle w:val="Heading3"/>
      </w:pPr>
      <w:bookmarkStart w:id="43" w:name="X41a36cb1639fe49973ebb4dda4b39784861f454"/>
      <w:r>
        <w:t xml:space="preserve">11.1 EC3 / openEPD (Building Transparency)</w:t>
      </w:r>
      <w:bookmarkEnd w:id="43"/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What:</w:t>
      </w:r>
      <w:r>
        <w:t xml:space="preserve"> </w:t>
      </w:r>
      <w:r>
        <w:t xml:space="preserve">the largest open-access database of digital, third-party-verified EPDs; GWP reported in kg CO₂e.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Access model:</w:t>
      </w:r>
      <w:r>
        <w:t xml:space="preserve"> </w:t>
      </w:r>
      <w:r>
        <w:t xml:space="preserve">requires an EC3 account and an API key (created in EC3 Key Management).</w:t>
      </w:r>
      <w:r>
        <w:t xml:space="preserve"> </w:t>
      </w:r>
      <w:r>
        <w:rPr>
          <w:b/>
        </w:rPr>
        <w:t xml:space="preserve">Free</w:t>
      </w:r>
      <w:r>
        <w:t xml:space="preserve"> </w:t>
      </w:r>
      <w:r>
        <w:t xml:space="preserve">API access for individuals affiliated with a verified organization/institution;</w:t>
      </w:r>
      <w:r>
        <w:t xml:space="preserve"> </w:t>
      </w:r>
      <w:r>
        <w:rPr>
          <w:b/>
        </w:rPr>
        <w:t xml:space="preserve">paid</w:t>
      </w:r>
      <w:r>
        <w:t xml:space="preserve"> </w:t>
      </w:r>
      <w:r>
        <w:t xml:space="preserve">tier required for production use. Building Transparency asks to be notified before integrating EC3 data, and</w:t>
      </w:r>
      <w:r>
        <w:t xml:space="preserve"> </w:t>
      </w:r>
      <w:r>
        <w:rPr>
          <w:b/>
        </w:rPr>
        <w:t xml:space="preserve">attribution to Building Transparency/EC3 is required</w:t>
      </w:r>
      <w:r>
        <w:t xml:space="preserve">.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Endpoints (verify):</w:t>
      </w:r>
      <w:r>
        <w:t xml:space="preserve"> </w:t>
      </w:r>
      <w:r>
        <w:t xml:space="preserve">openEPD API base</w:t>
      </w:r>
      <w:r>
        <w:t xml:space="preserve"> </w:t>
      </w:r>
      <w:r>
        <w:rPr>
          <w:rStyle w:val="VerbatimChar"/>
        </w:rPr>
        <w:t xml:space="preserve">https://openepd.buildingtransparency.org/api</w:t>
      </w:r>
      <w:r>
        <w:t xml:space="preserve">; an EC3 materials endpoint historically at</w:t>
      </w:r>
      <w:r>
        <w:t xml:space="preserve"> </w:t>
      </w:r>
      <w:r>
        <w:rPr>
          <w:rStyle w:val="VerbatimChar"/>
        </w:rPr>
        <w:t xml:space="preserve">https://etl-api.cqd.io/api/materials</w:t>
      </w:r>
      <w:r>
        <w:t xml:space="preserve">. Querying uses an "Open Material Filter" (OMF) query language; responses can be filtered to return fields such as</w:t>
      </w:r>
      <w:r>
        <w:t xml:space="preserve"> </w:t>
      </w:r>
      <w:r>
        <w:rPr>
          <w:rStyle w:val="VerbatimChar"/>
        </w:rPr>
        <w:t xml:space="preserve">gwp</w:t>
      </w:r>
      <w:r>
        <w:t xml:space="preserve">.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Why for us:</w:t>
      </w:r>
      <w:r>
        <w:t xml:space="preserve"> </w:t>
      </w:r>
      <w:r>
        <w:t xml:space="preserve">breadth, global coverage, active ecosystem (Autodesk, cove.tool, etc. integrate it), strong provenance — satisfies Maya's traceability bar.</w:t>
      </w:r>
    </w:p>
    <w:p>
      <w:pPr>
        <w:pStyle w:val="Heading3"/>
      </w:pPr>
      <w:bookmarkStart w:id="44" w:name="Xc42e3dbcbdbe1cc49e1994efe36010dff608801"/>
      <w:r>
        <w:t xml:space="preserve">11.2 ÖKOBAUDAT (German Federal Ministry, via soda4LCA)</w:t>
      </w:r>
      <w:bookmarkEnd w:id="44"/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What:</w:t>
      </w:r>
      <w:r>
        <w:t xml:space="preserve"> </w:t>
      </w:r>
      <w:r>
        <w:t xml:space="preserve">government-maintained LCA/EPD database; ~1,400+ datasets in German and English; GWP in kg CO₂e with explicit reference units (kg, m³, pcs, MJ). Data is</w:t>
      </w:r>
      <w:r>
        <w:t xml:space="preserve"> </w:t>
      </w:r>
      <w:r>
        <w:rPr>
          <w:b/>
        </w:rPr>
        <w:t xml:space="preserve">publicly available free of charge</w:t>
      </w:r>
      <w:r>
        <w:t xml:space="preserve">.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Access model:</w:t>
      </w:r>
      <w:r>
        <w:t xml:space="preserve"> </w:t>
      </w:r>
      <w:r>
        <w:t xml:space="preserve">RESTful</w:t>
      </w:r>
      <w:r>
        <w:t xml:space="preserve"> </w:t>
      </w:r>
      <w:r>
        <w:rPr>
          <w:b/>
        </w:rPr>
        <w:t xml:space="preserve">soda4LCA</w:t>
      </w:r>
      <w:r>
        <w:t xml:space="preserve"> </w:t>
      </w:r>
      <w:r>
        <w:t xml:space="preserve">service interface. Data is in the EC-derived</w:t>
      </w:r>
      <w:r>
        <w:t xml:space="preserve"> </w:t>
      </w:r>
      <w:r>
        <w:rPr>
          <w:b/>
        </w:rPr>
        <w:t xml:space="preserve">ILCD</w:t>
      </w:r>
      <w:r>
        <w:t xml:space="preserve"> </w:t>
      </w:r>
      <w:r>
        <w:t xml:space="preserve">format (extended for EN 15804). Return format defaults to XML; pass</w:t>
      </w:r>
      <w:r>
        <w:t xml:space="preserve"> </w:t>
      </w:r>
      <w:r>
        <w:rPr>
          <w:rStyle w:val="VerbatimChar"/>
        </w:rPr>
        <w:t xml:space="preserve">format=JSON</w:t>
      </w:r>
      <w:r>
        <w:t xml:space="preserve"> </w:t>
      </w:r>
      <w:r>
        <w:t xml:space="preserve">for JSON. An "extended view" returns all referenced secondary data inline in one request.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Why for us:</w:t>
      </w:r>
      <w:r>
        <w:t xml:space="preserve"> </w:t>
      </w:r>
      <w:r>
        <w:t xml:space="preserve">fully open, no auth gate, stable government stewardship — ideal default source and a clean fallback when EC3 access is constrained.</w:t>
      </w:r>
    </w:p>
    <w:p>
      <w:pPr>
        <w:pStyle w:val="Heading3"/>
      </w:pPr>
      <w:bookmarkStart w:id="45" w:name="Xdcadc81635059c59fa3554d2754fc7d4a9f4806"/>
      <w:r>
        <w:t xml:space="preserve">11.3 Integration design</w:t>
      </w:r>
      <w:bookmarkEnd w:id="45"/>
    </w:p>
    <w:p>
      <w:pPr>
        <w:numPr>
          <w:ilvl w:val="0"/>
          <w:numId w:val="1024"/>
        </w:numPr>
        <w:pStyle w:val="Compact"/>
      </w:pPr>
      <w:r>
        <w:t xml:space="preserve">A</w:t>
      </w:r>
      <w:r>
        <w:t xml:space="preserve"> </w:t>
      </w:r>
      <w:r>
        <w:rPr>
          <w:b/>
        </w:rPr>
        <w:t xml:space="preserve">data-source adapter layer</w:t>
      </w:r>
      <w:r>
        <w:t xml:space="preserve"> </w:t>
      </w:r>
      <w:r>
        <w:t xml:space="preserve">with a common internal interface:</w:t>
      </w:r>
      <w:r>
        <w:t xml:space="preserve"> </w:t>
      </w:r>
      <w:r>
        <w:rPr>
          <w:rStyle w:val="VerbatimChar"/>
        </w:rPr>
        <w:t xml:space="preserve">search(material_query) -&gt; [FactorCandidate]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get(record_id) -&gt; EmissionFactorSet</w:t>
      </w:r>
      <w:r>
        <w:t xml:space="preserve">. Each source (EC3, Ökobaudat, bundled-generic) implements the adapter, normalising to our internal</w:t>
      </w:r>
      <w:r>
        <w:t xml:space="preserve"> </w:t>
      </w:r>
      <w:r>
        <w:rPr>
          <w:rStyle w:val="VerbatimChar"/>
        </w:rPr>
        <w:t xml:space="preserve">EmissionFactorSet</w:t>
      </w:r>
      <w:r>
        <w:t xml:space="preserve"> </w:t>
      </w:r>
      <w:r>
        <w:t xml:space="preserve">(per-module GWP + declared unit + geography + validity + source citation).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Normalisation:</w:t>
      </w:r>
      <w:r>
        <w:t xml:space="preserve"> </w:t>
      </w:r>
      <w:r>
        <w:t xml:space="preserve">map each source's fields to our module model; record declared unit and convert at calculation time, never at ingest.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Caching:</w:t>
      </w:r>
      <w:r>
        <w:t xml:space="preserve"> </w:t>
      </w:r>
      <w:r>
        <w:t xml:space="preserve">persist fetched records locally (keyed by source + record id + dataset version) to cut API calls and enable offline reuse; respect EPD validity dates.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Fallback chain:</w:t>
      </w:r>
      <w:r>
        <w:t xml:space="preserve"> </w:t>
      </w:r>
      <w:r>
        <w:t xml:space="preserve">selected EPD → cached EPD → generic default, with the UI always showing which tier was used.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Attribution &amp; licensing:</w:t>
      </w:r>
      <w:r>
        <w:t xml:space="preserve"> </w:t>
      </w:r>
      <w:r>
        <w:t xml:space="preserve">store and display source attribution per the source's terms (required for EC3). Document data licences in the repo.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X368c5cf168cb1760a698bc131d77e2bf1b228bd"/>
      <w:r>
        <w:t xml:space="preserve">12. Data model</w:t>
      </w:r>
      <w:bookmarkEnd w:id="46"/>
    </w:p>
    <w:p>
      <w:pPr>
        <w:pStyle w:val="FirstParagraph"/>
      </w:pPr>
      <w:r>
        <w:t xml:space="preserve">Core entities (suitable for in-memory + JSON persistence in v1; portable to a relational store later):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Project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id, name, building_type, gross_floor_area_m2, study_period_years, location, dataset_version, created_at, options[]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Element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id, project_id, category (substructure/frame/envelope/finishes/services), name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LineItem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id, element_id, material_name, quantity, unit, density?, transport_distance_km?, transport_mode?, wastage_rate?, factor_source_type (epd|generic|override), factor_record_id?, override_factors?, notes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EmissionFactorSet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record_id, source (ec3|okobaudat|generic), declared_unit, gwp_by_module {A1A3, A4?, A5?, C1, C2, C3, C4}, geography, valid_until, citation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ResultRow</w:t>
      </w:r>
      <w:r>
        <w:t xml:space="preserve"> </w:t>
      </w:r>
      <w:r>
        <w:t xml:space="preserve">— derived:</w:t>
      </w:r>
      <w:r>
        <w:t xml:space="preserve"> </w:t>
      </w:r>
      <w:r>
        <w:rPr>
          <w:rStyle w:val="VerbatimChar"/>
        </w:rPr>
        <w:t xml:space="preserve">line_item_id, module_gwps{}, item_total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ProjectResult</w:t>
      </w:r>
      <w:r>
        <w:t xml:space="preserve"> </w:t>
      </w:r>
      <w:r>
        <w:t xml:space="preserve">— derived:</w:t>
      </w:r>
      <w:r>
        <w:t xml:space="preserve"> </w:t>
      </w:r>
      <w:r>
        <w:rPr>
          <w:rStyle w:val="VerbatimChar"/>
        </w:rPr>
        <w:t xml:space="preserve">embodied_gwp, operational_gwp, total_gwp, intensity_per_m2, breakdown_by_module, breakdown_by_element, data_quality_summary (epd vs generic counts)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X94b38d8a8f3e9d1751fe1dced4839a755832957"/>
      <w:r>
        <w:t xml:space="preserve">13. System architecture</w:t>
      </w:r>
      <w:bookmarkEnd w:id="47"/>
    </w:p>
    <w:p>
      <w:pPr>
        <w:pStyle w:val="FirstParagraph"/>
      </w:pPr>
      <w:r>
        <w:t xml:space="preserve">Single Streamlit application, layered so the calculation core is independent of the UI and the data sources.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Streamlit UI (app.py + pages/)              │  project setup, inventory, results, compare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Service layer                               │  orchestrates: build inventory → fetch factors → calculate</w:t>
      </w:r>
      <w:r>
        <w:br/>
      </w:r>
      <w:r>
        <w:rPr>
          <w:rStyle w:val="VerbatimChar"/>
        </w:rPr>
        <w:t xml:space="preserve">├───────────────┬───────────────┬─────────────┤</w:t>
      </w:r>
      <w:r>
        <w:br/>
      </w:r>
      <w:r>
        <w:rPr>
          <w:rStyle w:val="VerbatimChar"/>
        </w:rPr>
        <w:t xml:space="preserve">│ Calc engine   │ Data adapters │ Persistence  │</w:t>
      </w:r>
      <w:r>
        <w:br/>
      </w:r>
      <w:r>
        <w:rPr>
          <w:rStyle w:val="VerbatimChar"/>
        </w:rPr>
        <w:t xml:space="preserve">│ (pure Python, │ EC3 │ Öko │   │ JSON load/   │</w:t>
      </w:r>
      <w:r>
        <w:br/>
      </w:r>
      <w:r>
        <w:rPr>
          <w:rStyle w:val="VerbatimChar"/>
        </w:rPr>
        <w:t xml:space="preserve">│  unit-tested) │ Generic       │ save, cache  │</w:t>
      </w:r>
      <w:r>
        <w:br/>
      </w:r>
      <w:r>
        <w:rPr>
          <w:rStyle w:val="VerbatimChar"/>
        </w:rPr>
        <w:t xml:space="preserve">└───────────────┴───────────────┴─────────────┘</w:t>
      </w:r>
      <w:r>
        <w:br/>
      </w:r>
      <w:r>
        <w:rPr>
          <w:rStyle w:val="VerbatimChar"/>
        </w:rPr>
        <w:t xml:space="preserve">        │               │</w:t>
      </w:r>
      <w:r>
        <w:br/>
      </w:r>
      <w:r>
        <w:rPr>
          <w:rStyle w:val="VerbatimChar"/>
        </w:rPr>
        <w:t xml:space="preserve">   no I/O, pure     external EPD APIs (HTTP)</w:t>
      </w:r>
      <w:r>
        <w:br/>
      </w:r>
      <w:r>
        <w:rPr>
          <w:rStyle w:val="VerbatimChar"/>
        </w:rPr>
        <w:t xml:space="preserve">   functions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Calc engine</w:t>
      </w:r>
      <w:r>
        <w:t xml:space="preserve"> </w:t>
      </w:r>
      <w:r>
        <w:t xml:space="preserve">is pure functions (no network, no Streamlit) → fully unit-testable and reproducible. This is the heart of the product and the part that must be correct.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Data adapters</w:t>
      </w:r>
      <w:r>
        <w:t xml:space="preserve"> </w:t>
      </w:r>
      <w:r>
        <w:t xml:space="preserve">isolate each EPD source behind the common interface; adding a source = adding an adapter.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Service layer</w:t>
      </w:r>
      <w:r>
        <w:t xml:space="preserve"> </w:t>
      </w:r>
      <w:r>
        <w:t xml:space="preserve">wires inventory + factors + engine and applies the fallback chain.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Persistence</w:t>
      </w:r>
      <w:r>
        <w:t xml:space="preserve"> </w:t>
      </w:r>
      <w:r>
        <w:t xml:space="preserve">is JSON files locally + an on-disk factor cache; no database required for v1.</w:t>
      </w:r>
    </w:p>
    <w:p>
      <w:pPr>
        <w:pStyle w:val="Heading3"/>
      </w:pPr>
      <w:bookmarkStart w:id="48" w:name="suggested-repository-layout"/>
      <w:r>
        <w:t xml:space="preserve">Suggested repository layout</w:t>
      </w:r>
      <w:bookmarkEnd w:id="48"/>
    </w:p>
    <w:p>
      <w:pPr>
        <w:pStyle w:val="SourceCode"/>
      </w:pPr>
      <w:r>
        <w:rPr>
          <w:rStyle w:val="VerbatimChar"/>
        </w:rPr>
        <w:t xml:space="preserve">lca-carbon-calculator/</w:t>
      </w:r>
      <w:r>
        <w:br/>
      </w:r>
      <w:r>
        <w:rPr>
          <w:rStyle w:val="VerbatimChar"/>
        </w:rPr>
        <w:t xml:space="preserve">├── app.py                  # Streamlit entry</w:t>
      </w:r>
      <w:r>
        <w:br/>
      </w:r>
      <w:r>
        <w:rPr>
          <w:rStyle w:val="VerbatimChar"/>
        </w:rPr>
        <w:t xml:space="preserve">├── pages/                  # multipage UI (setup, inventory, results, compare)</w:t>
      </w:r>
      <w:r>
        <w:br/>
      </w:r>
      <w:r>
        <w:rPr>
          <w:rStyle w:val="VerbatimChar"/>
        </w:rPr>
        <w:t xml:space="preserve">├── lca/</w:t>
      </w:r>
      <w:r>
        <w:br/>
      </w:r>
      <w:r>
        <w:rPr>
          <w:rStyle w:val="VerbatimChar"/>
        </w:rPr>
        <w:t xml:space="preserve">│   ├── engine.py           # pure calculation functions (A,B6,C, aggregation)</w:t>
      </w:r>
      <w:r>
        <w:br/>
      </w:r>
      <w:r>
        <w:rPr>
          <w:rStyle w:val="VerbatimChar"/>
        </w:rPr>
        <w:t xml:space="preserve">│   ├── models.py           # dataclasses for entities above</w:t>
      </w:r>
      <w:r>
        <w:br/>
      </w:r>
      <w:r>
        <w:rPr>
          <w:rStyle w:val="VerbatimChar"/>
        </w:rPr>
        <w:t xml:space="preserve">│   ├── factors/</w:t>
      </w:r>
      <w:r>
        <w:br/>
      </w:r>
      <w:r>
        <w:rPr>
          <w:rStyle w:val="VerbatimChar"/>
        </w:rPr>
        <w:t xml:space="preserve">│   │   ├── base.py         # adapter interface + FactorCandidate/EmissionFactorSet</w:t>
      </w:r>
      <w:r>
        <w:br/>
      </w:r>
      <w:r>
        <w:rPr>
          <w:rStyle w:val="VerbatimChar"/>
        </w:rPr>
        <w:t xml:space="preserve">│   │   ├── ec3.py          # EC3/openEPD adapter</w:t>
      </w:r>
      <w:r>
        <w:br/>
      </w:r>
      <w:r>
        <w:rPr>
          <w:rStyle w:val="VerbatimChar"/>
        </w:rPr>
        <w:t xml:space="preserve">│   │   ├── okobaudat.py    # soda4LCA adapter</w:t>
      </w:r>
      <w:r>
        <w:br/>
      </w:r>
      <w:r>
        <w:rPr>
          <w:rStyle w:val="VerbatimChar"/>
        </w:rPr>
        <w:t xml:space="preserve">│   │   └── generic.py      # bundled default factors (CSV/JSON)</w:t>
      </w:r>
      <w:r>
        <w:br/>
      </w:r>
      <w:r>
        <w:rPr>
          <w:rStyle w:val="VerbatimChar"/>
        </w:rPr>
        <w:t xml:space="preserve">│   ├── cache.py            # local EPD cache</w:t>
      </w:r>
      <w:r>
        <w:br/>
      </w:r>
      <w:r>
        <w:rPr>
          <w:rStyle w:val="VerbatimChar"/>
        </w:rPr>
        <w:t xml:space="preserve">│   └── persistence.py      # project save/load (JSON)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└── generic_factors.csv # bundled fallback factors (dated + sourced)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│   └── test_engine.py      # worked-example + module unit tests</w:t>
      </w:r>
      <w:r>
        <w:br/>
      </w:r>
      <w:r>
        <w:rPr>
          <w:rStyle w:val="VerbatimChar"/>
        </w:rPr>
        <w:t xml:space="preserve">├── requirements.txt</w:t>
      </w:r>
      <w:r>
        <w:br/>
      </w:r>
      <w:r>
        <w:rPr>
          <w:rStyle w:val="VerbatimChar"/>
        </w:rPr>
        <w:t xml:space="preserve">└── README.md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9" w:name="X8ffa2479590ee2c5850adb571b64fa091742197"/>
      <w:r>
        <w:t xml:space="preserve">14. Tech stack</w:t>
      </w:r>
      <w:bookmarkEnd w:id="4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Concern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Choice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p>
            <w:pPr>
              <w:pStyle w:val="Compact"/>
              <w:jc w:val="left"/>
            </w:pPr>
            <w:r>
              <w:t xml:space="preserve">Python 3.11+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UI</w:t>
            </w:r>
          </w:p>
        </w:tc>
        <w:tc>
          <w:p>
            <w:pPr>
              <w:pStyle w:val="Compact"/>
              <w:jc w:val="left"/>
            </w:pPr>
            <w:r>
              <w:t xml:space="preserve">Streamlit</w:t>
            </w:r>
          </w:p>
        </w:tc>
        <w:tc>
          <w:p>
            <w:pPr>
              <w:pStyle w:val="Compact"/>
              <w:jc w:val="left"/>
            </w:pPr>
            <w:r>
              <w:t xml:space="preserve">multipage app;</w:t>
            </w:r>
            <w:r>
              <w:t xml:space="preserve"> </w:t>
            </w:r>
            <w:r>
              <w:rPr>
                <w:rStyle w:val="VerbatimChar"/>
              </w:rPr>
              <w:t xml:space="preserve">st.session_state</w:t>
            </w:r>
            <w:r>
              <w:t xml:space="preserve"> </w:t>
            </w:r>
            <w:r>
              <w:t xml:space="preserve">for in-session model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handling</w:t>
            </w:r>
          </w:p>
        </w:tc>
        <w:tc>
          <w:p>
            <w:pPr>
              <w:pStyle w:val="Compact"/>
              <w:jc w:val="left"/>
            </w:pPr>
            <w:r>
              <w:t xml:space="preserve">pandas</w:t>
            </w:r>
          </w:p>
        </w:tc>
        <w:tc>
          <w:p>
            <w:pPr>
              <w:pStyle w:val="Compact"/>
              <w:jc w:val="left"/>
            </w:pPr>
            <w:r>
              <w:t xml:space="preserve">inventory tables, CSV import/export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Charts</w:t>
            </w:r>
          </w:p>
        </w:tc>
        <w:tc>
          <w:p>
            <w:pPr>
              <w:pStyle w:val="Compact"/>
              <w:jc w:val="left"/>
            </w:pPr>
            <w:r>
              <w:t xml:space="preserve">Streamlit native / Plotly</w:t>
            </w:r>
          </w:p>
        </w:tc>
        <w:tc>
          <w:p>
            <w:pPr>
              <w:pStyle w:val="Compact"/>
              <w:jc w:val="left"/>
            </w:pPr>
            <w:r>
              <w:t xml:space="preserve">stacked module bars, element breakdown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requests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rStyle w:val="VerbatimChar"/>
              </w:rPr>
              <w:t xml:space="preserve">httpx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EPD API calls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Models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dataclasses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pydantic</w:t>
            </w:r>
          </w:p>
        </w:tc>
        <w:tc>
          <w:p>
            <w:pPr>
              <w:pStyle w:val="Compact"/>
              <w:jc w:val="left"/>
            </w:pPr>
            <w:r>
              <w:t xml:space="preserve">typed entities, validation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pytest</w:t>
            </w:r>
          </w:p>
        </w:tc>
        <w:tc>
          <w:p>
            <w:pPr>
              <w:pStyle w:val="Compact"/>
              <w:jc w:val="left"/>
            </w:pPr>
            <w:r>
              <w:t xml:space="preserve">engine unit tests are mandatory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Persistence</w:t>
            </w:r>
          </w:p>
        </w:tc>
        <w:tc>
          <w:p>
            <w:pPr>
              <w:pStyle w:val="Compact"/>
              <w:jc w:val="left"/>
            </w:pPr>
            <w:r>
              <w:t xml:space="preserve">JSON files + on-disk cache</w:t>
            </w:r>
          </w:p>
        </w:tc>
        <w:tc>
          <w:p>
            <w:pPr>
              <w:pStyle w:val="Compact"/>
              <w:jc w:val="left"/>
            </w:pPr>
            <w:r>
              <w:t xml:space="preserve">no DB in v1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Deploy</w:t>
            </w:r>
          </w:p>
        </w:tc>
        <w:tc>
          <w:p>
            <w:pPr>
              <w:pStyle w:val="Compact"/>
              <w:jc w:val="left"/>
            </w:pPr>
            <w:r>
              <w:t xml:space="preserve">Streamlit Community Cloud</w:t>
            </w:r>
          </w:p>
        </w:tc>
        <w:tc>
          <w:p>
            <w:pPr>
              <w:pStyle w:val="Compact"/>
              <w:jc w:val="left"/>
            </w:pPr>
            <w:r>
              <w:t xml:space="preserve">free tier; secrets for API keys via</w:t>
            </w:r>
            <w:r>
              <w:t xml:space="preserve"> </w:t>
            </w:r>
            <w:r>
              <w:rPr>
                <w:rStyle w:val="VerbatimChar"/>
              </w:rPr>
              <w:t xml:space="preserve">st.secrets</w:t>
            </w:r>
          </w:p>
        </w:tc>
      </w:tr>
    </w:tbl>
    <w:p>
      <w:pPr>
        <w:pStyle w:val="BodyText"/>
      </w:pPr>
      <w:r>
        <w:t xml:space="preserve">API keys (EC3) live in</w:t>
      </w:r>
      <w:r>
        <w:t xml:space="preserve"> </w:t>
      </w:r>
      <w:r>
        <w:rPr>
          <w:rStyle w:val="VerbatimChar"/>
        </w:rPr>
        <w:t xml:space="preserve">st.secrets</w:t>
      </w:r>
      <w:r>
        <w:t xml:space="preserve"> </w:t>
      </w:r>
      <w:r>
        <w:t xml:space="preserve">/ environment variables, never in the repo.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0" w:name="X2f72d622300421578f518b2c58bb1c93aee06d2"/>
      <w:r>
        <w:t xml:space="preserve">15. UX / primary flow</w:t>
      </w:r>
      <w:bookmarkEnd w:id="50"/>
    </w:p>
    <w:p>
      <w:pPr>
        <w:pStyle w:val="FirstParagraph"/>
      </w:pPr>
      <w:r>
        <w:t xml:space="preserve">Multipage Streamlit app: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Project setup</w:t>
      </w:r>
      <w:r>
        <w:t xml:space="preserve"> </w:t>
      </w:r>
      <w:r>
        <w:t xml:space="preserve">— name, building type, floor area, study period, location. Optional: start from template.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Inventory</w:t>
      </w:r>
      <w:r>
        <w:t xml:space="preserve"> </w:t>
      </w:r>
      <w:r>
        <w:t xml:space="preserve">— add elements and line items in an editable table (</w:t>
      </w:r>
      <w:r>
        <w:rPr>
          <w:rStyle w:val="VerbatimChar"/>
        </w:rPr>
        <w:t xml:space="preserve">st.data_editor</w:t>
      </w:r>
      <w:r>
        <w:t xml:space="preserve">); per-row: material search → pick EPD (or generic/override), quantity + unit, optional density/distance/wastage. Live data-quality indicator (how many rows are EPD-backed vs generic).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Results</w:t>
      </w:r>
      <w:r>
        <w:t xml:space="preserve"> </w:t>
      </w:r>
      <w:r>
        <w:t xml:space="preserve">— headline total + intensity (kg CO₂e/m²); stacked bar by module; bar/table by element; embodied vs operational split; data-quality summary.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Compare</w:t>
      </w:r>
      <w:r>
        <w:t xml:space="preserve"> </w:t>
      </w:r>
      <w:r>
        <w:t xml:space="preserve">— pick two options; side-by-side totals and per-module deltas.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Export</w:t>
      </w:r>
      <w:r>
        <w:t xml:space="preserve"> </w:t>
      </w:r>
      <w:r>
        <w:t xml:space="preserve">— CSV (full line-item detail) + formatted report (HTML/PDF) organised by module.</w:t>
      </w:r>
    </w:p>
    <w:p>
      <w:pPr>
        <w:pStyle w:val="FirstParagraph"/>
      </w:pPr>
      <w:r>
        <w:t xml:space="preserve">UX principles: never hide provenance; generic/estimated values visually distinct from EPD-verified; every total drillable to inputs.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1" w:name="X8678f0cc311b80e348b5b1d8580af48b280fa98"/>
      <w:r>
        <w:t xml:space="preserve">16. Success metrics</w:t>
      </w:r>
      <w:bookmarkEnd w:id="51"/>
    </w:p>
    <w:p>
      <w:pPr>
        <w:pStyle w:val="FirstParagraph"/>
      </w:pPr>
      <w:r>
        <w:rPr>
          <w:b/>
        </w:rPr>
        <w:t xml:space="preserve">Leading (days–weeks)</w:t>
      </w:r>
    </w:p>
    <w:p>
      <w:pPr>
        <w:numPr>
          <w:ilvl w:val="0"/>
          <w:numId w:val="1028"/>
        </w:numPr>
        <w:pStyle w:val="Compact"/>
      </w:pPr>
      <w:r>
        <w:t xml:space="preserve">Time to first result for a new user with a 20-line BoQ — target &lt; 15 min.</w:t>
      </w:r>
    </w:p>
    <w:p>
      <w:pPr>
        <w:numPr>
          <w:ilvl w:val="0"/>
          <w:numId w:val="1028"/>
        </w:numPr>
        <w:pStyle w:val="Compact"/>
      </w:pPr>
      <w:r>
        <w:t xml:space="preserve">% of line items backed by a specific EPD (vs generic) per completed project — target median ≥ 50% as a quality signal.</w:t>
      </w:r>
    </w:p>
    <w:p>
      <w:pPr>
        <w:numPr>
          <w:ilvl w:val="0"/>
          <w:numId w:val="1028"/>
        </w:numPr>
        <w:pStyle w:val="Compact"/>
      </w:pPr>
      <w:r>
        <w:t xml:space="preserve">Recalculation latency after an input change — target &lt; 1 s for ≤200 lines.</w:t>
      </w:r>
    </w:p>
    <w:p>
      <w:pPr>
        <w:numPr>
          <w:ilvl w:val="0"/>
          <w:numId w:val="1028"/>
        </w:numPr>
        <w:pStyle w:val="Compact"/>
      </w:pPr>
      <w:r>
        <w:t xml:space="preserve">Task completion: % of started projects that reach a results view.</w:t>
      </w:r>
    </w:p>
    <w:p>
      <w:pPr>
        <w:pStyle w:val="FirstParagraph"/>
      </w:pPr>
      <w:r>
        <w:rPr>
          <w:b/>
        </w:rPr>
        <w:t xml:space="preserve">Lagging (weeks–months)</w:t>
      </w:r>
    </w:p>
    <w:p>
      <w:pPr>
        <w:numPr>
          <w:ilvl w:val="0"/>
          <w:numId w:val="1029"/>
        </w:numPr>
        <w:pStyle w:val="Compact"/>
      </w:pPr>
      <w:r>
        <w:t xml:space="preserve">Repeat use: projects created per returning user.</w:t>
      </w:r>
    </w:p>
    <w:p>
      <w:pPr>
        <w:numPr>
          <w:ilvl w:val="0"/>
          <w:numId w:val="1029"/>
        </w:numPr>
        <w:pStyle w:val="Compact"/>
      </w:pPr>
      <w:r>
        <w:t xml:space="preserve">Option-comparison usage: % of projects that create ≥2 options (indicates it's used for</w:t>
      </w:r>
      <w:r>
        <w:t xml:space="preserve"> </w:t>
      </w:r>
      <w:r>
        <w:rPr>
          <w:i/>
        </w:rPr>
        <w:t xml:space="preserve">decisions</w:t>
      </w:r>
      <w:r>
        <w:t xml:space="preserve">, the core value).</w:t>
      </w:r>
    </w:p>
    <w:p>
      <w:pPr>
        <w:numPr>
          <w:ilvl w:val="0"/>
          <w:numId w:val="1029"/>
        </w:numPr>
        <w:pStyle w:val="Compact"/>
      </w:pPr>
      <w:r>
        <w:t xml:space="preserve">Qualitative: design teams reporting a material/structural change influenced by the tool.</w:t>
      </w:r>
    </w:p>
    <w:p>
      <w:pPr>
        <w:pStyle w:val="BlockText"/>
      </w:pPr>
      <w:r>
        <w:t xml:space="preserve">Targets above are hypotheses for a portfolio/MVP context, not benchmarked figures — validate with real usage before treating them as KPIs.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2" w:name="Xaa12c96fceaacc1c268aaa2dd5a7fd0c8ce1862"/>
      <w:r>
        <w:t xml:space="preserve">17. Risks &amp; mitigations</w:t>
      </w:r>
      <w:bookmarkEnd w:id="5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EC3 API access terms / endpoints change (2.0 transition)</w:t>
            </w:r>
          </w:p>
        </w:tc>
        <w:tc>
          <w:p>
            <w:pPr>
              <w:pStyle w:val="Compact"/>
              <w:jc w:val="left"/>
            </w:pPr>
            <w:r>
              <w:t xml:space="preserve">Integration breaks</w:t>
            </w:r>
          </w:p>
        </w:tc>
        <w:tc>
          <w:p>
            <w:pPr>
              <w:pStyle w:val="Compact"/>
              <w:jc w:val="left"/>
            </w:pPr>
            <w:r>
              <w:t xml:space="preserve">Adapter isolation; Ökobaudat + generic fallback; pin to documented API version; re-verify before build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Users trust generic estimates as if EPD-verified</w:t>
            </w:r>
          </w:p>
        </w:tc>
        <w:tc>
          <w:p>
            <w:pPr>
              <w:pStyle w:val="Compact"/>
              <w:jc w:val="left"/>
            </w:pPr>
            <w:r>
              <w:t xml:space="preserve">Misleading results</w:t>
            </w:r>
          </w:p>
        </w:tc>
        <w:tc>
          <w:p>
            <w:pPr>
              <w:pStyle w:val="Compact"/>
              <w:jc w:val="left"/>
            </w:pPr>
            <w:r>
              <w:t xml:space="preserve">Hard UI distinction; data-quality summary; disclaimer on exports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Unit mismatches (declared unit vs entered unit)</w:t>
            </w:r>
          </w:p>
        </w:tc>
        <w:tc>
          <w:p>
            <w:pPr>
              <w:pStyle w:val="Compact"/>
              <w:jc w:val="left"/>
            </w:pPr>
            <w:r>
              <w:t xml:space="preserve">Silent calculation errors</w:t>
            </w:r>
          </w:p>
        </w:tc>
        <w:tc>
          <w:p>
            <w:pPr>
              <w:pStyle w:val="Compact"/>
              <w:jc w:val="left"/>
            </w:pPr>
            <w:r>
              <w:t xml:space="preserve">Explicit unit reconciliation + density; unit tests; validation that blocks ambiguous rows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Operational (B6) dominates and swamps embodied signal</w:t>
            </w:r>
          </w:p>
        </w:tc>
        <w:tc>
          <w:p>
            <w:pPr>
              <w:pStyle w:val="Compact"/>
              <w:jc w:val="left"/>
            </w:pPr>
            <w:r>
              <w:t xml:space="preserve">Misreads design levers</w:t>
            </w:r>
          </w:p>
        </w:tc>
        <w:tc>
          <w:p>
            <w:pPr>
              <w:pStyle w:val="Compact"/>
              <w:jc w:val="left"/>
            </w:pPr>
            <w:r>
              <w:t xml:space="preserve">Always show embodied vs operational split separately; allow B6 = 0 toggle for embodied-only screening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Out-of-date grid / transport factors</w:t>
            </w:r>
          </w:p>
        </w:tc>
        <w:tc>
          <w:p>
            <w:pPr>
              <w:pStyle w:val="Compact"/>
              <w:jc w:val="left"/>
            </w:pPr>
            <w:r>
              <w:t xml:space="preserve">Inaccurate A4/B6</w:t>
            </w:r>
          </w:p>
        </w:tc>
        <w:tc>
          <w:p>
            <w:pPr>
              <w:pStyle w:val="Compact"/>
              <w:jc w:val="left"/>
            </w:pPr>
            <w:r>
              <w:t xml:space="preserve">Source defaults from official datasets, store the date, make them editable, show the 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Scope creep into a full certified LCA</w:t>
            </w:r>
          </w:p>
        </w:tc>
        <w:tc>
          <w:p>
            <w:pPr>
              <w:pStyle w:val="Compact"/>
              <w:jc w:val="left"/>
            </w:pPr>
            <w:r>
              <w:t xml:space="preserve">Never ships</w:t>
            </w:r>
          </w:p>
        </w:tc>
        <w:tc>
          <w:p>
            <w:pPr>
              <w:pStyle w:val="Compact"/>
              <w:jc w:val="left"/>
            </w:pPr>
            <w:r>
              <w:t xml:space="preserve">Explicit non-goals; phase gates; keep engine modular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3" w:name="X712cf79b504f5d167baea72ede34820530e4117"/>
      <w:r>
        <w:t xml:space="preserve">18. Open questions</w:t>
      </w:r>
      <w:bookmarkEnd w:id="53"/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[Data/Legal]</w:t>
      </w:r>
      <w:r>
        <w:t xml:space="preserve"> </w:t>
      </w:r>
      <w:r>
        <w:t xml:space="preserve">What are EC3's current production API terms and rate limits under the 2.0 program, and do attribution/notification requirements allow a public portfolio deployment?</w:t>
      </w:r>
      <w:r>
        <w:t xml:space="preserve"> </w:t>
      </w:r>
      <w:r>
        <w:rPr>
          <w:i/>
        </w:rPr>
        <w:t xml:space="preserve">(blocking for EC3 integration; non-blocking overall — Ökobaudat can ship first)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[Data]</w:t>
      </w:r>
      <w:r>
        <w:t xml:space="preserve"> </w:t>
      </w:r>
      <w:r>
        <w:t xml:space="preserve">Which official source and vintage should supply default grid-electricity emission factors per region?</w:t>
      </w:r>
      <w:r>
        <w:t xml:space="preserve"> </w:t>
      </w:r>
      <w:r>
        <w:rPr>
          <w:i/>
        </w:rPr>
        <w:t xml:space="preserve">(blocking for B6 defaults)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[Methodology]</w:t>
      </w:r>
      <w:r>
        <w:t xml:space="preserve"> </w:t>
      </w:r>
      <w:r>
        <w:t xml:space="preserve">For materials whose EPD reports end-of-life as a single combined C value, how should it be displayed — combined C, or apportioned to C1–C4?</w:t>
      </w:r>
      <w:r>
        <w:t xml:space="preserve"> </w:t>
      </w:r>
      <w:r>
        <w:rPr>
          <w:i/>
        </w:rPr>
        <w:t xml:space="preserve">(non-blocking; default to combined + note)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[Methodology]</w:t>
      </w:r>
      <w:r>
        <w:t xml:space="preserve"> </w:t>
      </w:r>
      <w:r>
        <w:t xml:space="preserve">Default study period — 60 years assumed; confirm against the convention the target users expect.</w:t>
      </w:r>
      <w:r>
        <w:t xml:space="preserve"> </w:t>
      </w:r>
      <w:r>
        <w:rPr>
          <w:i/>
        </w:rPr>
        <w:t xml:space="preserve">(non-blocking)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[Product]</w:t>
      </w:r>
      <w:r>
        <w:t xml:space="preserve"> </w:t>
      </w:r>
      <w:r>
        <w:t xml:space="preserve">Which element taxonomy (RICS / Uniclass / simplified custom) best fits the early-design user without overwhelming them?</w:t>
      </w:r>
      <w:r>
        <w:t xml:space="preserve"> </w:t>
      </w:r>
      <w:r>
        <w:rPr>
          <w:i/>
        </w:rPr>
        <w:t xml:space="preserve">(non-blocking; start simplified)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[Data]</w:t>
      </w:r>
      <w:r>
        <w:t xml:space="preserve"> </w:t>
      </w:r>
      <w:r>
        <w:t xml:space="preserve">Source for any GWP/m² benchmark ranges (P2 feature) — needs a vetted, citable dataset before building.</w:t>
      </w:r>
      <w:r>
        <w:t xml:space="preserve"> </w:t>
      </w:r>
      <w:r>
        <w:rPr>
          <w:i/>
        </w:rPr>
        <w:t xml:space="preserve">(deferred)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4" w:name="Xfc8125b7c53f99c043ffc9e03f5f5ac8c414479"/>
      <w:r>
        <w:t xml:space="preserve">19. Roadmap / phasing</w:t>
      </w:r>
      <w:bookmarkEnd w:id="54"/>
    </w:p>
    <w:p>
      <w:pPr>
        <w:pStyle w:val="FirstParagraph"/>
      </w:pPr>
      <w:r>
        <w:rPr>
          <w:b/>
        </w:rPr>
        <w:t xml:space="preserve">Phase 1 — Calculation core (P0 engine + models)</w:t>
      </w:r>
      <w:r>
        <w:t xml:space="preserve"> </w:t>
      </w:r>
      <w:r>
        <w:t xml:space="preserve">Pure engine for A1–A3, A4, A5, B6, C1–C4 + aggregation; dataclasses; bundled generic factors; full unit tests on the worked example.</w:t>
      </w:r>
      <w:r>
        <w:t xml:space="preserve"> </w:t>
      </w:r>
      <w:r>
        <w:rPr>
          <w:i/>
        </w:rPr>
        <w:t xml:space="preserve">Ships value even with manual factors.</w:t>
      </w:r>
    </w:p>
    <w:p>
      <w:pPr>
        <w:pStyle w:val="BodyText"/>
      </w:pPr>
      <w:r>
        <w:rPr>
          <w:b/>
        </w:rPr>
        <w:t xml:space="preserve">Phase 2 — Streamlit MVP (P0 UI + one data source)</w:t>
      </w:r>
      <w:r>
        <w:t xml:space="preserve"> </w:t>
      </w:r>
      <w:r>
        <w:t xml:space="preserve">Project setup, inventory editor, results dashboard, Ökobaudat (open, no-auth) integration, generic fallback, CSV export.</w:t>
      </w:r>
    </w:p>
    <w:p>
      <w:pPr>
        <w:pStyle w:val="BodyText"/>
      </w:pPr>
      <w:r>
        <w:rPr>
          <w:b/>
        </w:rPr>
        <w:t xml:space="preserve">Phase 3 — Comparison + EC3 + caching (P0/P1)</w:t>
      </w:r>
      <w:r>
        <w:t xml:space="preserve"> </w:t>
      </w:r>
      <w:r>
        <w:t xml:space="preserve">Option duplication &amp; side-by-side compare; EC3/openEPD adapter; local EPD cache; data-quality summary; formatted report export.</w:t>
      </w:r>
    </w:p>
    <w:p>
      <w:pPr>
        <w:pStyle w:val="BodyText"/>
      </w:pPr>
      <w:r>
        <w:rPr>
          <w:b/>
        </w:rPr>
        <w:t xml:space="preserve">Phase 4 — Polish &amp; fast-follows (P1)</w:t>
      </w:r>
      <w:r>
        <w:t xml:space="preserve"> </w:t>
      </w:r>
      <w:r>
        <w:t xml:space="preserve">CSV BoQ upload, templates, sensitivity view, project save/load.</w:t>
      </w:r>
    </w:p>
    <w:p>
      <w:pPr>
        <w:pStyle w:val="BodyText"/>
      </w:pPr>
      <w:r>
        <w:rPr>
          <w:b/>
        </w:rPr>
        <w:t xml:space="preserve">Future (P2)</w:t>
      </w:r>
      <w:r>
        <w:t xml:space="preserve"> </w:t>
      </w:r>
      <w:r>
        <w:t xml:space="preserve">— BIM/IFC import, B1–B5 service-life modelling, uncertainty ranges, benchmarking.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5" w:name="Xebe0912867c6024d37df96d68e56930062aea68"/>
      <w:r>
        <w:t xml:space="preserve">20. Appendix</w:t>
      </w:r>
      <w:bookmarkEnd w:id="55"/>
    </w:p>
    <w:p>
      <w:pPr>
        <w:pStyle w:val="Heading3"/>
      </w:pPr>
      <w:bookmarkStart w:id="56" w:name="a-glossary"/>
      <w:r>
        <w:t xml:space="preserve">A. Glossary</w:t>
      </w:r>
      <w:bookmarkEnd w:id="56"/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GWP / kg CO₂e</w:t>
      </w:r>
      <w:r>
        <w:t xml:space="preserve"> </w:t>
      </w:r>
      <w:r>
        <w:t xml:space="preserve">— Global Warming Potential, the carbon-equivalent impact metric.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EPD</w:t>
      </w:r>
      <w:r>
        <w:t xml:space="preserve"> </w:t>
      </w:r>
      <w:r>
        <w:t xml:space="preserve">— Environmental Product Declaration; a verified document of a product's environmental impacts (EN 15804).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Embodied carbon</w:t>
      </w:r>
      <w:r>
        <w:t xml:space="preserve"> </w:t>
      </w:r>
      <w:r>
        <w:t xml:space="preserve">— emissions from materials &amp; construction (modules A, C, and B1–B5); excludes operational energy.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Operational carbon</w:t>
      </w:r>
      <w:r>
        <w:t xml:space="preserve"> </w:t>
      </w:r>
      <w:r>
        <w:t xml:space="preserve">— emissions from running the building (B6 energy, B7 water).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Declared/functional unit</w:t>
      </w:r>
      <w:r>
        <w:t xml:space="preserve"> </w:t>
      </w:r>
      <w:r>
        <w:t xml:space="preserve">— the unit an EPD's impacts are stated per (kg, m³, m²…).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Cradle-to-gate</w:t>
      </w:r>
      <w:r>
        <w:t xml:space="preserve"> </w:t>
      </w:r>
      <w:r>
        <w:t xml:space="preserve">— A1–A3 only.</w:t>
      </w:r>
      <w:r>
        <w:t xml:space="preserve"> </w:t>
      </w:r>
      <w:r>
        <w:rPr>
          <w:b/>
        </w:rPr>
        <w:t xml:space="preserve">Cradle-to-grave</w:t>
      </w:r>
      <w:r>
        <w:t xml:space="preserve"> </w:t>
      </w:r>
      <w:r>
        <w:t xml:space="preserve">— A–C (and optionally D).</w:t>
      </w:r>
    </w:p>
    <w:p>
      <w:pPr>
        <w:pStyle w:val="Heading3"/>
      </w:pPr>
      <w:bookmarkStart w:id="57" w:name="b-module-coverage-summary"/>
      <w:r>
        <w:t xml:space="preserve">B. Module coverage summary</w:t>
      </w:r>
      <w:bookmarkEnd w:id="57"/>
    </w:p>
    <w:p>
      <w:pPr>
        <w:pStyle w:val="FirstParagraph"/>
      </w:pPr>
      <w:r>
        <w:t xml:space="preserve">In scope (v1):</w:t>
      </w:r>
      <w:r>
        <w:t xml:space="preserve"> </w:t>
      </w:r>
      <w:r>
        <w:rPr>
          <w:b/>
        </w:rPr>
        <w:t xml:space="preserve">A1–A3, A4, A5, B6, C1–C4.</w:t>
      </w:r>
      <w:r>
        <w:t xml:space="preserve"> </w:t>
      </w:r>
      <w:r>
        <w:t xml:space="preserve">Out of scope (v1): B1–B5, B7, D.</w:t>
      </w:r>
    </w:p>
    <w:p>
      <w:pPr>
        <w:pStyle w:val="Heading3"/>
      </w:pPr>
      <w:bookmarkStart w:id="58" w:name="X6bbbbf8885b1033dd2a78b0d8669104e07e5701"/>
      <w:r>
        <w:t xml:space="preserve">C. References (verify against live/licensed sources)</w:t>
      </w:r>
      <w:bookmarkEnd w:id="58"/>
    </w:p>
    <w:p>
      <w:pPr>
        <w:numPr>
          <w:ilvl w:val="0"/>
          <w:numId w:val="1032"/>
        </w:numPr>
        <w:pStyle w:val="Compact"/>
      </w:pPr>
      <w:r>
        <w:t xml:space="preserve">EN 15978:2011 —</w:t>
      </w:r>
      <w:r>
        <w:t xml:space="preserve"> </w:t>
      </w:r>
      <w:r>
        <w:rPr>
          <w:i/>
        </w:rPr>
        <w:t xml:space="preserve">Sustainability of construction works — Assessment of environmental performance of buildings — Calculation method</w:t>
      </w:r>
      <w:r>
        <w:t xml:space="preserve"> </w:t>
      </w:r>
      <w:r>
        <w:t xml:space="preserve">(CEN; paywalled).</w:t>
      </w:r>
    </w:p>
    <w:p>
      <w:pPr>
        <w:numPr>
          <w:ilvl w:val="0"/>
          <w:numId w:val="1032"/>
        </w:numPr>
        <w:pStyle w:val="Compact"/>
      </w:pPr>
      <w:r>
        <w:t xml:space="preserve">EN 15804 —</w:t>
      </w:r>
      <w:r>
        <w:t xml:space="preserve"> </w:t>
      </w:r>
      <w:r>
        <w:rPr>
          <w:i/>
        </w:rPr>
        <w:t xml:space="preserve">Sustainability of construction works — EPDs — Core rules for the product category of construction products</w:t>
      </w:r>
      <w:r>
        <w:t xml:space="preserve"> </w:t>
      </w:r>
      <w:r>
        <w:t xml:space="preserve">(CEN; paywalled).</w:t>
      </w:r>
    </w:p>
    <w:p>
      <w:pPr>
        <w:numPr>
          <w:ilvl w:val="0"/>
          <w:numId w:val="1032"/>
        </w:numPr>
        <w:pStyle w:val="Compact"/>
      </w:pPr>
      <w:r>
        <w:t xml:space="preserve">ISO 14040:2006 / ISO 14044:2006 —</w:t>
      </w:r>
      <w:r>
        <w:t xml:space="preserve"> </w:t>
      </w:r>
      <w:r>
        <w:rPr>
          <w:i/>
        </w:rPr>
        <w:t xml:space="preserve">Environmental management — Life cycle assessment</w:t>
      </w:r>
      <w:r>
        <w:t xml:space="preserve"> </w:t>
      </w:r>
      <w:r>
        <w:t xml:space="preserve">(ISO; paywalled).</w:t>
      </w:r>
    </w:p>
    <w:p>
      <w:pPr>
        <w:numPr>
          <w:ilvl w:val="0"/>
          <w:numId w:val="1032"/>
        </w:numPr>
        <w:pStyle w:val="Compact"/>
      </w:pPr>
      <w:r>
        <w:t xml:space="preserve">EC3 / Building Transparency — tool, API access &amp; pricing, and openEPD docs: buildingtransparency.org, docs.buildingtransparency.org, openepd.buildingtransparency.org.</w:t>
      </w:r>
    </w:p>
    <w:p>
      <w:pPr>
        <w:numPr>
          <w:ilvl w:val="0"/>
          <w:numId w:val="1032"/>
        </w:numPr>
        <w:pStyle w:val="Compact"/>
      </w:pPr>
      <w:r>
        <w:t xml:space="preserve">ÖKOBAUDAT — oekobaudat.de (data + software-developer guidance); soda4LCA service (soda4lca.io).</w:t>
      </w:r>
    </w:p>
    <w:p>
      <w:pPr>
        <w:pStyle w:val="BlockText"/>
      </w:pPr>
      <w:r>
        <w:t xml:space="preserve">All standard clause details and emission-factor values must be confirmed against licensed standards and official EPD/database records before any non-screening use.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2026-06-23T07:44:27Z</dcterms:created>
  <dcterms:modified xsi:type="dcterms:W3CDTF">2026-06-23T07:44:27Z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