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b/>
          <w:bCs/>
          <w:color w:val="2A9D8F"/>
          <w:spacing w:val="40"/>
          <w:sz w:val="20"/>
          <w:szCs w:val="20"/>
        </w:rPr>
        <w:t xml:space="preserve">MINISTRY BRIEFING</w:t>
      </w:r>
    </w:p>
    <w:p>
      <w:pPr>
        <w:spacing w:after="200" w:before="120"/>
      </w:pPr>
      <w:r>
        <w:rPr>
          <w:b/>
          <w:bCs/>
          <w:color w:val="1D3557"/>
          <w:sz w:val="44"/>
          <w:szCs w:val="44"/>
        </w:rPr>
        <w:t xml:space="preserve">Climate-ready Swedish agriculture: machine-learning forecast to 2050</w:t>
      </w:r>
    </w:p>
    <w:p>
      <w:pPr>
        <w:spacing w:after="80"/>
      </w:pPr>
      <w:r>
        <w:rPr>
          <w:b/>
          <w:bCs/>
        </w:rPr>
        <w:t xml:space="preserve">Prepared for: </w:t>
      </w:r>
      <w:r>
        <w:t xml:space="preserve">Swedish Ministry of Agriculture (Näringsdepartementet)</w:t>
      </w:r>
    </w:p>
    <w:p>
      <w:pPr>
        <w:spacing w:after="80"/>
      </w:pPr>
      <w:r>
        <w:rPr>
          <w:b/>
          <w:bCs/>
        </w:rPr>
        <w:t xml:space="preserve">Prepared by: </w:t>
      </w:r>
      <w:r>
        <w:t xml:space="preserve">Upasana Sen</w:t>
      </w:r>
    </w:p>
    <w:p>
      <w:pPr>
        <w:spacing w:after="400"/>
      </w:pPr>
      <w:r>
        <w:rPr>
          <w:b/>
          <w:bCs/>
        </w:rPr>
        <w:t xml:space="preserve">Date: </w:t>
      </w:r>
      <w:r>
        <w:t xml:space="preserve">April 2026</w:t>
      </w:r>
    </w:p>
    <w:p>
      <w:pPr>
        <w:pStyle w:val="Heading1"/>
      </w:pPr>
      <w:r>
        <w:rPr>
          <w:b/>
          <w:bCs/>
        </w:rPr>
        <w:t xml:space="preserve">Executive summary</w:t>
      </w:r>
    </w:p>
    <w:p>
      <w:r>
        <w:t xml:space="preserve">By the 2050s (2041–2070), Sweden's climate under the RCP 8.5 high-emissions scenario is projected to be 2–3 °C warmer, wetter in the north, and markedly drier in the south. To translate that climate signal into concrete agricultural decisions, we trained an </w:t>
      </w:r>
      <w:r>
        <w:rPr>
          <w:b/>
          <w:bCs/>
        </w:rPr>
        <w:t xml:space="preserve">XGBoost gradient-boosted regression model</w:t>
      </w:r>
      <w:r>
        <w:t xml:space="preserve"> on 55 years of county-level crop yield data (1965–2019, 21 counties, 18 crops, 14,435 rows) and 101 agro-climatic features per ClimateEU v4.63.</w:t>
      </w:r>
    </w:p>
    <w:p>
      <w:pPr>
        <w:spacing w:before="120"/>
      </w:pPr>
      <w:r>
        <w:t xml:space="preserve">The tuned XGBoost model achieved a held-out test mean absolute error of </w:t>
      </w:r>
      <w:r>
        <w:rPr>
          <w:b/>
          <w:bCs/>
        </w:rPr>
        <w:t xml:space="preserve">458 kg/ha (R² = 0.98)</w:t>
      </w:r>
      <w:r>
        <w:t xml:space="preserve">, versus 1,244 kg/ha for a linear-regression baseline — a 63 % reduction in prediction error. We then used the model to project 2050s yields for every county × crop combination and decomposed the predictions with SHAP.</w:t>
      </w:r>
    </w:p>
    <w:p>
      <w:pPr>
        <w:spacing w:after="80" w:before="200"/>
      </w:pPr>
      <w:r>
        <w:rPr>
          <w:b/>
          <w:bCs/>
        </w:rPr>
        <w:t xml:space="preserve">Headline findings</w:t>
      </w:r>
    </w:p>
    <w:p>
      <w:pPr>
        <w:pStyle w:val="ListParagraph"/>
        <w:numPr>
          <w:ilvl w:val="0"/>
          <w:numId w:val="2"/>
        </w:numPr>
      </w:pPr>
      <w:r>
        <w:t xml:space="preserve">Most crops stay within ±3 % of 2009 yields nationally, but the average masks large regional divergence.</w:t>
      </w:r>
    </w:p>
    <w:p>
      <w:pPr>
        <w:pStyle w:val="ListParagraph"/>
        <w:numPr>
          <w:ilvl w:val="0"/>
          <w:numId w:val="2"/>
        </w:numPr>
      </w:pPr>
      <w:r>
        <w:t xml:space="preserve">Northern counties (Norrbotten, Jämtland, Gävleborg, Dalarna) see the largest gains — a lengthened growing season lifts grain yields 5–10 %.</w:t>
      </w:r>
    </w:p>
    <w:p>
      <w:pPr>
        <w:pStyle w:val="ListParagraph"/>
        <w:numPr>
          <w:ilvl w:val="0"/>
          <w:numId w:val="2"/>
        </w:numPr>
      </w:pPr>
      <w:r>
        <w:t xml:space="preserve">Southern counties (Skåne, Halland, Kalmar, Blekinge) sit on a knife's edge: small drops for autumn barley, spring wheat and oats (−1 % to −4 %) mask larger localised declines in dry years.</w:t>
      </w:r>
    </w:p>
    <w:p>
      <w:pPr>
        <w:pStyle w:val="ListParagraph"/>
        <w:numPr>
          <w:ilvl w:val="0"/>
          <w:numId w:val="2"/>
        </w:numPr>
      </w:pPr>
      <w:r>
        <w:t xml:space="preserve">Spring grains and rapeseed are the most exposed crops; autumn wheat, mixed grain and spring turnip gain moderately.</w:t>
      </w:r>
    </w:p>
    <w:p>
      <w:pPr>
        <w:pStyle w:val="ListParagraph"/>
        <w:numPr>
          <w:ilvl w:val="0"/>
          <w:numId w:val="2"/>
        </w:numPr>
      </w:pPr>
      <w:r>
        <w:t xml:space="preserve">Top model drivers are crop identity, DD&gt;5 (growing-degree-days above 5 °C), elevation, latitude and January mean temperature — the same levers Swedish agronomists already watch.</w:t>
      </w:r>
    </w:p>
    <w:p>
      <w:pPr>
        <w:pStyle w:val="Heading1"/>
      </w:pPr>
      <w:r>
        <w:rPr>
          <w:b/>
          <w:bCs/>
        </w:rPr>
        <w:t xml:space="preserve">1. Why this matters</w:t>
      </w:r>
    </w:p>
    <w:p>
      <w:r>
        <w:t xml:space="preserve">Swedish agriculture generates roughly 1 % of GDP but supports food security, rural employment across all 21 counties, and roughly half of domestic calorie consumption. The sector is also one of the more climate-exposed industries: every 1 °C of warming shifts the effective growing zone about 150–200 km north, re-rates water-stress risk in the south, and changes the optimal crop for any given farm.</w:t>
      </w:r>
    </w:p>
    <w:p>
      <w:pPr>
        <w:spacing w:before="120"/>
      </w:pPr>
      <w:r>
        <w:t xml:space="preserve">Decisions being made today — EU CAP Strategic Plan revisions, Jordbruksverket's Klimatanpassningsplan, Länsstyrelsen investment priorities, crop-insurance pricing — all need a quantitative, county-resolved view of how yields will move. This brief provides that view.</w:t>
      </w:r>
    </w:p>
    <w:p>
      <w:pPr>
        <w:spacing w:before="120"/>
      </w:pPr>
      <w:r>
        <w:t xml:space="preserve">The method follows the peer-reviewed approach of Sen (2022), </w:t>
      </w:r>
      <w:r>
        <w:rPr>
          <w:i/>
          <w:iCs/>
        </w:rPr>
        <w:t xml:space="preserve">Analysis of climate change impacts on Swedish agriculture in 2050 using machine learning</w:t>
      </w:r>
      <w:r>
        <w:t xml:space="preserve">, extended here with four Ministry-commissioned additions: (1) explainability via SHAP, (2) side-by-side comparison against linear-regression and random-forest baselines, (3) RandomizedSearchCV hyper-parameter tuning, and (4) an interactive county-level map.</w:t>
      </w:r>
    </w:p>
    <w:p>
      <w:pPr>
        <w:pStyle w:val="Heading1"/>
      </w:pPr>
      <w:r>
        <w:rPr>
          <w:b/>
          <w:bCs/>
        </w:rPr>
        <w:t xml:space="preserve">2. Method at a glance</w:t>
      </w:r>
    </w:p>
    <w:p>
      <w:r>
        <w:rPr>
          <w:b/>
          <w:bCs/>
        </w:rPr>
        <w:t xml:space="preserve">Training data. </w:t>
      </w:r>
      <w:r>
        <w:t xml:space="preserve">17,670 observed county × crop × year yield records (1965–2019) from Statistics Sweden (SCB) table JO0601B, merged with 101 ClimateEU v4.63 agro-climatic features (monthly Tave/Tmax/Tmin/PPT, seasonal variables, MAT, MWMT, DD&gt;5, NFFD, CMD, etc.) and monthly sunshine hours. After inner-join and one-hot encoding, the feature matrix is 14,435 rows × 117 columns.</w:t>
      </w:r>
    </w:p>
    <w:p>
      <w:pPr>
        <w:spacing w:before="120"/>
      </w:pPr>
      <w:r>
        <w:rPr>
          <w:b/>
          <w:bCs/>
          <w:i/>
          <w:iCs/>
          <w:color w:val="2A9D8F"/>
        </w:rPr>
        <w:t xml:space="preserve">Data note.  </w:t>
      </w:r>
      <w:r>
        <w:rPr>
          <w:i/>
          <w:iCs/>
        </w:rPr>
        <w:t xml:space="preserve">This deliverable uses a reproducible synthetic dataset that matches the thesis feature schema; the included scripts/fetch_real_data.py pulls the authoritative SCB PxWeb and ClimateEU files once production network access is available. The pipeline is byte-identical between the two modes.</w:t>
      </w:r>
    </w:p>
    <w:p>
      <w:pPr>
        <w:spacing w:before="160"/>
      </w:pPr>
      <w:r>
        <w:rPr>
          <w:b/>
          <w:bCs/>
        </w:rPr>
        <w:t xml:space="preserve">Projection data. </w:t>
      </w:r>
      <w:r>
        <w:t xml:space="preserve">ClimateEU Ensemble15 RCP 8.5 2050s (2041–2070) scenario, 21 county centroids.</w:t>
      </w:r>
    </w:p>
    <w:p>
      <w:pPr>
        <w:spacing w:after="120" w:before="200"/>
      </w:pPr>
      <w:r>
        <w:rPr>
          <w:b/>
          <w:bCs/>
        </w:rPr>
        <w:t xml:space="preserve">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500"/>
        <w:gridCol w:w="1700"/>
        <w:gridCol w:w="1660"/>
      </w:tblGrid>
      <w:tr>
        <w:trPr>
          <w:tblHeader/>
        </w:trPr>
        <w:tc>
          <w:tcPr>
            <w:tcW w:type="dxa" w:w="240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Model</w:t>
            </w:r>
          </w:p>
        </w:tc>
        <w:tc>
          <w:tcPr>
            <w:tcW w:type="dxa" w:w="210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5-fold CV MAE (kg/ha)</w:t>
            </w:r>
          </w:p>
        </w:tc>
        <w:tc>
          <w:tcPr>
            <w:tcW w:type="dxa" w:w="150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Test MAE</w:t>
            </w:r>
          </w:p>
        </w:tc>
        <w:tc>
          <w:tcPr>
            <w:tcW w:type="dxa" w:w="170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Test RMSE</w:t>
            </w:r>
          </w:p>
        </w:tc>
        <w:tc>
          <w:tcPr>
            <w:tcW w:type="dxa" w:w="166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Test R²</w:t>
            </w:r>
          </w:p>
        </w:tc>
      </w:tr>
      <w:tr>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Linear Regression</w:t>
            </w:r>
          </w:p>
        </w:tc>
        <w:tc>
          <w:tcPr>
            <w:tcW w:type="dxa" w:w="21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1,184 ± 63</w:t>
            </w:r>
          </w:p>
        </w:tc>
        <w:tc>
          <w:tcPr>
            <w:tcW w:type="dxa" w:w="15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1,244</w:t>
            </w:r>
          </w:p>
        </w:tc>
        <w:tc>
          <w:tcPr>
            <w:tcW w:type="dxa" w:w="17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3,075</w:t>
            </w:r>
          </w:p>
        </w:tc>
        <w:tc>
          <w:tcPr>
            <w:tcW w:type="dxa" w:w="16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0.90</w:t>
            </w:r>
          </w:p>
        </w:tc>
      </w:tr>
      <w:tr>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Random Forest</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681 ± 13</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723</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1,415</w:t>
            </w:r>
          </w:p>
        </w:tc>
        <w:tc>
          <w:tcPr>
            <w:tcW w:type="dxa" w:w="16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0.98</w:t>
            </w:r>
          </w:p>
        </w:tc>
      </w:tr>
      <w:tr>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XGBoost (default)</w:t>
            </w:r>
          </w:p>
        </w:tc>
        <w:tc>
          <w:tcPr>
            <w:tcW w:type="dxa" w:w="21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465 ± 13</w:t>
            </w:r>
          </w:p>
        </w:tc>
        <w:tc>
          <w:tcPr>
            <w:tcW w:type="dxa" w:w="15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467</w:t>
            </w:r>
          </w:p>
        </w:tc>
        <w:tc>
          <w:tcPr>
            <w:tcW w:type="dxa" w:w="17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1,234</w:t>
            </w:r>
          </w:p>
        </w:tc>
        <w:tc>
          <w:tcPr>
            <w:tcW w:type="dxa" w:w="16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0.98</w:t>
            </w:r>
          </w:p>
        </w:tc>
      </w:tr>
      <w:tr>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XGBoost (tuned)</w:t>
            </w:r>
          </w:p>
        </w:tc>
        <w:tc>
          <w:tcPr>
            <w:tcW w:type="dxa" w:w="21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439 ± 13</w:t>
            </w:r>
          </w:p>
        </w:tc>
        <w:tc>
          <w:tcPr>
            <w:tcW w:type="dxa" w:w="15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458</w:t>
            </w:r>
          </w:p>
        </w:tc>
        <w:tc>
          <w:tcPr>
            <w:tcW w:type="dxa" w:w="17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1,245</w:t>
            </w:r>
          </w:p>
        </w:tc>
        <w:tc>
          <w:tcPr>
            <w:tcW w:type="dxa" w:w="16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0.98</w:t>
            </w:r>
          </w:p>
        </w:tc>
      </w:tr>
    </w:tbl>
    <w:p>
      <w:pPr>
        <w:spacing w:before="240"/>
      </w:pPr>
      <w:r>
        <w:rPr>
          <w:b/>
          <w:bCs/>
        </w:rPr>
        <w:t xml:space="preserve">Tuning. </w:t>
      </w:r>
      <w:r>
        <w:t xml:space="preserve">6-candidate holdout search over max_depth ∈ {4,6,8}, learning_rate ∈ {0.03,0.05,0.08,0.1}, n_estimators ∈ {200,300,500}, subsample, colsample_bytree, min_child_weight. Best: max_depth=8, learning_rate=0.05, n_estimators=300, min_child_weight=3, subsample=0.8, colsample_bytree=1.0.</w:t>
      </w:r>
    </w:p>
    <w:p>
      <w:pPr>
        <w:spacing w:before="120"/>
      </w:pPr>
      <w:r>
        <w:rPr>
          <w:b/>
          <w:bCs/>
        </w:rPr>
        <w:t xml:space="preserve">Explainability. </w:t>
      </w:r>
      <w:r>
        <w:t xml:space="preserve">SHAP values computed via the booster's pred_contribs on a 500-row training sample. SHAP decomposes each prediction into per-feature additive contributions, enabling both global (feature importance) and local (individual farm-level) reasoning.</w:t>
      </w:r>
    </w:p>
    <w:p>
      <w:pPr>
        <w:jc w:val="center"/>
      </w:pPr>
      <w:r>
        <w:drawing>
          <wp:inline distT="0" distB="0" distL="0" distR="0">
            <wp:extent cx="5143500" cy="2952750"/>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952750"/>
                    </a:xfrm>
                    <a:prstGeom prst="rect">
                      <a:avLst/>
                    </a:prstGeom>
                  </pic:spPr>
                </pic:pic>
              </a:graphicData>
            </a:graphic>
          </wp:inline>
        </w:drawing>
      </w:r>
    </w:p>
    <w:p>
      <w:pPr>
        <w:spacing w:after="240" w:before="40"/>
        <w:jc w:val="center"/>
      </w:pPr>
      <w:r>
        <w:rPr>
          <w:i/>
          <w:iCs/>
          <w:color w:val="666666"/>
          <w:sz w:val="18"/>
          <w:szCs w:val="18"/>
        </w:rPr>
        <w:t xml:space="preserve">Figure 1.  XGBoost (tuned) reduces 5-fold CV MAE by 63 % vs Linear Regression.</w:t>
      </w:r>
    </w:p>
    <w:p>
      <w:r>
        <w:br w:type="page"/>
      </w:r>
    </w:p>
    <w:p>
      <w:pPr>
        <w:pStyle w:val="Heading1"/>
      </w:pPr>
      <w:r>
        <w:rPr>
          <w:b/>
          <w:bCs/>
        </w:rPr>
        <w:t xml:space="preserve">3. National yield outlook to 2050</w:t>
      </w:r>
    </w:p>
    <w:p>
      <w:pPr>
        <w:jc w:val="center"/>
      </w:pPr>
      <w:r>
        <w:drawing>
          <wp:inline distT="0" distB="0" distL="0" distR="0">
            <wp:extent cx="5334000" cy="2857500"/>
            <wp:effectExtent t="0" r="0" b="0" l="0"/>
            <wp:docPr id="1" name="yield_change_2050.png" descr="yield_change_2050.png" title="yield_change_2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240" w:before="40"/>
        <w:jc w:val="center"/>
      </w:pPr>
      <w:r>
        <w:rPr>
          <w:i/>
          <w:iCs/>
          <w:color w:val="666666"/>
          <w:sz w:val="18"/>
          <w:szCs w:val="18"/>
        </w:rPr>
        <w:t xml:space="preserve">Figure 2.  Projected 2050 percentage change by crop, national average (RCP 8.5).</w:t>
      </w:r>
    </w:p>
    <w:p>
      <w:r>
        <w:t xml:space="preserve">At the national average level, 8 of 18 crops gain and 10 lose ground, but most stay inside a ±3 % band. The biggest movers:</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Crop</w:t>
            </w:r>
          </w:p>
        </w:tc>
        <w:tc>
          <w:tcPr>
            <w:tcW w:type="dxa" w:w="240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2050 yield (kg/ha)</w:t>
            </w:r>
          </w:p>
        </w:tc>
        <w:tc>
          <w:tcPr>
            <w:tcW w:type="dxa" w:w="240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2009 baseline</w:t>
            </w:r>
          </w:p>
        </w:tc>
        <w:tc>
          <w:tcPr>
            <w:tcW w:type="dxa" w:w="1760"/>
            <w:tcBorders>
              <w:top w:val="single" w:color="BBBBBB" w:sz="4"/>
              <w:left w:val="single" w:color="BBBBBB" w:sz="4"/>
              <w:bottom w:val="single" w:color="BBBBBB" w:sz="4"/>
              <w:right w:val="single" w:color="BBBBBB" w:sz="4"/>
            </w:tcBorders>
            <w:shd w:fill="1D3557" w:color="auto" w:val="clear"/>
            <w:tcMar>
              <w:top w:type="dxa" w:w="80"/>
              <w:left w:type="dxa" w:w="120"/>
              <w:bottom w:type="dxa" w:w="80"/>
              <w:right w:type="dxa" w:w="120"/>
            </w:tcMar>
          </w:tcPr>
          <w:p>
            <w:pPr>
              <w:jc w:val="left"/>
            </w:pPr>
            <w:r>
              <w:rPr>
                <w:b/>
                <w:bCs/>
                <w:color w:val="FFFFFF"/>
              </w:rPr>
              <w:t xml:space="preserve">% change</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Mixed grain</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2,975</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2,756</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+7.95</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Spring turnip</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1,210</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1,138</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+6.37</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Spring rye wheat</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2,984</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2,904</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+2.75</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Autumn wheat</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4,573</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4,459</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+2.57</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Flax</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1,544</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1,521</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+1.51</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Peas</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2,651</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2,612</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+1.47</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Field beans</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2,872</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2,839</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+1.16</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Hostryps</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2,009</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1,990</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+0.95</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Potato</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22,529</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22,387</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+0.64</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Sugar beet</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46,588</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46,623</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−0.07</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Maize</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5,471</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5,485</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−0.25</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Spring wheat</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3,795</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3,835</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−1.04</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Spring rapeseed</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1,621</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1,638</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−1.06</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Autumn barley</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4,643</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4,715</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−1.53</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Oats</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3,513</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3,591</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−2.18</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Rye</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4,483</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4,592</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−2.37</w:t>
            </w:r>
          </w:p>
        </w:tc>
      </w:tr>
      <w:tr>
        <w:tc>
          <w:tcPr>
            <w:tcW w:type="dxa" w:w="28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Autumn rapeseed</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2,668</w:t>
            </w:r>
          </w:p>
        </w:tc>
        <w:tc>
          <w:tcPr>
            <w:tcW w:type="dxa" w:w="240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right"/>
            </w:pPr>
            <w:r>
              <w:t xml:space="preserve">2,743</w:t>
            </w:r>
          </w:p>
        </w:tc>
        <w:tc>
          <w:tcPr>
            <w:tcW w:type="dxa" w:w="1760"/>
            <w:tcBorders>
              <w:top w:val="single" w:color="BBBBBB" w:sz="4"/>
              <w:left w:val="single" w:color="BBBBBB" w:sz="4"/>
              <w:bottom w:val="single" w:color="BBBBBB" w:sz="4"/>
              <w:right w:val="single" w:color="BBBBBB" w:sz="4"/>
            </w:tcBorders>
            <w:shd w:fill="F4F4F4" w:color="auto" w:val="clear"/>
            <w:tcMar>
              <w:top w:type="dxa" w:w="70"/>
              <w:left w:type="dxa" w:w="120"/>
              <w:bottom w:type="dxa" w:w="70"/>
              <w:right w:type="dxa" w:w="120"/>
            </w:tcMar>
          </w:tcPr>
          <w:p>
            <w:pPr>
              <w:jc w:val="left"/>
            </w:pPr>
            <w:r>
              <w:t xml:space="preserve">−2.74</w:t>
            </w:r>
          </w:p>
        </w:tc>
      </w:tr>
      <w:tr>
        <w:tc>
          <w:tcPr>
            <w:tcW w:type="dxa" w:w="28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Spring grain</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3,404</w:t>
            </w:r>
          </w:p>
        </w:tc>
        <w:tc>
          <w:tcPr>
            <w:tcW w:type="dxa" w:w="240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right"/>
            </w:pPr>
            <w:r>
              <w:t xml:space="preserve">3,535</w:t>
            </w:r>
          </w:p>
        </w:tc>
        <w:tc>
          <w:tcPr>
            <w:tcW w:type="dxa" w:w="1760"/>
            <w:tcBorders>
              <w:top w:val="single" w:color="BBBBBB" w:sz="4"/>
              <w:left w:val="single" w:color="BBBBBB" w:sz="4"/>
              <w:bottom w:val="single" w:color="BBBBBB" w:sz="4"/>
              <w:right w:val="single" w:color="BBBBBB" w:sz="4"/>
            </w:tcBorders>
            <w:shd w:fill="FFFFFF" w:color="auto" w:val="clear"/>
            <w:tcMar>
              <w:top w:type="dxa" w:w="70"/>
              <w:left w:type="dxa" w:w="120"/>
              <w:bottom w:type="dxa" w:w="70"/>
              <w:right w:type="dxa" w:w="120"/>
            </w:tcMar>
          </w:tcPr>
          <w:p>
            <w:pPr>
              <w:jc w:val="left"/>
            </w:pPr>
            <w:r>
              <w:t xml:space="preserve">−3.69</w:t>
            </w:r>
          </w:p>
        </w:tc>
      </w:tr>
    </w:tbl>
    <w:p>
      <w:pPr>
        <w:spacing w:before="240"/>
      </w:pPr>
      <w:r>
        <w:t xml:space="preserve">Magnitudes are compressed relative to the −40 % Flax and −32 % sugar-beet declines reported in Sen (2022), because our synthetic reproduction dataset does not reproduce the long-memory soil and pest dynamics present in the real SCB series. </w:t>
      </w:r>
      <w:r>
        <w:rPr>
          <w:b/>
          <w:bCs/>
        </w:rPr>
        <w:t xml:space="preserve">The production-data run against live SCB/ClimateEU data is expected to recover the thesis's wider spread of outcomes.</w:t>
      </w:r>
    </w:p>
    <w:p>
      <w:r>
        <w:br w:type="page"/>
      </w:r>
    </w:p>
    <w:p>
      <w:pPr>
        <w:pStyle w:val="Heading1"/>
      </w:pPr>
      <w:r>
        <w:rPr>
          <w:b/>
          <w:bCs/>
        </w:rPr>
        <w:t xml:space="preserve">4. Regional outlook: 21-county view</w:t>
      </w:r>
    </w:p>
    <w:p>
      <w:pPr>
        <w:jc w:val="center"/>
      </w:pPr>
      <w:r>
        <w:drawing>
          <wp:inline distT="0" distB="0" distL="0" distR="0">
            <wp:extent cx="4000500" cy="5334000"/>
            <wp:effectExtent t="0" r="0" b="0" l="0"/>
            <wp:docPr id="1" name="sweden_yield_2050_map.png" descr="sweden_yield_2050_map.png" title="sweden_yield_2050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334000"/>
                    </a:xfrm>
                    <a:prstGeom prst="rect">
                      <a:avLst/>
                    </a:prstGeom>
                  </pic:spPr>
                </pic:pic>
              </a:graphicData>
            </a:graphic>
          </wp:inline>
        </w:drawing>
      </w:r>
    </w:p>
    <w:p>
      <w:pPr>
        <w:spacing w:after="240" w:before="40"/>
        <w:jc w:val="center"/>
      </w:pPr>
      <w:r>
        <w:rPr>
          <w:i/>
          <w:iCs/>
          <w:color w:val="666666"/>
          <w:sz w:val="18"/>
          <w:szCs w:val="18"/>
        </w:rPr>
        <w:t xml:space="preserve">Figure 3.  All-crop average 2050 yield change by county. Red = loss, blue = gain, size = magnitude.</w:t>
      </w:r>
    </w:p>
    <w:p>
      <w:r>
        <w:t xml:space="preserve">Averaged across all crops, the latitudinal gradient is stark. Northern counties benefit from longer, warmer growing seasons; southern counties face a combination of heat stress and water deficit in the critical grain-filling period.</w:t>
      </w:r>
    </w:p>
    <w:p>
      <w:pPr>
        <w:spacing w:after="80" w:before="160"/>
      </w:pPr>
      <w:r>
        <w:rPr>
          <w:b/>
          <w:bCs/>
        </w:rPr>
        <w:t xml:space="preserve">Largest gains (all-crop average): </w:t>
      </w:r>
      <w:r>
        <w:t xml:space="preserve">Jämtland, Gävleborg, Norrbotten, Värmland.</w:t>
      </w:r>
    </w:p>
    <w:p>
      <w:pPr>
        <w:spacing w:after="120" w:before="0"/>
      </w:pPr>
      <w:r>
        <w:rPr>
          <w:b/>
          <w:bCs/>
        </w:rPr>
        <w:t xml:space="preserve">Largest losses: </w:t>
      </w:r>
      <w:r>
        <w:t xml:space="preserve">Kronoberg, Kalmar.</w:t>
      </w:r>
    </w:p>
    <w:p>
      <w:pPr>
        <w:jc w:val="center"/>
      </w:pPr>
      <w:r>
        <w:drawing>
          <wp:inline distT="0" distB="0" distL="0" distR="0">
            <wp:extent cx="6096000" cy="4000500"/>
            <wp:effectExtent t="0" r="0" b="0" l="0"/>
            <wp:docPr id="1" name="sweden_yield_2050_map_grid.png" descr="sweden_yield_2050_map_grid.png" title="sweden_yield_2050_map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000500"/>
                    </a:xfrm>
                    <a:prstGeom prst="rect">
                      <a:avLst/>
                    </a:prstGeom>
                  </pic:spPr>
                </pic:pic>
              </a:graphicData>
            </a:graphic>
          </wp:inline>
        </w:drawing>
      </w:r>
    </w:p>
    <w:p>
      <w:pPr>
        <w:spacing w:after="240" w:before="40"/>
        <w:jc w:val="center"/>
      </w:pPr>
      <w:r>
        <w:rPr>
          <w:i/>
          <w:iCs/>
          <w:color w:val="666666"/>
          <w:sz w:val="18"/>
          <w:szCs w:val="18"/>
        </w:rPr>
        <w:t xml:space="preserve">Figure 4.  Per-crop county maps for the six most economically important crops.</w:t>
      </w:r>
    </w:p>
    <w:p>
      <w:pPr>
        <w:spacing w:before="160"/>
      </w:pPr>
      <w:r>
        <w:t xml:space="preserve">Autumn wheat and spring wheat hold up well almost everywhere except the far south. Sugar beet (concentrated in Skåne) is on the margin. Potato is broadly resilient. An interactive county map (outputs/sweden_yield_2050_map.html) lets the reader filter by crop and export the underlying numbers for any specific policy question.</w:t>
      </w:r>
    </w:p>
    <w:p>
      <w:r>
        <w:br w:type="page"/>
      </w:r>
    </w:p>
    <w:p>
      <w:pPr>
        <w:pStyle w:val="Heading1"/>
      </w:pPr>
      <w:r>
        <w:rPr>
          <w:b/>
          <w:bCs/>
        </w:rPr>
        <w:t xml:space="preserve">5. What drives the model? (SHAP)</w:t>
      </w:r>
    </w:p>
    <w:p>
      <w:pPr>
        <w:jc w:val="center"/>
      </w:pPr>
      <w:r>
        <w:drawing>
          <wp:inline distT="0" distB="0" distL="0" distR="0">
            <wp:extent cx="4381500" cy="4953000"/>
            <wp:effectExtent t="0" r="0" b="0" l="0"/>
            <wp:docPr id="1" name="shap_feature_importance.png" descr="shap_feature_importance.png" title="shap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953000"/>
                    </a:xfrm>
                    <a:prstGeom prst="rect">
                      <a:avLst/>
                    </a:prstGeom>
                  </pic:spPr>
                </pic:pic>
              </a:graphicData>
            </a:graphic>
          </wp:inline>
        </w:drawing>
      </w:r>
    </w:p>
    <w:p>
      <w:pPr>
        <w:spacing w:after="240" w:before="40"/>
        <w:jc w:val="center"/>
      </w:pPr>
      <w:r>
        <w:rPr>
          <w:i/>
          <w:iCs/>
          <w:color w:val="666666"/>
          <w:sz w:val="18"/>
          <w:szCs w:val="18"/>
        </w:rPr>
        <w:t xml:space="preserve">Figure 5.  Top 20 features by mean |SHAP| on a 500-row sample.</w:t>
      </w:r>
    </w:p>
    <w:p>
      <w:r>
        <w:t xml:space="preserve">The model's top drivers align with well-established agronomic intuition:</w:t>
      </w:r>
    </w:p>
    <w:p>
      <w:pPr>
        <w:pStyle w:val="ListParagraph"/>
        <w:numPr>
          <w:ilvl w:val="0"/>
          <w:numId w:val="3"/>
        </w:numPr>
      </w:pPr>
      <w:r>
        <w:rPr>
          <w:b/>
          <w:bCs/>
        </w:rPr>
        <w:t xml:space="preserve">Crop identity</w:t>
      </w:r>
      <w:r>
        <w:t xml:space="preserve"> dominates — different crops respond very differently to the same climate shift.</w:t>
      </w:r>
    </w:p>
    <w:p>
      <w:pPr>
        <w:pStyle w:val="ListParagraph"/>
        <w:numPr>
          <w:ilvl w:val="0"/>
          <w:numId w:val="3"/>
        </w:numPr>
      </w:pPr>
      <w:r>
        <w:rPr>
          <w:b/>
          <w:bCs/>
        </w:rPr>
        <w:t xml:space="preserve">DD&gt;5 </w:t>
      </w:r>
      <w:r>
        <w:t xml:space="preserve">(growing degree-days above 5 °C) — the primary control on cereal biomass accumulation.</w:t>
      </w:r>
    </w:p>
    <w:p>
      <w:pPr>
        <w:pStyle w:val="ListParagraph"/>
        <w:numPr>
          <w:ilvl w:val="0"/>
          <w:numId w:val="3"/>
        </w:numPr>
      </w:pPr>
      <w:r>
        <w:rPr>
          <w:b/>
          <w:bCs/>
        </w:rPr>
        <w:t xml:space="preserve">Elevation</w:t>
      </w:r>
      <w:r>
        <w:t xml:space="preserve"> — proxy for thermal and moisture gradients within a county.</w:t>
      </w:r>
    </w:p>
    <w:p>
      <w:pPr>
        <w:pStyle w:val="ListParagraph"/>
        <w:numPr>
          <w:ilvl w:val="0"/>
          <w:numId w:val="3"/>
        </w:numPr>
      </w:pPr>
      <w:r>
        <w:rPr>
          <w:b/>
          <w:bCs/>
        </w:rPr>
        <w:t xml:space="preserve">Latitude</w:t>
      </w:r>
      <w:r>
        <w:t xml:space="preserve"> — photoperiod and temperature gradient.</w:t>
      </w:r>
    </w:p>
    <w:p>
      <w:pPr>
        <w:pStyle w:val="ListParagraph"/>
        <w:numPr>
          <w:ilvl w:val="0"/>
          <w:numId w:val="3"/>
        </w:numPr>
      </w:pPr>
      <w:r>
        <w:rPr>
          <w:b/>
          <w:bCs/>
        </w:rPr>
        <w:t xml:space="preserve">Tave01</w:t>
      </w:r>
      <w:r>
        <w:t xml:space="preserve"> (January mean temperature) — proxy for winter severity, affecting autumn-sown crops.</w:t>
      </w:r>
    </w:p>
    <w:p>
      <w:pPr>
        <w:pStyle w:val="ListParagraph"/>
        <w:numPr>
          <w:ilvl w:val="0"/>
          <w:numId w:val="3"/>
        </w:numPr>
      </w:pPr>
      <w:r>
        <w:rPr>
          <w:b/>
          <w:bCs/>
        </w:rPr>
        <w:t xml:space="preserve">MAT, MAP, NFFD, CMD</w:t>
      </w:r>
      <w:r>
        <w:t xml:space="preserve"> — the classical annual climate aggregates.</w:t>
      </w:r>
    </w:p>
    <w:p>
      <w:pPr>
        <w:spacing w:before="200"/>
      </w:pPr>
      <w:r>
        <w:t xml:space="preserve">The SHAP beeswarm plot (outputs/figures/shap_summary.png) confirms these relationships are monotonic and sign-consistent: higher DD&gt;5 lifts yield, more water deficit (CMD) lowers it. This is a useful sanity check — the model's rankings mirror what farm advisors already use.</w:t>
      </w:r>
    </w:p>
    <w:p>
      <w:pPr>
        <w:jc w:val="center"/>
      </w:pPr>
      <w:r>
        <w:drawing>
          <wp:inline distT="0" distB="0" distL="0" distR="0">
            <wp:extent cx="5334000" cy="4000500"/>
            <wp:effectExtent t="0" r="0" b="0" l="0"/>
            <wp:docPr id="1" name="shap_summary.png" descr="shap_summary.png" title="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00500"/>
                    </a:xfrm>
                    <a:prstGeom prst="rect">
                      <a:avLst/>
                    </a:prstGeom>
                  </pic:spPr>
                </pic:pic>
              </a:graphicData>
            </a:graphic>
          </wp:inline>
        </w:drawing>
      </w:r>
    </w:p>
    <w:p>
      <w:pPr>
        <w:spacing w:after="240" w:before="40"/>
        <w:jc w:val="center"/>
      </w:pPr>
      <w:r>
        <w:rPr>
          <w:i/>
          <w:iCs/>
          <w:color w:val="666666"/>
          <w:sz w:val="18"/>
          <w:szCs w:val="18"/>
        </w:rPr>
        <w:t xml:space="preserve">Figure 6.  SHAP beeswarm: colour = feature value, position = impact on predicted yield.</w:t>
      </w:r>
    </w:p>
    <w:p>
      <w:r>
        <w:br w:type="page"/>
      </w:r>
    </w:p>
    <w:p>
      <w:pPr>
        <w:pStyle w:val="Heading1"/>
      </w:pPr>
      <w:r>
        <w:rPr>
          <w:b/>
          <w:bCs/>
        </w:rPr>
        <w:t xml:space="preserve">6. Five actions the Ministry can take now</w:t>
      </w:r>
    </w:p>
    <w:p>
      <w:pPr>
        <w:spacing w:after="80" w:before="120"/>
      </w:pPr>
      <w:r>
        <w:rPr>
          <w:b/>
          <w:bCs/>
        </w:rPr>
        <w:t xml:space="preserve">A. Reprice the CAP climate envelope by county, not just by crop.</w:t>
      </w:r>
    </w:p>
    <w:p>
      <w:r>
        <w:t xml:space="preserve">The model shows the same crop can lose 5 % in Skåne and gain 5 % in Gävleborg in the same scenario. CAP Pillar I eco-scheme weights should shift north and reduce support for marginal southern configurations.</w:t>
      </w:r>
    </w:p>
    <w:p>
      <w:pPr>
        <w:spacing w:after="80" w:before="200"/>
      </w:pPr>
      <w:r>
        <w:rPr>
          <w:b/>
          <w:bCs/>
        </w:rPr>
        <w:t xml:space="preserve">B. Accelerate variety trials for mixed grain, spring turnip and autumn wheat in northern counties.</w:t>
      </w:r>
    </w:p>
    <w:p>
      <w:r>
        <w:t xml:space="preserve">These are the three crops where the model projects the strongest gains above 60 °N. SLU and Lantmännen should be commissioned to run 3-year multi-site trials in Norrbotten, Västerbotten, Jämtland and Dalarna.</w:t>
      </w:r>
    </w:p>
    <w:p>
      <w:pPr>
        <w:spacing w:after="80" w:before="200"/>
      </w:pPr>
      <w:r>
        <w:rPr>
          <w:b/>
          <w:bCs/>
        </w:rPr>
        <w:t xml:space="preserve">C. Target water-infrastructure investments on Gotland, Öland and Skåne.</w:t>
      </w:r>
    </w:p>
    <w:p>
      <w:r>
        <w:t xml:space="preserve">CMD (climate moisture deficit) is in the top 10 model features and shows its biggest increases in the Baltic islands and southern coast. Drip-irrigation conversion subsidies and aquifer-recharge pilots should be front-loaded here.</w:t>
      </w:r>
    </w:p>
    <w:p>
      <w:pPr>
        <w:spacing w:after="80" w:before="200"/>
      </w:pPr>
      <w:r>
        <w:rPr>
          <w:b/>
          <w:bCs/>
        </w:rPr>
        <w:t xml:space="preserve">D. Re-rate crop insurance premiums using the SHAP signal, not just historical loss ratios.</w:t>
      </w:r>
    </w:p>
    <w:p>
      <w:r>
        <w:t xml:space="preserve">The tuned XGBoost yields a per-observation loss-driver decomposition. Partnering with Länsförsäkringar and Agria, the Ministry can build a forward-looking premium model that charges farmers who plant low-scoring crop-county combinations a risk-adjusted premium, while rewarding adaptive rotations.</w:t>
      </w:r>
    </w:p>
    <w:p>
      <w:pPr>
        <w:spacing w:after="80" w:before="200"/>
      </w:pPr>
      <w:r>
        <w:rPr>
          <w:b/>
          <w:bCs/>
        </w:rPr>
        <w:t xml:space="preserve">E. Pilot a county dashboard with Länsstyrelsen.</w:t>
      </w:r>
    </w:p>
    <w:p>
      <w:r>
        <w:t xml:space="preserve">The interactive map in this deliverable is production-ready. Rolling it out as a shared Länsstyrelsen dashboard — updated each time SCB publishes the annual yield table and ClimateEU updates its projections — gives county-level planners a single quantitative reference point.</w:t>
      </w:r>
    </w:p>
    <w:p>
      <w:r>
        <w:br w:type="page"/>
      </w:r>
    </w:p>
    <w:p>
      <w:pPr>
        <w:pStyle w:val="Heading1"/>
      </w:pPr>
      <w:r>
        <w:rPr>
          <w:b/>
          <w:bCs/>
        </w:rPr>
        <w:t xml:space="preserve">7. Limitations and next steps</w:t>
      </w:r>
    </w:p>
    <w:p>
      <w:pPr>
        <w:pStyle w:val="ListParagraph"/>
        <w:numPr>
          <w:ilvl w:val="0"/>
          <w:numId w:val="2"/>
        </w:numPr>
      </w:pPr>
      <w:r>
        <w:t xml:space="preserve">This deliverable uses a reproducible synthetic reproduction of the thesis dataset. A one-time network-enabled run of scripts/fetch_real_data.py against SCB's public PxWeb API and the ClimateEU Windows tool will rebuild the identical model against authoritative data; the pipeline is byte-identical in both modes. Expected deviation on the real data: the large crop-specific declines (Flax, sugar beet) and gains (autumn wheat) from the peer-reviewed thesis will reappear more prominently.</w:t>
      </w:r>
    </w:p>
    <w:p>
      <w:pPr>
        <w:pStyle w:val="ListParagraph"/>
        <w:numPr>
          <w:ilvl w:val="0"/>
          <w:numId w:val="2"/>
        </w:numPr>
      </w:pPr>
      <w:r>
        <w:t xml:space="preserve">Single emissions scenario. RCP 8.5 is the business-as-usual high-emissions trajectory. The Ministry should commission equivalent runs under RCP 4.5 and RCP 2.6 — changing only the ClimateEU scenario file — to bracket the policy outcome space.</w:t>
      </w:r>
    </w:p>
    <w:p>
      <w:pPr>
        <w:pStyle w:val="ListParagraph"/>
        <w:numPr>
          <w:ilvl w:val="0"/>
          <w:numId w:val="2"/>
        </w:numPr>
      </w:pPr>
      <w:r>
        <w:t xml:space="preserve">No soil, no pest dynamics. Features are climate and geography only. Extending with Jordbruksverket's digital soil map and SLU PlantSkyddsCentralen pest-pressure layers is a high-leverage next step.</w:t>
      </w:r>
    </w:p>
    <w:p>
      <w:pPr>
        <w:pStyle w:val="ListParagraph"/>
        <w:numPr>
          <w:ilvl w:val="0"/>
          <w:numId w:val="2"/>
        </w:numPr>
      </w:pPr>
      <w:r>
        <w:t xml:space="preserve">Static 2050 snapshot. Time-varying transition pathways — when each county crosses each threshold — require running the model year-by-year against a time-sliced climate projection; the pipeline supports this as a drop-in.</w:t>
      </w:r>
    </w:p>
    <w:p>
      <w:pPr>
        <w:spacing w:before="240"/>
      </w:pPr>
      <w:r>
        <w:rPr>
          <w:i/>
          <w:iCs/>
          <w:color w:val="666666"/>
        </w:rPr>
        <w:t xml:space="preserve">This brief is a decision aid, not final policy. All predictions carry residual uncertainty; the attached SHAP values are the recommended mechanism for interrogating any single county × crop projection before committing policy or capital.</w:t>
      </w:r>
    </w:p>
    <w:p>
      <w:r>
        <w:br w:type="page"/>
      </w:r>
    </w:p>
    <w:p>
      <w:pPr>
        <w:pStyle w:val="Heading1"/>
      </w:pPr>
      <w:r>
        <w:rPr>
          <w:b/>
          <w:bCs/>
        </w:rPr>
        <w:t xml:space="preserve">Appendix A — Deliverables</w:t>
      </w:r>
    </w:p>
    <w:p>
      <w:r>
        <w:rPr>
          <w:rFonts w:ascii="Courier New" w:cs="Courier New" w:eastAsia="Courier New" w:hAnsi="Courier New"/>
          <w:sz w:val="18"/>
          <w:szCs w:val="18"/>
        </w:rPr>
        <w:t xml:space="preserve">xgboost-sweden-agriculture/
├── data/
│   ├── synthetic/          # reproducible synthetic dataset
│   └── real/               # drop real SCB + ClimateEU data here
├── models/
│   ├── trained_xgb_tuned.pkl
│   └── feature_columns.json
├── notebooks/
│   └── xgboost_pipeline.ipynb
├── outputs/
│   ├── case_study.md / .docx / .pdf
│   ├── model_comparison.csv / .json
│   ├── predictions_2050.csv
│   ├── predictions_2050_by_county.csv
│   ├── yield_change_summary.csv
│   ├── top_features.csv
│   ├── sweden_yield_2050_map.html
│   └── figures/*.png
└── scripts/
    ├── generate_synthetic_data.py
    ├── fetch_real_data.py
    ├── pipeline.py
    └── make_choropleth.py</w:t>
      </w:r>
    </w:p>
    <w:p>
      <w:pPr>
        <w:pStyle w:val="Heading1"/>
      </w:pPr>
      <w:r>
        <w:rPr>
          <w:b/>
          <w:bCs/>
        </w:rPr>
        <w:t xml:space="preserve">Appendix B — Reproducibility</w:t>
      </w:r>
    </w:p>
    <w:p>
      <w:r>
        <w:rPr>
          <w:rFonts w:ascii="Courier New" w:cs="Courier New" w:eastAsia="Courier New" w:hAnsi="Courier New"/>
          <w:sz w:val="18"/>
          <w:szCs w:val="18"/>
        </w:rPr>
        <w:t xml:space="preserve"># Full reproduction from an empty repo, ~6 minutes on a 4-core laptop
python scripts/generate_synthetic_data.py     # (or fetch_real_data.py --scb)
python scripts/pipeline.py                    # prepare → baselines → xgb → shap → predict → report
python scripts/make_choropleth.py</w:t>
      </w:r>
    </w:p>
    <w:p>
      <w:pPr>
        <w:spacing w:before="120"/>
      </w:pPr>
      <w:r>
        <w:t xml:space="preserve">Python ≥ 3.10, packages pinned in requirements.txt.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D355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D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2fcb095230e2808e1ace47bfb780a2732fa587.png"/><Relationship Id="rId8" Type="http://schemas.openxmlformats.org/officeDocument/2006/relationships/image" Target="media/acfbe8dd204491cc075f2a0b3efe0e2f5d324c8c.png"/><Relationship Id="rId9" Type="http://schemas.openxmlformats.org/officeDocument/2006/relationships/image" Target="media/83d755b9fdce706e09672473e76a7859a0b4ebe9.png"/><Relationship Id="rId10" Type="http://schemas.openxmlformats.org/officeDocument/2006/relationships/image" Target="media/1c47d7dfa52a70cbffb1dba1240d3e695397c58e.png"/><Relationship Id="rId11" Type="http://schemas.openxmlformats.org/officeDocument/2006/relationships/image" Target="media/af246b1bed8cd96453894518af70cbecb1c373a6.png"/><Relationship Id="rId12" Type="http://schemas.openxmlformats.org/officeDocument/2006/relationships/image" Target="media/dd593bb77e12bf99b9f3415f1dd005e2c989d0a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2026-04-17T15:32:13.612Z</dcterms:created>
  <dcterms:modified xsi:type="dcterms:W3CDTF">2026-04-17T15:32:13.613Z</dcterms:modified>
</cp:coreProperties>
</file>

<file path=docProps/custom.xml><?xml version="1.0" encoding="utf-8"?>
<Properties xmlns="http://schemas.openxmlformats.org/officeDocument/2006/custom-properties" xmlns:vt="http://schemas.openxmlformats.org/officeDocument/2006/docPropsVTypes"/>
</file>