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0D1B2A"/>
          <w:sz w:val="44"/>
        </w:rPr>
        <w:t>PROJECT REVIEW 3</w:t>
      </w:r>
    </w:p>
    <w:p>
      <w:pPr>
        <w:spacing w:after="280"/>
        <w:jc w:val="center"/>
      </w:pPr>
      <w:r>
        <w:rPr>
          <w:i/>
          <w:color w:val="5A5A5A"/>
          <w:sz w:val="24"/>
        </w:rPr>
        <w:t>AuxFlow: Static Analysis for Multi-Pass Document Compilation</w:t>
      </w:r>
    </w:p>
    <w:p>
      <w:pPr>
        <w:spacing w:before="360" w:after="120"/>
        <w:pBdr>
          <w:bottom w:val="single" w:sz="6" w:space="4" w:color="1B3A57"/>
        </w:pBdr>
      </w:pPr>
      <w:r>
        <w:rPr>
          <w:rFonts w:ascii="Calibri" w:hAnsi="Calibri"/>
          <w:b/>
          <w:color w:val="0D1B2A"/>
          <w:sz w:val="32"/>
        </w:rPr>
        <w:t>1. Title Page</w:t>
      </w:r>
    </w:p>
    <w:tbl>
      <w:tblPr>
        <w:tblStyle w:val="TableGrid"/>
        <w:tblW w:type="auto" w:w="0"/>
        <w:jc w:val="center"/>
        <w:tblLayout w:type="fixed"/>
        <w:tblLook w:firstColumn="1" w:firstRow="1" w:lastColumn="0" w:lastRow="0" w:noHBand="0" w:noVBand="1" w:val="04A0"/>
      </w:tblPr>
      <w:tblGrid>
        <w:gridCol w:w="2835"/>
        <w:gridCol w:w="5953"/>
      </w:tblGrid>
      <w:tr>
        <w:tc>
          <w:tcPr>
            <w:tcW w:type="dxa" w:w="4873"/>
            <w:shd w:val="clear" w:color="auto" w:fill="E6EDF3"/>
          </w:tcPr>
          <w:p>
            <w:r/>
            <w:r>
              <w:rPr>
                <w:rFonts w:ascii="Calibri" w:hAnsi="Calibri"/>
                <w:b/>
                <w:sz w:val="22"/>
              </w:rPr>
              <w:t>Project title</w:t>
            </w:r>
          </w:p>
        </w:tc>
        <w:tc>
          <w:tcPr>
            <w:tcW w:type="dxa" w:w="4873"/>
          </w:tcPr>
          <w:p>
            <w:r/>
            <w:r>
              <w:rPr>
                <w:rFonts w:ascii="Calibri" w:hAnsi="Calibri"/>
                <w:b w:val="0"/>
                <w:sz w:val="22"/>
              </w:rPr>
              <w:t>AuxFlow: Static Analysis for Multi-Pass Document Compilation</w:t>
            </w:r>
          </w:p>
        </w:tc>
      </w:tr>
      <w:tr>
        <w:tc>
          <w:tcPr>
            <w:tcW w:type="dxa" w:w="4873"/>
            <w:shd w:val="clear" w:color="auto" w:fill="E6EDF3"/>
          </w:tcPr>
          <w:p>
            <w:r/>
            <w:r>
              <w:rPr>
                <w:rFonts w:ascii="Calibri" w:hAnsi="Calibri"/>
                <w:b/>
                <w:sz w:val="22"/>
              </w:rPr>
              <w:t>Student name</w:t>
            </w:r>
          </w:p>
        </w:tc>
        <w:tc>
          <w:tcPr>
            <w:tcW w:type="dxa" w:w="4873"/>
          </w:tcPr>
          <w:p>
            <w:r/>
            <w:r>
              <w:rPr>
                <w:rFonts w:ascii="Calibri" w:hAnsi="Calibri"/>
                <w:b w:val="0"/>
                <w:sz w:val="22"/>
              </w:rPr>
              <w:t>Upayan Mazumder</w:t>
            </w:r>
          </w:p>
        </w:tc>
      </w:tr>
      <w:tr>
        <w:tc>
          <w:tcPr>
            <w:tcW w:type="dxa" w:w="4873"/>
            <w:shd w:val="clear" w:color="auto" w:fill="E6EDF3"/>
          </w:tcPr>
          <w:p>
            <w:r/>
            <w:r>
              <w:rPr>
                <w:rFonts w:ascii="Calibri" w:hAnsi="Calibri"/>
                <w:b/>
                <w:sz w:val="22"/>
              </w:rPr>
              <w:t>Register number</w:t>
            </w:r>
          </w:p>
        </w:tc>
        <w:tc>
          <w:tcPr>
            <w:tcW w:type="dxa" w:w="4873"/>
          </w:tcPr>
          <w:p>
            <w:r/>
            <w:r>
              <w:rPr>
                <w:rFonts w:ascii="Calibri" w:hAnsi="Calibri"/>
                <w:b w:val="0"/>
                <w:sz w:val="22"/>
              </w:rPr>
              <w:t>24BDS0367</w:t>
            </w:r>
          </w:p>
        </w:tc>
      </w:tr>
      <w:tr>
        <w:tc>
          <w:tcPr>
            <w:tcW w:type="dxa" w:w="4873"/>
            <w:shd w:val="clear" w:color="auto" w:fill="E6EDF3"/>
          </w:tcPr>
          <w:p>
            <w:r/>
            <w:r>
              <w:rPr>
                <w:rFonts w:ascii="Calibri" w:hAnsi="Calibri"/>
                <w:b/>
                <w:sz w:val="22"/>
              </w:rPr>
              <w:t>Programme</w:t>
            </w:r>
          </w:p>
        </w:tc>
        <w:tc>
          <w:tcPr>
            <w:tcW w:type="dxa" w:w="4873"/>
          </w:tcPr>
          <w:p>
            <w:r/>
            <w:r>
              <w:rPr>
                <w:rFonts w:ascii="Calibri" w:hAnsi="Calibri"/>
                <w:b w:val="0"/>
                <w:sz w:val="22"/>
              </w:rPr>
              <w:t>B.Tech CSE (Data Science)</w:t>
            </w:r>
          </w:p>
        </w:tc>
      </w:tr>
      <w:tr>
        <w:tc>
          <w:tcPr>
            <w:tcW w:type="dxa" w:w="4873"/>
            <w:shd w:val="clear" w:color="auto" w:fill="E6EDF3"/>
          </w:tcPr>
          <w:p>
            <w:r/>
            <w:r>
              <w:rPr>
                <w:rFonts w:ascii="Calibri" w:hAnsi="Calibri"/>
                <w:b/>
                <w:sz w:val="22"/>
              </w:rPr>
              <w:t>Department</w:t>
            </w:r>
          </w:p>
        </w:tc>
        <w:tc>
          <w:tcPr>
            <w:tcW w:type="dxa" w:w="4873"/>
          </w:tcPr>
          <w:p>
            <w:r/>
            <w:r>
              <w:rPr>
                <w:rFonts w:ascii="Calibri" w:hAnsi="Calibri"/>
                <w:b w:val="0"/>
                <w:sz w:val="22"/>
              </w:rPr>
              <w:t>School of Computer Science and Engineering (SCOPE)</w:t>
            </w:r>
          </w:p>
        </w:tc>
      </w:tr>
      <w:tr>
        <w:tc>
          <w:tcPr>
            <w:tcW w:type="dxa" w:w="4873"/>
            <w:shd w:val="clear" w:color="auto" w:fill="E6EDF3"/>
          </w:tcPr>
          <w:p>
            <w:r/>
            <w:r>
              <w:rPr>
                <w:rFonts w:ascii="Calibri" w:hAnsi="Calibri"/>
                <w:b/>
                <w:sz w:val="22"/>
              </w:rPr>
              <w:t>College</w:t>
            </w:r>
          </w:p>
        </w:tc>
        <w:tc>
          <w:tcPr>
            <w:tcW w:type="dxa" w:w="4873"/>
          </w:tcPr>
          <w:p>
            <w:r/>
            <w:r>
              <w:rPr>
                <w:rFonts w:ascii="Calibri" w:hAnsi="Calibri"/>
                <w:b w:val="0"/>
                <w:sz w:val="22"/>
              </w:rPr>
              <w:t>Vellore Institute of Technology, Vellore, Tamil Nadu, India</w:t>
            </w:r>
          </w:p>
        </w:tc>
      </w:tr>
      <w:tr>
        <w:tc>
          <w:tcPr>
            <w:tcW w:type="dxa" w:w="4873"/>
            <w:shd w:val="clear" w:color="auto" w:fill="E6EDF3"/>
          </w:tcPr>
          <w:p>
            <w:r/>
            <w:r>
              <w:rPr>
                <w:rFonts w:ascii="Calibri" w:hAnsi="Calibri"/>
                <w:b/>
                <w:sz w:val="22"/>
              </w:rPr>
              <w:t>Academic year</w:t>
            </w:r>
          </w:p>
        </w:tc>
        <w:tc>
          <w:tcPr>
            <w:tcW w:type="dxa" w:w="4873"/>
          </w:tcPr>
          <w:p>
            <w:r/>
            <w:r>
              <w:rPr>
                <w:rFonts w:ascii="Calibri" w:hAnsi="Calibri"/>
                <w:b w:val="0"/>
                <w:sz w:val="22"/>
              </w:rPr>
              <w:t>2026-2027</w:t>
            </w:r>
          </w:p>
        </w:tc>
      </w:tr>
      <w:tr>
        <w:tc>
          <w:tcPr>
            <w:tcW w:type="dxa" w:w="4873"/>
            <w:shd w:val="clear" w:color="auto" w:fill="E6EDF3"/>
          </w:tcPr>
          <w:p>
            <w:r/>
            <w:r>
              <w:rPr>
                <w:rFonts w:ascii="Calibri" w:hAnsi="Calibri"/>
                <w:b/>
                <w:sz w:val="22"/>
              </w:rPr>
              <w:t>Project guide</w:t>
            </w:r>
          </w:p>
        </w:tc>
        <w:tc>
          <w:tcPr>
            <w:tcW w:type="dxa" w:w="4873"/>
          </w:tcPr>
          <w:p>
            <w:r/>
            <w:r>
              <w:rPr>
                <w:rFonts w:ascii="Calibri" w:hAnsi="Calibri"/>
                <w:b w:val="0"/>
                <w:sz w:val="22"/>
              </w:rPr>
              <w:t>Banupriya R</w:t>
            </w:r>
          </w:p>
        </w:tc>
      </w:tr>
      <w:tr>
        <w:tc>
          <w:tcPr>
            <w:tcW w:type="dxa" w:w="4873"/>
            <w:shd w:val="clear" w:color="auto" w:fill="E6EDF3"/>
          </w:tcPr>
          <w:p>
            <w:r/>
            <w:r>
              <w:rPr>
                <w:rFonts w:ascii="Calibri" w:hAnsi="Calibri"/>
                <w:b/>
                <w:sz w:val="22"/>
              </w:rPr>
              <w:t>Review</w:t>
            </w:r>
          </w:p>
        </w:tc>
        <w:tc>
          <w:tcPr>
            <w:tcW w:type="dxa" w:w="4873"/>
          </w:tcPr>
          <w:p>
            <w:r/>
            <w:r>
              <w:rPr>
                <w:rFonts w:ascii="Calibri" w:hAnsi="Calibri"/>
                <w:b w:val="0"/>
                <w:sz w:val="22"/>
              </w:rPr>
              <w:t>Review 3: analysis, planning, verification, and evaluation</w:t>
            </w:r>
          </w:p>
        </w:tc>
      </w:tr>
    </w:tbl>
    <w:p/>
    <w:p>
      <w:r>
        <w:br w:type="page"/>
      </w:r>
    </w:p>
    <w:p>
      <w:pPr>
        <w:spacing w:before="360" w:after="120"/>
        <w:pBdr>
          <w:bottom w:val="single" w:sz="6" w:space="4" w:color="1B3A57"/>
        </w:pBdr>
      </w:pPr>
      <w:r>
        <w:rPr>
          <w:rFonts w:ascii="Calibri" w:hAnsi="Calibri"/>
          <w:b/>
          <w:color w:val="0D1B2A"/>
          <w:sz w:val="32"/>
        </w:rPr>
        <w:t>2. Abstract</w:t>
      </w:r>
    </w:p>
    <w:p>
      <w:pPr>
        <w:spacing w:after="160"/>
      </w:pPr>
      <w:r>
        <w:rPr>
          <w:rFonts w:ascii="Calibri" w:hAnsi="Calibri"/>
          <w:b w:val="0"/>
          <w:sz w:val="22"/>
        </w:rPr>
        <w:t>A LaTeX document with cross-references, a table of contents, or a bibliography needs several engine runs, because each run reads the auxiliary files that the previous run wrote. Current tools find the run count by running the engine and stopping at a fixed limit. Some documents never settle, and these tools find that out only after they reach the limit.</w:t>
      </w:r>
    </w:p>
    <w:p>
      <w:pPr>
        <w:spacing w:after="160"/>
      </w:pPr>
      <w:r>
        <w:rPr>
          <w:rFonts w:ascii="Calibri" w:hAnsi="Calibri"/>
          <w:b w:val="0"/>
          <w:sz w:val="22"/>
        </w:rPr>
        <w:t>AuxFlow is a compiler front end and static analyzer for a declared subset of LaTeX. It lowers a document to a graph of auxiliary fact instances with lagged edges, finds the facts that control how much content the document generates, and classifies the document as CERTIFIED, BENIGN_CYCLIC, AMPLIFYING, or UNKNOWN before any engine run. A planner turns the class into a build plan, and a runtime verifier checks the plan against the real engine.</w:t>
      </w:r>
    </w:p>
    <w:p>
      <w:pPr>
        <w:spacing w:after="160"/>
      </w:pPr>
      <w:r>
        <w:rPr>
          <w:rFonts w:ascii="Calibri" w:hAnsi="Calibri"/>
          <w:b w:val="0"/>
          <w:sz w:val="22"/>
        </w:rPr>
        <w:t>On a 15-document corpus, 7 baselines, and 10 repetitions (1,050 runs), all 7 certified documents received a bound at least as large as the measured run count. All 6 non-convergent documents were flagged before the engine started. Static analysis took 1.3 ms at the median and 10.4 ms at most. A guard added after the first measurement changed three declared false negatives into UNKNOWN results. The report states this change in section 7.</w:t>
      </w:r>
    </w:p>
    <w:p>
      <w:pPr>
        <w:spacing w:before="360" w:after="120"/>
        <w:pBdr>
          <w:bottom w:val="single" w:sz="6" w:space="4" w:color="1B3A57"/>
        </w:pBdr>
      </w:pPr>
      <w:r>
        <w:rPr>
          <w:rFonts w:ascii="Calibri" w:hAnsi="Calibri"/>
          <w:b/>
          <w:color w:val="0D1B2A"/>
          <w:sz w:val="32"/>
        </w:rPr>
        <w:t>3. Introduction</w:t>
      </w:r>
    </w:p>
    <w:p>
      <w:pPr>
        <w:keepNext/>
        <w:spacing w:after="160"/>
      </w:pPr>
      <w:r>
        <w:rPr>
          <w:rFonts w:ascii="Calibri" w:hAnsi="Calibri"/>
          <w:b/>
          <w:sz w:val="22"/>
        </w:rPr>
        <w:t>Background</w:t>
      </w:r>
    </w:p>
    <w:p>
      <w:pPr>
        <w:spacing w:after="160"/>
      </w:pPr>
      <w:r>
        <w:rPr>
          <w:rFonts w:ascii="Calibri" w:hAnsi="Calibri"/>
          <w:b w:val="0"/>
          <w:sz w:val="22"/>
        </w:rPr>
        <w:t>LaTeX resolves a reference in two steps. One engine run writes the label value to the .aux file, and the next run reads it. A value written in run p is first readable in run p+1, so the pass lag is exactly one. Generated lists and bibliographies add more steps. Deployed tools stop with five different tests and four fixed limits: latexmk 5, Tectonic 6, ConTeXt 9, and Typst 5. latexrun documents no limit.</w:t>
      </w:r>
    </w:p>
    <w:p>
      <w:pPr>
        <w:keepNext/>
        <w:spacing w:after="160"/>
      </w:pPr>
      <w:r>
        <w:rPr>
          <w:rFonts w:ascii="Calibri" w:hAnsi="Calibri"/>
          <w:b/>
          <w:sz w:val="22"/>
        </w:rPr>
        <w:t>Problem statement</w:t>
      </w:r>
    </w:p>
    <w:p>
      <w:pPr>
        <w:spacing w:after="160"/>
      </w:pPr>
      <w:r>
        <w:rPr>
          <w:rFonts w:ascii="Calibri" w:hAnsi="Calibri"/>
          <w:b w:val="0"/>
          <w:sz w:val="22"/>
        </w:rPr>
        <w:t>No deployed tool derives the run count from the source. A fixed schedule is wrong for documents that need more runs than the schedule allows. The engine rerun warning misses changes in generated lists. A document can also change its own dependency graph: a page reference can change the page count, and the page count decides how many page references exist. Classical pass numbering assumes a fixed graph, so it does not apply to every document.</w:t>
      </w:r>
    </w:p>
    <w:p>
      <w:pPr>
        <w:keepNext/>
        <w:spacing w:after="160"/>
      </w:pPr>
      <w:r>
        <w:rPr>
          <w:rFonts w:ascii="Calibri" w:hAnsi="Calibri"/>
          <w:b/>
          <w:sz w:val="22"/>
        </w:rPr>
        <w:t>Objectives</w:t>
      </w:r>
    </w:p>
    <w:p>
      <w:pPr>
        <w:pStyle w:val="ListBullet"/>
        <w:spacing w:after="80"/>
      </w:pPr>
      <w:r>
        <w:rPr>
          <w:rFonts w:ascii="Calibri" w:hAnsi="Calibri"/>
          <w:sz w:val="22"/>
        </w:rPr>
        <w:t>Classify a document before the first engine run and name the facts that cause a non-convergent result, with source locations.</w:t>
      </w:r>
    </w:p>
    <w:p>
      <w:pPr>
        <w:pStyle w:val="ListBullet"/>
        <w:spacing w:after="80"/>
      </w:pPr>
      <w:r>
        <w:rPr>
          <w:rFonts w:ascii="Calibri" w:hAnsi="Calibri"/>
          <w:sz w:val="22"/>
        </w:rPr>
        <w:t>Derive a run-count bound for documents that can be certified.</w:t>
      </w:r>
    </w:p>
    <w:p>
      <w:pPr>
        <w:pStyle w:val="ListBullet"/>
        <w:spacing w:after="80"/>
      </w:pPr>
      <w:r>
        <w:rPr>
          <w:rFonts w:ascii="Calibri" w:hAnsi="Calibri"/>
          <w:sz w:val="22"/>
        </w:rPr>
        <w:t>Plan the build from the class and verify the result against the real engine.</w:t>
      </w:r>
    </w:p>
    <w:p>
      <w:pPr>
        <w:pStyle w:val="ListBullet"/>
        <w:spacing w:after="80"/>
      </w:pPr>
      <w:r>
        <w:rPr>
          <w:rFonts w:ascii="Calibri" w:hAnsi="Calibri"/>
          <w:sz w:val="22"/>
        </w:rPr>
        <w:t>Measure the analysis against five deployed stopping tests on a public corpus, including the cases where it fails.</w:t>
      </w:r>
    </w:p>
    <w:p>
      <w:pPr>
        <w:spacing w:before="360" w:after="120"/>
        <w:pBdr>
          <w:bottom w:val="single" w:sz="6" w:space="4" w:color="1B3A57"/>
        </w:pBdr>
      </w:pPr>
      <w:r>
        <w:rPr>
          <w:rFonts w:ascii="Calibri" w:hAnsi="Calibri"/>
          <w:b/>
          <w:color w:val="0D1B2A"/>
          <w:sz w:val="32"/>
        </w:rPr>
        <w:t>4. Literature Review</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color="auto" w:fill="E6EDF3"/>
          </w:tcPr>
          <w:p>
            <w:r/>
            <w:r>
              <w:rPr>
                <w:rFonts w:ascii="Calibri" w:hAnsi="Calibri"/>
                <w:b/>
                <w:sz w:val="18"/>
              </w:rPr>
              <w:t>Work</w:t>
            </w:r>
          </w:p>
        </w:tc>
        <w:tc>
          <w:tcPr>
            <w:tcW w:type="dxa" w:w="3249"/>
            <w:shd w:val="clear" w:color="auto" w:fill="E6EDF3"/>
          </w:tcPr>
          <w:p>
            <w:r/>
            <w:r>
              <w:rPr>
                <w:rFonts w:ascii="Calibri" w:hAnsi="Calibri"/>
                <w:b/>
                <w:sz w:val="18"/>
              </w:rPr>
              <w:t>What it contributes</w:t>
            </w:r>
          </w:p>
        </w:tc>
        <w:tc>
          <w:tcPr>
            <w:tcW w:type="dxa" w:w="3249"/>
            <w:shd w:val="clear" w:color="auto" w:fill="E6EDF3"/>
          </w:tcPr>
          <w:p>
            <w:r/>
            <w:r>
              <w:rPr>
                <w:rFonts w:ascii="Calibri" w:hAnsi="Calibri"/>
                <w:b/>
                <w:sz w:val="18"/>
              </w:rPr>
              <w:t>Relation to AuxFlow</w:t>
            </w:r>
          </w:p>
        </w:tc>
      </w:tr>
      <w:tr>
        <w:tc>
          <w:tcPr>
            <w:tcW w:type="dxa" w:w="3249"/>
          </w:tcPr>
          <w:p>
            <w:r/>
            <w:r>
              <w:rPr>
                <w:rFonts w:ascii="Calibri" w:hAnsi="Calibri"/>
                <w:b w:val="0"/>
                <w:sz w:val="18"/>
              </w:rPr>
              <w:t>Bochmann 1976; Alblas 1981</w:t>
            </w:r>
          </w:p>
        </w:tc>
        <w:tc>
          <w:tcPr>
            <w:tcW w:type="dxa" w:w="3249"/>
          </w:tcPr>
          <w:p>
            <w:r/>
            <w:r>
              <w:rPr>
                <w:rFonts w:ascii="Calibri" w:hAnsi="Calibri"/>
                <w:b w:val="0"/>
                <w:sz w:val="18"/>
              </w:rPr>
              <w:t>Static pass numbering for attribute grammars. Alblas separates simple from pure multi-pass evaluation. Minimum pass assignment is NP-complete (Raiha and Ukkonen 1981).</w:t>
            </w:r>
          </w:p>
        </w:tc>
        <w:tc>
          <w:tcPr>
            <w:tcW w:type="dxa" w:w="3249"/>
          </w:tcPr>
          <w:p>
            <w:r/>
            <w:r>
              <w:rPr>
                <w:rFonts w:ascii="Calibri" w:hAnsi="Calibri"/>
                <w:b w:val="0"/>
                <w:sz w:val="18"/>
              </w:rPr>
              <w:t>AuxFlow numbers fact instances, which is the pure setting. It computes a conservative bound and makes no minimality claim.</w:t>
            </w:r>
          </w:p>
        </w:tc>
      </w:tr>
      <w:tr>
        <w:tc>
          <w:tcPr>
            <w:tcW w:type="dxa" w:w="3249"/>
          </w:tcPr>
          <w:p>
            <w:r/>
            <w:r>
              <w:rPr>
                <w:rFonts w:ascii="Calibri" w:hAnsi="Calibri"/>
                <w:b w:val="0"/>
                <w:sz w:val="18"/>
              </w:rPr>
              <w:t>Farrow 1986; Jones 1990; Magnusson and Hedin 2007</w:t>
            </w:r>
          </w:p>
        </w:tc>
        <w:tc>
          <w:tcPr>
            <w:tcW w:type="dxa" w:w="3249"/>
          </w:tcPr>
          <w:p>
            <w:r/>
            <w:r>
              <w:rPr>
                <w:rFonts w:ascii="Calibri" w:hAnsi="Calibri"/>
                <w:b w:val="0"/>
                <w:sz w:val="18"/>
              </w:rPr>
              <w:t>Circular attribute grammars. Jones splits the dependency graph into strongly connected components. Magnusson and Hedin state the convergence condition (finite height, monotone functions) and note that their evaluator does not check it.</w:t>
            </w:r>
          </w:p>
        </w:tc>
        <w:tc>
          <w:tcPr>
            <w:tcW w:type="dxa" w:w="3249"/>
          </w:tcPr>
          <w:p>
            <w:r/>
            <w:r>
              <w:rPr>
                <w:rFonts w:ascii="Calibri" w:hAnsi="Calibri"/>
                <w:b w:val="0"/>
                <w:sz w:val="18"/>
              </w:rPr>
              <w:t>AuxFlow checks the finite-height half in a restricted domain, using a static influence analysis.</w:t>
            </w:r>
          </w:p>
        </w:tc>
      </w:tr>
      <w:tr>
        <w:tc>
          <w:tcPr>
            <w:tcW w:type="dxa" w:w="3249"/>
          </w:tcPr>
          <w:p>
            <w:r/>
            <w:r>
              <w:rPr>
                <w:rFonts w:ascii="Calibri" w:hAnsi="Calibri"/>
                <w:b w:val="0"/>
                <w:sz w:val="18"/>
              </w:rPr>
              <w:t>Hecht and Ullman 1975; Kam and Ullman 1976</w:t>
            </w:r>
          </w:p>
        </w:tc>
        <w:tc>
          <w:tcPr>
            <w:tcW w:type="dxa" w:w="3249"/>
          </w:tcPr>
          <w:p>
            <w:r/>
            <w:r>
              <w:rPr>
                <w:rFonts w:ascii="Calibri" w:hAnsi="Calibri"/>
                <w:b w:val="0"/>
                <w:sz w:val="18"/>
              </w:rPr>
              <w:t>Iterative data-flow rounds are bounded by a depth parameter of the graph.</w:t>
            </w:r>
          </w:p>
        </w:tc>
        <w:tc>
          <w:tcPr>
            <w:tcW w:type="dxa" w:w="3249"/>
          </w:tcPr>
          <w:p>
            <w:r/>
            <w:r>
              <w:rPr>
                <w:rFonts w:ascii="Calibri" w:hAnsi="Calibri"/>
                <w:b w:val="0"/>
                <w:sz w:val="18"/>
              </w:rPr>
              <w:t>The AuxFlow plan has the same shape: P runs to propagate, one run to confirm.</w:t>
            </w:r>
          </w:p>
        </w:tc>
      </w:tr>
      <w:tr>
        <w:tc>
          <w:tcPr>
            <w:tcW w:type="dxa" w:w="3249"/>
          </w:tcPr>
          <w:p>
            <w:r/>
            <w:r>
              <w:rPr>
                <w:rFonts w:ascii="Calibri" w:hAnsi="Calibri"/>
                <w:b w:val="0"/>
                <w:sz w:val="18"/>
              </w:rPr>
              <w:t>Mokhov, Mitchell and Peyton Jones 2018; Erdweg et al. 2015 (Pluto)</w:t>
            </w:r>
          </w:p>
        </w:tc>
        <w:tc>
          <w:tcPr>
            <w:tcW w:type="dxa" w:w="3249"/>
          </w:tcPr>
          <w:p>
            <w:r/>
            <w:r>
              <w:rPr>
                <w:rFonts w:ascii="Calibri" w:hAnsi="Calibri"/>
                <w:b w:val="0"/>
                <w:sz w:val="18"/>
              </w:rPr>
              <w:t>Static and dynamic dependencies in build systems. Pluto builds LaTeX with a fixpoint cycle handler and judges static dependency detection for LaTeX to be a lost cause.</w:t>
            </w:r>
          </w:p>
        </w:tc>
        <w:tc>
          <w:tcPr>
            <w:tcW w:type="dxa" w:w="3249"/>
          </w:tcPr>
          <w:p>
            <w:r/>
            <w:r>
              <w:rPr>
                <w:rFonts w:ascii="Calibri" w:hAnsi="Calibri"/>
                <w:b w:val="0"/>
                <w:sz w:val="18"/>
              </w:rPr>
              <w:t>AuxFlow answers with a declared subset. Constructs outside it become opaque facts and make the document UNKNOWN.</w:t>
            </w:r>
          </w:p>
        </w:tc>
      </w:tr>
      <w:tr>
        <w:tc>
          <w:tcPr>
            <w:tcW w:type="dxa" w:w="3249"/>
          </w:tcPr>
          <w:p>
            <w:r/>
            <w:r>
              <w:rPr>
                <w:rFonts w:ascii="Calibri" w:hAnsi="Calibri"/>
                <w:b w:val="0"/>
                <w:sz w:val="18"/>
              </w:rPr>
              <w:t>latexmk, latexrun, Tectonic, ConTeXt, Typst; Gaspar 2014; Madje 2022</w:t>
            </w:r>
          </w:p>
        </w:tc>
        <w:tc>
          <w:tcPr>
            <w:tcW w:type="dxa" w:w="3249"/>
          </w:tcPr>
          <w:p>
            <w:r/>
            <w:r>
              <w:rPr>
                <w:rFonts w:ascii="Calibri" w:hAnsi="Calibri"/>
                <w:b w:val="0"/>
                <w:sz w:val="18"/>
              </w:rPr>
              <w:t>Five stopping tests and five limits. Gaspar gives a document that never settles. Madje shows the stability test is undecidable for arbitrary code and proposes a cap with an error at the guilty call.</w:t>
            </w:r>
          </w:p>
        </w:tc>
        <w:tc>
          <w:tcPr>
            <w:tcW w:type="dxa" w:w="3249"/>
          </w:tcPr>
          <w:p>
            <w:r/>
            <w:r>
              <w:rPr>
                <w:rFonts w:ascii="Calibri" w:hAnsi="Calibri"/>
                <w:b w:val="0"/>
                <w:sz w:val="18"/>
              </w:rPr>
              <w:t>These tools are the baselines. Gaspar's loop is corpus member b08.</w:t>
            </w:r>
          </w:p>
        </w:tc>
      </w:tr>
    </w:tbl>
    <w:p/>
    <w:p>
      <w:pPr>
        <w:spacing w:after="160"/>
      </w:pPr>
      <w:r>
        <w:rPr>
          <w:rFonts w:ascii="Calibri" w:hAnsi="Calibri"/>
          <w:b w:val="0"/>
          <w:sz w:val="22"/>
        </w:rPr>
        <w:t>AuxFlow does not claim to invent pass numbering, strongly connected component analysis, or checksum verification. The new part is the combination: a static influence test from fact values to constructs that control content volume, and a controlled comparison of the deployed stopping tests.</w:t>
      </w:r>
    </w:p>
    <w:p>
      <w:pPr>
        <w:spacing w:before="360" w:after="120"/>
        <w:pBdr>
          <w:bottom w:val="single" w:sz="6" w:space="4" w:color="1B3A57"/>
        </w:pBdr>
      </w:pPr>
      <w:r>
        <w:rPr>
          <w:rFonts w:ascii="Calibri" w:hAnsi="Calibri"/>
          <w:b/>
          <w:color w:val="0D1B2A"/>
          <w:sz w:val="32"/>
        </w:rPr>
        <w:t>5. Methodology</w:t>
      </w:r>
    </w:p>
    <w:p>
      <w:pPr>
        <w:keepNext/>
        <w:spacing w:after="160"/>
      </w:pPr>
      <w:r>
        <w:rPr>
          <w:rFonts w:ascii="Calibri" w:hAnsi="Calibri"/>
          <w:b/>
          <w:sz w:val="22"/>
        </w:rPr>
        <w:t>Proposed system and architecture</w:t>
      </w:r>
    </w:p>
    <w:p>
      <w:pPr>
        <w:spacing w:after="160"/>
      </w:pPr>
      <w:r>
        <w:rPr>
          <w:rFonts w:ascii="Calibri" w:hAnsi="Calibri"/>
          <w:b w:val="0"/>
          <w:sz w:val="22"/>
        </w:rPr>
        <w:t>The pipeline has a static part and a dynamic part. Everything up to the build plan runs without a TeX engine. Only auxflow run starts a subprocess.</w:t>
      </w:r>
    </w:p>
    <w:p>
      <w:pPr>
        <w:jc w:val="center"/>
      </w:pPr>
      <w:r>
        <w:drawing>
          <wp:inline xmlns:a="http://schemas.openxmlformats.org/drawingml/2006/main" xmlns:pic="http://schemas.openxmlformats.org/drawingml/2006/picture">
            <wp:extent cx="5580000" cy="5729280"/>
            <wp:docPr id="1" name="Picture 1"/>
            <wp:cNvGraphicFramePr>
              <a:graphicFrameLocks noChangeAspect="1"/>
            </wp:cNvGraphicFramePr>
            <a:graphic>
              <a:graphicData uri="http://schemas.openxmlformats.org/drawingml/2006/picture">
                <pic:pic>
                  <pic:nvPicPr>
                    <pic:cNvPr id="0" name="architecture.png"/>
                    <pic:cNvPicPr/>
                  </pic:nvPicPr>
                  <pic:blipFill>
                    <a:blip r:embed="rId9"/>
                    <a:stretch>
                      <a:fillRect/>
                    </a:stretch>
                  </pic:blipFill>
                  <pic:spPr>
                    <a:xfrm>
                      <a:off x="0" y="0"/>
                      <a:ext cx="5580000" cy="5729280"/>
                    </a:xfrm>
                    <a:prstGeom prst="rect"/>
                  </pic:spPr>
                </pic:pic>
              </a:graphicData>
            </a:graphic>
          </wp:inline>
        </w:drawing>
      </w:r>
    </w:p>
    <w:p>
      <w:pPr>
        <w:spacing w:after="200"/>
        <w:jc w:val="center"/>
      </w:pPr>
      <w:r>
        <w:rPr>
          <w:i/>
          <w:color w:val="5A5A5A"/>
          <w:sz w:val="20"/>
        </w:rPr>
        <w:t>Figure 1. AuxFlow compiler pipeline</w:t>
      </w:r>
    </w:p>
    <w:p>
      <w:pPr>
        <w:keepNext/>
        <w:spacing w:after="160"/>
      </w:pPr>
      <w:r>
        <w:rPr>
          <w:rFonts w:ascii="Calibri" w:hAnsi="Calibri"/>
          <w:b/>
          <w:sz w:val="22"/>
        </w:rPr>
        <w:t>Data model</w:t>
      </w:r>
    </w:p>
    <w:p>
      <w:pPr>
        <w:spacing w:after="160"/>
      </w:pPr>
      <w:r>
        <w:rPr>
          <w:rFonts w:ascii="Calibri" w:hAnsi="Calibri"/>
          <w:b w:val="0"/>
          <w:sz w:val="22"/>
        </w:rPr>
        <w:t>The Auxiliary Reference Graph (ARG) has one node for each fact instance and one edge for each dependency. A fact has a kind, a key, a component (exists or value), and a mandatory source span. An edge has a pass lag, a type (AUX_ROUNDTRIP, TOOL, LAYOUT, or STRUCTURAL), and a reason string.</w:t>
      </w:r>
    </w:p>
    <w:p>
      <w:pPr>
        <w:jc w:val="center"/>
      </w:pPr>
      <w:r>
        <w:drawing>
          <wp:inline xmlns:a="http://schemas.openxmlformats.org/drawingml/2006/main" xmlns:pic="http://schemas.openxmlformats.org/drawingml/2006/picture">
            <wp:extent cx="5040000" cy="1488625"/>
            <wp:docPr id="2" name="Picture 2"/>
            <wp:cNvGraphicFramePr>
              <a:graphicFrameLocks noChangeAspect="1"/>
            </wp:cNvGraphicFramePr>
            <a:graphic>
              <a:graphicData uri="http://schemas.openxmlformats.org/drawingml/2006/picture">
                <pic:pic>
                  <pic:nvPicPr>
                    <pic:cNvPr id="0" name="arg-model.png"/>
                    <pic:cNvPicPr/>
                  </pic:nvPicPr>
                  <pic:blipFill>
                    <a:blip r:embed="rId10"/>
                    <a:stretch>
                      <a:fillRect/>
                    </a:stretch>
                  </pic:blipFill>
                  <pic:spPr>
                    <a:xfrm>
                      <a:off x="0" y="0"/>
                      <a:ext cx="5040000" cy="1488625"/>
                    </a:xfrm>
                    <a:prstGeom prst="rect"/>
                  </pic:spPr>
                </pic:pic>
              </a:graphicData>
            </a:graphic>
          </wp:inline>
        </w:drawing>
      </w:r>
    </w:p>
    <w:p>
      <w:pPr>
        <w:spacing w:after="200"/>
        <w:jc w:val="center"/>
      </w:pPr>
      <w:r>
        <w:rPr>
          <w:i/>
          <w:color w:val="5A5A5A"/>
          <w:sz w:val="20"/>
        </w:rPr>
        <w:t>Figure 2. Entity-relationship model of the ARG</w:t>
      </w:r>
    </w:p>
    <w:p>
      <w:pPr>
        <w:keepNext/>
        <w:spacing w:after="160"/>
      </w:pPr>
      <w:r>
        <w:rPr>
          <w:rFonts w:ascii="Calibri" w:hAnsi="Calibri"/>
          <w:b/>
          <w:sz w:val="22"/>
        </w:rPr>
        <w:t>Analysis workflow</w:t>
      </w:r>
    </w:p>
    <w:p>
      <w:pPr>
        <w:pStyle w:val="ListBullet"/>
        <w:spacing w:after="80"/>
      </w:pPr>
      <w:r>
        <w:rPr>
          <w:rFonts w:ascii="Calibri" w:hAnsi="Calibri"/>
          <w:sz w:val="22"/>
        </w:rPr>
        <w:t>Taint analysis seeds the facts that a loop bound or condition reads, then propagates along value edges. Each tainted fact gets a STRUCTURAL edge to the content-volume fact. The cost is O(V + E).</w:t>
      </w:r>
    </w:p>
    <w:p>
      <w:pPr>
        <w:pStyle w:val="ListBullet"/>
        <w:spacing w:after="80"/>
      </w:pPr>
      <w:r>
        <w:rPr>
          <w:rFonts w:ascii="Calibri" w:hAnsi="Calibri"/>
          <w:sz w:val="22"/>
        </w:rPr>
        <w:t>An iterative Tarjan algorithm finds the strongly connected components. A component with an internal STRUCTURAL edge is AMPLIFYING. A component with an opaque fact is UNKNOWN_CYCLE. Any other cycle is BENIGN.</w:t>
      </w:r>
    </w:p>
    <w:p>
      <w:pPr>
        <w:pStyle w:val="ListBullet"/>
        <w:spacing w:after="80"/>
      </w:pPr>
      <w:r>
        <w:rPr>
          <w:rFonts w:ascii="Calibri" w:hAnsi="Calibri"/>
          <w:sz w:val="22"/>
        </w:rPr>
        <w:t>Stable-pass numbering follows the longest path on the condensation. For a fact f, s(f) = 1 if f has no dependencies, and otherwise 1 + the largest s(g) + lag(g to f) - 1 over its dependencies g. P is the largest s(f) over facts stored in auxiliary files, and the predicted run count is N = P + 1.</w:t>
      </w:r>
    </w:p>
    <w:p>
      <w:pPr>
        <w:jc w:val="center"/>
      </w:pPr>
      <w:r>
        <w:drawing>
          <wp:inline xmlns:a="http://schemas.openxmlformats.org/drawingml/2006/main" xmlns:pic="http://schemas.openxmlformats.org/drawingml/2006/picture">
            <wp:extent cx="3960000" cy="2027491"/>
            <wp:docPr id="3" name="Picture 3"/>
            <wp:cNvGraphicFramePr>
              <a:graphicFrameLocks noChangeAspect="1"/>
            </wp:cNvGraphicFramePr>
            <a:graphic>
              <a:graphicData uri="http://schemas.openxmlformats.org/drawingml/2006/picture">
                <pic:pic>
                  <pic:nvPicPr>
                    <pic:cNvPr id="0" name="arg-b08.png"/>
                    <pic:cNvPicPr/>
                  </pic:nvPicPr>
                  <pic:blipFill>
                    <a:blip r:embed="rId11"/>
                    <a:stretch>
                      <a:fillRect/>
                    </a:stretch>
                  </pic:blipFill>
                  <pic:spPr>
                    <a:xfrm>
                      <a:off x="0" y="0"/>
                      <a:ext cx="3960000" cy="2027491"/>
                    </a:xfrm>
                    <a:prstGeom prst="rect"/>
                  </pic:spPr>
                </pic:pic>
              </a:graphicData>
            </a:graphic>
          </wp:inline>
        </w:drawing>
      </w:r>
    </w:p>
    <w:p>
      <w:pPr>
        <w:spacing w:after="200"/>
        <w:jc w:val="center"/>
      </w:pPr>
      <w:r>
        <w:rPr>
          <w:i/>
          <w:color w:val="5A5A5A"/>
          <w:sz w:val="20"/>
        </w:rPr>
        <w:t>Figure 3. ARG of b08_cycle. Taint analysis adds the STRUCTURAL edge that closes the AMPLIFYING cycle.</w:t>
      </w:r>
    </w:p>
    <w:p>
      <w:pPr>
        <w:keepNext/>
        <w:spacing w:after="160"/>
      </w:pPr>
      <w:r>
        <w:rPr>
          <w:rFonts w:ascii="Calibri" w:hAnsi="Calibri"/>
          <w:b/>
          <w:sz w:val="22"/>
        </w:rPr>
        <w:t>Classification and planning</w:t>
      </w:r>
    </w:p>
    <w:p>
      <w:pPr>
        <w:spacing w:after="160"/>
      </w:pPr>
      <w:r>
        <w:rPr>
          <w:rFonts w:ascii="Calibri" w:hAnsi="Calibri"/>
          <w:b w:val="0"/>
          <w:sz w:val="22"/>
        </w:rPr>
        <w:t>Only a CERTIFIED plan uses the derived run count. Every other executable plan has at least three engine runs, and an assertion in the planner enforces this. An AMPLIFYING document gets no plan unless the user passes --force, which runs it under a cap of six runs.</w:t>
      </w:r>
    </w:p>
    <w:p>
      <w:pPr>
        <w:jc w:val="center"/>
      </w:pPr>
      <w:r>
        <w:drawing>
          <wp:inline xmlns:a="http://schemas.openxmlformats.org/drawingml/2006/main" xmlns:pic="http://schemas.openxmlformats.org/drawingml/2006/picture">
            <wp:extent cx="5580000" cy="7577269"/>
            <wp:docPr id="4" name="Picture 4"/>
            <wp:cNvGraphicFramePr>
              <a:graphicFrameLocks noChangeAspect="1"/>
            </wp:cNvGraphicFramePr>
            <a:graphic>
              <a:graphicData uri="http://schemas.openxmlformats.org/drawingml/2006/picture">
                <pic:pic>
                  <pic:nvPicPr>
                    <pic:cNvPr id="0" name="classification-flow.png"/>
                    <pic:cNvPicPr/>
                  </pic:nvPicPr>
                  <pic:blipFill>
                    <a:blip r:embed="rId12"/>
                    <a:stretch>
                      <a:fillRect/>
                    </a:stretch>
                  </pic:blipFill>
                  <pic:spPr>
                    <a:xfrm>
                      <a:off x="0" y="0"/>
                      <a:ext cx="5580000" cy="7577269"/>
                    </a:xfrm>
                    <a:prstGeom prst="rect"/>
                  </pic:spPr>
                </pic:pic>
              </a:graphicData>
            </a:graphic>
          </wp:inline>
        </w:drawing>
      </w:r>
    </w:p>
    <w:p>
      <w:pPr>
        <w:spacing w:after="200"/>
        <w:jc w:val="center"/>
      </w:pPr>
      <w:r>
        <w:rPr>
          <w:i/>
          <w:color w:val="5A5A5A"/>
          <w:sz w:val="20"/>
        </w:rPr>
        <w:t>Figure 4. Four-state classifier and the plan for each state</w:t>
      </w:r>
    </w:p>
    <w:p>
      <w:pPr>
        <w:keepNext/>
        <w:spacing w:after="160"/>
      </w:pPr>
      <w:r>
        <w:rPr>
          <w:rFonts w:ascii="Calibri" w:hAnsi="Calibri"/>
          <w:b/>
          <w:sz w:val="22"/>
        </w:rPr>
        <w:t>Runtime verification</w:t>
      </w:r>
    </w:p>
    <w:p>
      <w:pPr>
        <w:spacing w:after="160"/>
      </w:pPr>
      <w:r>
        <w:rPr>
          <w:rFonts w:ascii="Calibri" w:hAnsi="Calibri"/>
          <w:b w:val="0"/>
          <w:sz w:val="22"/>
        </w:rPr>
        <w:t>After each engine run the verifier parses the auxiliary files into a set of canonical records and compares it with the set from the previous run. It does not use engine warnings. If the plan ends while the state still changes, it repeats the last engine step up to the cap and records a prediction miss when a certified document needs more runs than predicted.</w:t>
      </w:r>
    </w:p>
    <w:p>
      <w:pPr>
        <w:jc w:val="center"/>
      </w:pPr>
      <w:r>
        <w:drawing>
          <wp:inline xmlns:a="http://schemas.openxmlformats.org/drawingml/2006/main" xmlns:pic="http://schemas.openxmlformats.org/drawingml/2006/picture">
            <wp:extent cx="5580000" cy="6877196"/>
            <wp:docPr id="5" name="Picture 5"/>
            <wp:cNvGraphicFramePr>
              <a:graphicFrameLocks noChangeAspect="1"/>
            </wp:cNvGraphicFramePr>
            <a:graphic>
              <a:graphicData uri="http://schemas.openxmlformats.org/drawingml/2006/picture">
                <pic:pic>
                  <pic:nvPicPr>
                    <pic:cNvPr id="0" name="runtime-sequence.png"/>
                    <pic:cNvPicPr/>
                  </pic:nvPicPr>
                  <pic:blipFill>
                    <a:blip r:embed="rId13"/>
                    <a:stretch>
                      <a:fillRect/>
                    </a:stretch>
                  </pic:blipFill>
                  <pic:spPr>
                    <a:xfrm>
                      <a:off x="0" y="0"/>
                      <a:ext cx="5580000" cy="6877196"/>
                    </a:xfrm>
                    <a:prstGeom prst="rect"/>
                  </pic:spPr>
                </pic:pic>
              </a:graphicData>
            </a:graphic>
          </wp:inline>
        </w:drawing>
      </w:r>
    </w:p>
    <w:p>
      <w:pPr>
        <w:spacing w:after="200"/>
        <w:jc w:val="center"/>
      </w:pPr>
      <w:r>
        <w:rPr>
          <w:i/>
          <w:color w:val="5A5A5A"/>
          <w:sz w:val="20"/>
        </w:rPr>
        <w:t>Figure 5. auxflow run: plan execution with runtime verification</w:t>
      </w:r>
    </w:p>
    <w:p>
      <w:pPr>
        <w:keepNext/>
        <w:spacing w:after="160"/>
      </w:pPr>
      <w:r>
        <w:rPr>
          <w:rFonts w:ascii="Calibri" w:hAnsi="Calibri"/>
          <w:b/>
          <w:sz w:val="22"/>
        </w:rPr>
        <w:t>Tools</w:t>
      </w:r>
    </w:p>
    <w:p>
      <w:pPr>
        <w:spacing w:after="160"/>
      </w:pPr>
      <w:r>
        <w:rPr>
          <w:rFonts w:ascii="Calibri" w:hAnsi="Calibri"/>
          <w:b w:val="0"/>
          <w:sz w:val="22"/>
        </w:rPr>
        <w:t>Python 3.12 with no third-party runtime dependencies. pytest and Hypothesis for tests, ruff and mypy --strict for quality checks, Docker for the pinned benchmark image, and hatch-vcs for versioning from git tags.</w:t>
      </w:r>
    </w:p>
    <w:p>
      <w:pPr>
        <w:spacing w:before="360" w:after="120"/>
        <w:pBdr>
          <w:bottom w:val="single" w:sz="6" w:space="4" w:color="1B3A57"/>
        </w:pBdr>
      </w:pPr>
      <w:r>
        <w:rPr>
          <w:rFonts w:ascii="Calibri" w:hAnsi="Calibri"/>
          <w:b/>
          <w:color w:val="0D1B2A"/>
          <w:sz w:val="32"/>
        </w:rPr>
        <w:t>6. Implementation</w:t>
      </w:r>
    </w:p>
    <w:p>
      <w:pPr>
        <w:spacing w:after="160"/>
      </w:pPr>
      <w:r>
        <w:rPr>
          <w:rFonts w:ascii="Calibri" w:hAnsi="Calibri"/>
          <w:b w:val="0"/>
          <w:sz w:val="22"/>
        </w:rPr>
        <w:t>The project was built in 16 phases. Review 2 covered phases 1 to 7 (lexer, parser, syntax tree, symbol tables, semantic checks, and the ARG). This review covers phases 8 to 16.</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color="auto" w:fill="E6EDF3"/>
          </w:tcPr>
          <w:p>
            <w:r/>
            <w:r>
              <w:rPr>
                <w:rFonts w:ascii="Calibri" w:hAnsi="Calibri"/>
                <w:b/>
                <w:sz w:val="18"/>
              </w:rPr>
              <w:t>Phase</w:t>
            </w:r>
          </w:p>
        </w:tc>
        <w:tc>
          <w:tcPr>
            <w:tcW w:type="dxa" w:w="3249"/>
            <w:shd w:val="clear" w:color="auto" w:fill="E6EDF3"/>
          </w:tcPr>
          <w:p>
            <w:r/>
            <w:r>
              <w:rPr>
                <w:rFonts w:ascii="Calibri" w:hAnsi="Calibri"/>
                <w:b/>
                <w:sz w:val="18"/>
              </w:rPr>
              <w:t>Module</w:t>
            </w:r>
          </w:p>
        </w:tc>
        <w:tc>
          <w:tcPr>
            <w:tcW w:type="dxa" w:w="3249"/>
            <w:shd w:val="clear" w:color="auto" w:fill="E6EDF3"/>
          </w:tcPr>
          <w:p>
            <w:r/>
            <w:r>
              <w:rPr>
                <w:rFonts w:ascii="Calibri" w:hAnsi="Calibri"/>
                <w:b/>
                <w:sz w:val="18"/>
              </w:rPr>
              <w:t>Function</w:t>
            </w:r>
          </w:p>
        </w:tc>
      </w:tr>
      <w:tr>
        <w:tc>
          <w:tcPr>
            <w:tcW w:type="dxa" w:w="3249"/>
          </w:tcPr>
          <w:p>
            <w:r/>
            <w:r>
              <w:rPr>
                <w:rFonts w:ascii="Calibri" w:hAnsi="Calibri"/>
                <w:b w:val="0"/>
                <w:sz w:val="18"/>
              </w:rPr>
              <w:t>8</w:t>
            </w:r>
          </w:p>
        </w:tc>
        <w:tc>
          <w:tcPr>
            <w:tcW w:type="dxa" w:w="3249"/>
          </w:tcPr>
          <w:p>
            <w:r/>
            <w:r>
              <w:rPr>
                <w:rFonts w:ascii="Calibri" w:hAnsi="Calibri"/>
                <w:b w:val="0"/>
                <w:sz w:val="18"/>
              </w:rPr>
              <w:t>auxflow.analysis.scc</w:t>
            </w:r>
          </w:p>
        </w:tc>
        <w:tc>
          <w:tcPr>
            <w:tcW w:type="dxa" w:w="3249"/>
          </w:tcPr>
          <w:p>
            <w:r/>
            <w:r>
              <w:rPr>
                <w:rFonts w:ascii="Calibri" w:hAnsi="Calibri"/>
                <w:b w:val="0"/>
                <w:sz w:val="18"/>
              </w:rPr>
              <w:t>Iterative Tarjan SCC and cycle labels</w:t>
            </w:r>
          </w:p>
        </w:tc>
      </w:tr>
      <w:tr>
        <w:tc>
          <w:tcPr>
            <w:tcW w:type="dxa" w:w="3249"/>
          </w:tcPr>
          <w:p>
            <w:r/>
            <w:r>
              <w:rPr>
                <w:rFonts w:ascii="Calibri" w:hAnsi="Calibri"/>
                <w:b w:val="0"/>
                <w:sz w:val="18"/>
              </w:rPr>
              <w:t>9</w:t>
            </w:r>
          </w:p>
        </w:tc>
        <w:tc>
          <w:tcPr>
            <w:tcW w:type="dxa" w:w="3249"/>
          </w:tcPr>
          <w:p>
            <w:r/>
            <w:r>
              <w:rPr>
                <w:rFonts w:ascii="Calibri" w:hAnsi="Calibri"/>
                <w:b w:val="0"/>
                <w:sz w:val="18"/>
              </w:rPr>
              <w:t>auxflow.analysis.taint</w:t>
            </w:r>
          </w:p>
        </w:tc>
        <w:tc>
          <w:tcPr>
            <w:tcW w:type="dxa" w:w="3249"/>
          </w:tcPr>
          <w:p>
            <w:r/>
            <w:r>
              <w:rPr>
                <w:rFonts w:ascii="Calibri" w:hAnsi="Calibri"/>
                <w:b w:val="0"/>
                <w:sz w:val="18"/>
              </w:rPr>
              <w:t>Seed and propagate taint, add STRUCTURAL edges</w:t>
            </w:r>
          </w:p>
        </w:tc>
      </w:tr>
      <w:tr>
        <w:tc>
          <w:tcPr>
            <w:tcW w:type="dxa" w:w="3249"/>
          </w:tcPr>
          <w:p>
            <w:r/>
            <w:r>
              <w:rPr>
                <w:rFonts w:ascii="Calibri" w:hAnsi="Calibri"/>
                <w:b w:val="0"/>
                <w:sz w:val="18"/>
              </w:rPr>
              <w:t>10</w:t>
            </w:r>
          </w:p>
        </w:tc>
        <w:tc>
          <w:tcPr>
            <w:tcW w:type="dxa" w:w="3249"/>
          </w:tcPr>
          <w:p>
            <w:r/>
            <w:r>
              <w:rPr>
                <w:rFonts w:ascii="Calibri" w:hAnsi="Calibri"/>
                <w:b w:val="0"/>
                <w:sz w:val="18"/>
              </w:rPr>
              <w:t>auxflow.analysis.stable_pass</w:t>
            </w:r>
          </w:p>
        </w:tc>
        <w:tc>
          <w:tcPr>
            <w:tcW w:type="dxa" w:w="3249"/>
          </w:tcPr>
          <w:p>
            <w:r/>
            <w:r>
              <w:rPr>
                <w:rFonts w:ascii="Calibri" w:hAnsi="Calibri"/>
                <w:b w:val="0"/>
                <w:sz w:val="18"/>
              </w:rPr>
              <w:t>Stable-pass number per fact, N = P + 1</w:t>
            </w:r>
          </w:p>
        </w:tc>
      </w:tr>
      <w:tr>
        <w:tc>
          <w:tcPr>
            <w:tcW w:type="dxa" w:w="3249"/>
          </w:tcPr>
          <w:p>
            <w:r/>
            <w:r>
              <w:rPr>
                <w:rFonts w:ascii="Calibri" w:hAnsi="Calibri"/>
                <w:b w:val="0"/>
                <w:sz w:val="18"/>
              </w:rPr>
              <w:t>11</w:t>
            </w:r>
          </w:p>
        </w:tc>
        <w:tc>
          <w:tcPr>
            <w:tcW w:type="dxa" w:w="3249"/>
          </w:tcPr>
          <w:p>
            <w:r/>
            <w:r>
              <w:rPr>
                <w:rFonts w:ascii="Calibri" w:hAnsi="Calibri"/>
                <w:b w:val="0"/>
                <w:sz w:val="18"/>
              </w:rPr>
              <w:t>auxflow.analysis.classify</w:t>
            </w:r>
          </w:p>
        </w:tc>
        <w:tc>
          <w:tcPr>
            <w:tcW w:type="dxa" w:w="3249"/>
          </w:tcPr>
          <w:p>
            <w:r/>
            <w:r>
              <w:rPr>
                <w:rFonts w:ascii="Calibri" w:hAnsi="Calibri"/>
                <w:b w:val="0"/>
                <w:sz w:val="18"/>
              </w:rPr>
              <w:t>Four-state classifier and diagnostics</w:t>
            </w:r>
          </w:p>
        </w:tc>
      </w:tr>
      <w:tr>
        <w:tc>
          <w:tcPr>
            <w:tcW w:type="dxa" w:w="3249"/>
          </w:tcPr>
          <w:p>
            <w:r/>
            <w:r>
              <w:rPr>
                <w:rFonts w:ascii="Calibri" w:hAnsi="Calibri"/>
                <w:b w:val="0"/>
                <w:sz w:val="18"/>
              </w:rPr>
              <w:t>12</w:t>
            </w:r>
          </w:p>
        </w:tc>
        <w:tc>
          <w:tcPr>
            <w:tcW w:type="dxa" w:w="3249"/>
          </w:tcPr>
          <w:p>
            <w:r/>
            <w:r>
              <w:rPr>
                <w:rFonts w:ascii="Calibri" w:hAnsi="Calibri"/>
                <w:b w:val="0"/>
                <w:sz w:val="18"/>
              </w:rPr>
              <w:t>auxflow.planner</w:t>
            </w:r>
          </w:p>
        </w:tc>
        <w:tc>
          <w:tcPr>
            <w:tcW w:type="dxa" w:w="3249"/>
          </w:tcPr>
          <w:p>
            <w:r/>
            <w:r>
              <w:rPr>
                <w:rFonts w:ascii="Calibri" w:hAnsi="Calibri"/>
                <w:b w:val="0"/>
                <w:sz w:val="18"/>
              </w:rPr>
              <w:t>Build plan with the safety rule and the --force cap</w:t>
            </w:r>
          </w:p>
        </w:tc>
      </w:tr>
      <w:tr>
        <w:tc>
          <w:tcPr>
            <w:tcW w:type="dxa" w:w="3249"/>
          </w:tcPr>
          <w:p>
            <w:r/>
            <w:r>
              <w:rPr>
                <w:rFonts w:ascii="Calibri" w:hAnsi="Calibri"/>
                <w:b w:val="0"/>
                <w:sz w:val="18"/>
              </w:rPr>
              <w:t>13</w:t>
            </w:r>
          </w:p>
        </w:tc>
        <w:tc>
          <w:tcPr>
            <w:tcW w:type="dxa" w:w="3249"/>
          </w:tcPr>
          <w:p>
            <w:r/>
            <w:r>
              <w:rPr>
                <w:rFonts w:ascii="Calibri" w:hAnsi="Calibri"/>
                <w:b w:val="0"/>
                <w:sz w:val="18"/>
              </w:rPr>
              <w:t>auxflow.runtime</w:t>
            </w:r>
          </w:p>
        </w:tc>
        <w:tc>
          <w:tcPr>
            <w:tcW w:type="dxa" w:w="3249"/>
          </w:tcPr>
          <w:p>
            <w:r/>
            <w:r>
              <w:rPr>
                <w:rFonts w:ascii="Calibri" w:hAnsi="Calibri"/>
                <w:b w:val="0"/>
                <w:sz w:val="18"/>
              </w:rPr>
              <w:t>State normalisation, fixpoint check, auxflow run</w:t>
            </w:r>
          </w:p>
        </w:tc>
      </w:tr>
      <w:tr>
        <w:tc>
          <w:tcPr>
            <w:tcW w:type="dxa" w:w="3249"/>
          </w:tcPr>
          <w:p>
            <w:r/>
            <w:r>
              <w:rPr>
                <w:rFonts w:ascii="Calibri" w:hAnsi="Calibri"/>
                <w:b w:val="0"/>
                <w:sz w:val="18"/>
              </w:rPr>
              <w:t>14 to 16</w:t>
            </w:r>
          </w:p>
        </w:tc>
        <w:tc>
          <w:tcPr>
            <w:tcW w:type="dxa" w:w="3249"/>
          </w:tcPr>
          <w:p>
            <w:r/>
            <w:r>
              <w:rPr>
                <w:rFonts w:ascii="Calibri" w:hAnsi="Calibri"/>
                <w:b w:val="0"/>
                <w:sz w:val="18"/>
              </w:rPr>
              <w:t>bench/</w:t>
            </w:r>
          </w:p>
        </w:tc>
        <w:tc>
          <w:tcPr>
            <w:tcW w:type="dxa" w:w="3249"/>
          </w:tcPr>
          <w:p>
            <w:r/>
            <w:r>
              <w:rPr>
                <w:rFonts w:ascii="Calibri" w:hAnsi="Calibri"/>
                <w:b w:val="0"/>
                <w:sz w:val="18"/>
              </w:rPr>
              <w:t>Corpus, 7 baselines, ground truth, evaluation report</w:t>
            </w:r>
          </w:p>
        </w:tc>
      </w:tr>
    </w:tbl>
    <w:p/>
    <w:p>
      <w:pPr>
        <w:keepNext/>
        <w:spacing w:after="160"/>
      </w:pPr>
      <w:r>
        <w:rPr>
          <w:rFonts w:ascii="Calibri" w:hAnsi="Calibri"/>
          <w:b/>
          <w:sz w:val="22"/>
        </w:rPr>
        <w:t>Changes after the first measurement</w:t>
      </w:r>
    </w:p>
    <w:p>
      <w:pPr>
        <w:pStyle w:val="ListBullet"/>
        <w:spacing w:after="80"/>
      </w:pPr>
      <w:r>
        <w:rPr>
          <w:rFonts w:ascii="Calibri" w:hAnsi="Calibri"/>
          <w:sz w:val="22"/>
        </w:rPr>
        <w:t>A guard makes a page reference under roman, Roman, alph, or Alph page numbering UNKNOWN, because the numeral width depends on its value. \vref and \vpageref also make a document UNKNOWN.</w:t>
      </w:r>
    </w:p>
    <w:p>
      <w:pPr>
        <w:pStyle w:val="ListBullet"/>
        <w:spacing w:after="80"/>
      </w:pPr>
      <w:r>
        <w:rPr>
          <w:rFonts w:ascii="Calibri" w:hAnsi="Calibri"/>
          <w:sz w:val="22"/>
        </w:rPr>
        <w:t>A list of inert packages and commands keeps ordinary front matter from making a document UNKNOWN.</w:t>
      </w:r>
    </w:p>
    <w:p>
      <w:pPr>
        <w:pStyle w:val="ListBullet"/>
        <w:spacing w:after="80"/>
      </w:pPr>
      <w:r>
        <w:rPr>
          <w:rFonts w:ascii="Calibri" w:hAnsi="Calibri"/>
          <w:sz w:val="22"/>
        </w:rPr>
        <w:t>auxflow run limits each tool call to 600 seconds, passes -no-shell-escape, and rejects auxiliary files outside the work directory.</w:t>
      </w:r>
    </w:p>
    <w:p>
      <w:pPr>
        <w:pStyle w:val="ListBullet"/>
        <w:spacing w:after="80"/>
      </w:pPr>
      <w:r>
        <w:rPr>
          <w:rFonts w:ascii="Calibri" w:hAnsi="Calibri"/>
          <w:sz w:val="22"/>
        </w:rPr>
        <w:t>auxflow update uses pipx when the environment has no pip.</w:t>
      </w:r>
    </w:p>
    <w:p>
      <w:pPr>
        <w:keepNext/>
        <w:spacing w:after="160"/>
      </w:pPr>
      <w:r>
        <w:rPr>
          <w:rFonts w:ascii="Calibri" w:hAnsi="Calibri"/>
          <w:b/>
          <w:sz w:val="22"/>
        </w:rPr>
        <w:t>Code and quality figures</w:t>
      </w:r>
    </w:p>
    <w:p>
      <w:pPr>
        <w:pStyle w:val="ListBullet"/>
        <w:spacing w:after="80"/>
      </w:pPr>
      <w:r>
        <w:rPr>
          <w:rFonts w:ascii="Calibri" w:hAnsi="Calibri"/>
          <w:sz w:val="22"/>
        </w:rPr>
        <w:t>About 5,600 lines of source code in 47 modules and about 5,900 lines of test code in 57 files.</w:t>
      </w:r>
    </w:p>
    <w:p>
      <w:pPr>
        <w:pStyle w:val="ListBullet"/>
        <w:spacing w:after="80"/>
      </w:pPr>
      <w:r>
        <w:rPr>
          <w:rFonts w:ascii="Calibri" w:hAnsi="Calibri"/>
          <w:sz w:val="22"/>
        </w:rPr>
        <w:t>396 tests pass and 1 is skipped. mypy --strict reports no issues in 48 source files. ruff reports no issues in src and tests.</w:t>
      </w:r>
    </w:p>
    <w:p>
      <w:pPr>
        <w:jc w:val="center"/>
      </w:pPr>
      <w:r>
        <w:drawing>
          <wp:inline xmlns:a="http://schemas.openxmlformats.org/drawingml/2006/main" xmlns:pic="http://schemas.openxmlformats.org/drawingml/2006/picture">
            <wp:extent cx="5580000" cy="4769530"/>
            <wp:docPr id="6" name="Picture 6"/>
            <wp:cNvGraphicFramePr>
              <a:graphicFrameLocks noChangeAspect="1"/>
            </wp:cNvGraphicFramePr>
            <a:graphic>
              <a:graphicData uri="http://schemas.openxmlformats.org/drawingml/2006/picture">
                <pic:pic>
                  <pic:nvPicPr>
                    <pic:cNvPr id="0" name="06-classify-certified.png"/>
                    <pic:cNvPicPr/>
                  </pic:nvPicPr>
                  <pic:blipFill>
                    <a:blip r:embed="rId14"/>
                    <a:stretch>
                      <a:fillRect/>
                    </a:stretch>
                  </pic:blipFill>
                  <pic:spPr>
                    <a:xfrm>
                      <a:off x="0" y="0"/>
                      <a:ext cx="5580000" cy="4769530"/>
                    </a:xfrm>
                    <a:prstGeom prst="rect"/>
                  </pic:spPr>
                </pic:pic>
              </a:graphicData>
            </a:graphic>
          </wp:inline>
        </w:drawing>
      </w:r>
    </w:p>
    <w:p>
      <w:pPr>
        <w:spacing w:after="200"/>
        <w:jc w:val="center"/>
      </w:pPr>
      <w:r>
        <w:rPr>
          <w:i/>
          <w:color w:val="5A5A5A"/>
          <w:sz w:val="20"/>
        </w:rPr>
        <w:t>Figure 6. auxflow classify and plan on a CERTIFIED document</w:t>
      </w:r>
    </w:p>
    <w:p>
      <w:pPr>
        <w:jc w:val="center"/>
      </w:pPr>
      <w:r>
        <w:drawing>
          <wp:inline xmlns:a="http://schemas.openxmlformats.org/drawingml/2006/main" xmlns:pic="http://schemas.openxmlformats.org/drawingml/2006/picture">
            <wp:extent cx="5580000" cy="3454286"/>
            <wp:docPr id="7" name="Picture 7"/>
            <wp:cNvGraphicFramePr>
              <a:graphicFrameLocks noChangeAspect="1"/>
            </wp:cNvGraphicFramePr>
            <a:graphic>
              <a:graphicData uri="http://schemas.openxmlformats.org/drawingml/2006/picture">
                <pic:pic>
                  <pic:nvPicPr>
                    <pic:cNvPr id="0" name="07-classify-amplifying.png"/>
                    <pic:cNvPicPr/>
                  </pic:nvPicPr>
                  <pic:blipFill>
                    <a:blip r:embed="rId15"/>
                    <a:stretch>
                      <a:fillRect/>
                    </a:stretch>
                  </pic:blipFill>
                  <pic:spPr>
                    <a:xfrm>
                      <a:off x="0" y="0"/>
                      <a:ext cx="5580000" cy="3454286"/>
                    </a:xfrm>
                    <a:prstGeom prst="rect"/>
                  </pic:spPr>
                </pic:pic>
              </a:graphicData>
            </a:graphic>
          </wp:inline>
        </w:drawing>
      </w:r>
    </w:p>
    <w:p>
      <w:pPr>
        <w:spacing w:after="200"/>
        <w:jc w:val="center"/>
      </w:pPr>
      <w:r>
        <w:rPr>
          <w:i/>
          <w:color w:val="5A5A5A"/>
          <w:sz w:val="20"/>
        </w:rPr>
        <w:t>Figure 7. auxflow classify on an AMPLIFYING document</w:t>
      </w:r>
    </w:p>
    <w:p>
      <w:pPr>
        <w:jc w:val="center"/>
      </w:pPr>
      <w:r>
        <w:drawing>
          <wp:inline xmlns:a="http://schemas.openxmlformats.org/drawingml/2006/main" xmlns:pic="http://schemas.openxmlformats.org/drawingml/2006/picture">
            <wp:extent cx="5580000" cy="2004000"/>
            <wp:docPr id="8" name="Picture 8"/>
            <wp:cNvGraphicFramePr>
              <a:graphicFrameLocks noChangeAspect="1"/>
            </wp:cNvGraphicFramePr>
            <a:graphic>
              <a:graphicData uri="http://schemas.openxmlformats.org/drawingml/2006/picture">
                <pic:pic>
                  <pic:nvPicPr>
                    <pic:cNvPr id="0" name="09-classify-unknown.png"/>
                    <pic:cNvPicPr/>
                  </pic:nvPicPr>
                  <pic:blipFill>
                    <a:blip r:embed="rId16"/>
                    <a:stretch>
                      <a:fillRect/>
                    </a:stretch>
                  </pic:blipFill>
                  <pic:spPr>
                    <a:xfrm>
                      <a:off x="0" y="0"/>
                      <a:ext cx="5580000" cy="2004000"/>
                    </a:xfrm>
                    <a:prstGeom prst="rect"/>
                  </pic:spPr>
                </pic:pic>
              </a:graphicData>
            </a:graphic>
          </wp:inline>
        </w:drawing>
      </w:r>
    </w:p>
    <w:p>
      <w:pPr>
        <w:spacing w:after="200"/>
        <w:jc w:val="center"/>
      </w:pPr>
      <w:r>
        <w:rPr>
          <w:i/>
          <w:color w:val="5A5A5A"/>
          <w:sz w:val="20"/>
        </w:rPr>
        <w:t>Figure 8. auxflow classify on an UNKNOWN document</w:t>
      </w:r>
    </w:p>
    <w:p>
      <w:pPr>
        <w:jc w:val="center"/>
      </w:pPr>
      <w:r>
        <w:drawing>
          <wp:inline xmlns:a="http://schemas.openxmlformats.org/drawingml/2006/main" xmlns:pic="http://schemas.openxmlformats.org/drawingml/2006/picture">
            <wp:extent cx="5580000" cy="1740000"/>
            <wp:docPr id="9" name="Picture 9"/>
            <wp:cNvGraphicFramePr>
              <a:graphicFrameLocks noChangeAspect="1"/>
            </wp:cNvGraphicFramePr>
            <a:graphic>
              <a:graphicData uri="http://schemas.openxmlformats.org/drawingml/2006/picture">
                <pic:pic>
                  <pic:nvPicPr>
                    <pic:cNvPr id="0" name="10-run-forced.png"/>
                    <pic:cNvPicPr/>
                  </pic:nvPicPr>
                  <pic:blipFill>
                    <a:blip r:embed="rId17"/>
                    <a:stretch>
                      <a:fillRect/>
                    </a:stretch>
                  </pic:blipFill>
                  <pic:spPr>
                    <a:xfrm>
                      <a:off x="0" y="0"/>
                      <a:ext cx="5580000" cy="1740000"/>
                    </a:xfrm>
                    <a:prstGeom prst="rect"/>
                  </pic:spPr>
                </pic:pic>
              </a:graphicData>
            </a:graphic>
          </wp:inline>
        </w:drawing>
      </w:r>
    </w:p>
    <w:p>
      <w:pPr>
        <w:spacing w:after="200"/>
        <w:jc w:val="center"/>
      </w:pPr>
      <w:r>
        <w:rPr>
          <w:i/>
          <w:color w:val="5A5A5A"/>
          <w:sz w:val="20"/>
        </w:rPr>
        <w:t>Figure 9. auxflow run --force stops at the cap of six runs</w:t>
      </w:r>
    </w:p>
    <w:p>
      <w:pPr>
        <w:spacing w:before="360" w:after="120"/>
        <w:pBdr>
          <w:bottom w:val="single" w:sz="6" w:space="4" w:color="1B3A57"/>
        </w:pBdr>
      </w:pPr>
      <w:r>
        <w:rPr>
          <w:rFonts w:ascii="Calibri" w:hAnsi="Calibri"/>
          <w:b/>
          <w:color w:val="0D1B2A"/>
          <w:sz w:val="32"/>
        </w:rPr>
        <w:t>7. Results and Discussion</w:t>
      </w:r>
    </w:p>
    <w:p>
      <w:pPr>
        <w:keepNext/>
        <w:spacing w:after="160"/>
      </w:pPr>
      <w:r>
        <w:rPr>
          <w:rFonts w:ascii="Calibri" w:hAnsi="Calibri"/>
          <w:b/>
          <w:sz w:val="22"/>
        </w:rPr>
        <w:t>Experimental setup</w:t>
      </w:r>
    </w:p>
    <w:p>
      <w:pPr>
        <w:spacing w:after="160"/>
      </w:pPr>
      <w:r>
        <w:rPr>
          <w:rFonts w:ascii="Calibri" w:hAnsi="Calibri"/>
          <w:b w:val="0"/>
          <w:sz w:val="22"/>
        </w:rPr>
        <w:t>The corpus has 15 documents (b01_plain to b15_ibid) that cover the non-convergence mechanisms M1 to M9, including a multi-chapter thesis. Seven baselines ran ten times on each document, one container per repetition, with one CPU and no network: 1,050 runs. A is a fixed three-run schedule, B the rerun warning, C output comparison, C' input comparison, C'' read-then-written comparison, D AuxFlow static analysis, and E AuxFlow with runtime verification. Ground truth N* comes from eight unconditional engine passes and is independent of every baseline. The expected class of each document was written before the analyzer.</w:t>
      </w:r>
    </w:p>
    <w:p>
      <w:pPr>
        <w:jc w:val="center"/>
      </w:pPr>
      <w:r>
        <w:drawing>
          <wp:inline xmlns:a="http://schemas.openxmlformats.org/drawingml/2006/main" xmlns:pic="http://schemas.openxmlformats.org/drawingml/2006/picture">
            <wp:extent cx="5580000" cy="3495221"/>
            <wp:docPr id="10" name="Picture 10"/>
            <wp:cNvGraphicFramePr>
              <a:graphicFrameLocks noChangeAspect="1"/>
            </wp:cNvGraphicFramePr>
            <a:graphic>
              <a:graphicData uri="http://schemas.openxmlformats.org/drawingml/2006/picture">
                <pic:pic>
                  <pic:nvPicPr>
                    <pic:cNvPr id="0" name="evaluation-setup.png"/>
                    <pic:cNvPicPr/>
                  </pic:nvPicPr>
                  <pic:blipFill>
                    <a:blip r:embed="rId18"/>
                    <a:stretch>
                      <a:fillRect/>
                    </a:stretch>
                  </pic:blipFill>
                  <pic:spPr>
                    <a:xfrm>
                      <a:off x="0" y="0"/>
                      <a:ext cx="5580000" cy="3495221"/>
                    </a:xfrm>
                    <a:prstGeom prst="rect"/>
                  </pic:spPr>
                </pic:pic>
              </a:graphicData>
            </a:graphic>
          </wp:inline>
        </w:drawing>
      </w:r>
    </w:p>
    <w:p>
      <w:pPr>
        <w:spacing w:after="200"/>
        <w:jc w:val="center"/>
      </w:pPr>
      <w:r>
        <w:rPr>
          <w:i/>
          <w:color w:val="5A5A5A"/>
          <w:sz w:val="20"/>
        </w:rPr>
        <w:t>Figure 10. Evaluation setup: corpus, baselines, ground truth, and gates</w:t>
      </w:r>
    </w:p>
    <w:p>
      <w:pPr>
        <w:keepNext/>
        <w:spacing w:after="160"/>
      </w:pPr>
      <w:r>
        <w:rPr>
          <w:rFonts w:ascii="Calibri" w:hAnsi="Calibri"/>
          <w:b/>
          <w:sz w:val="22"/>
        </w:rPr>
        <w:t>Classification and run-count bound</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1949"/>
            <w:shd w:val="clear" w:color="auto" w:fill="E6EDF3"/>
          </w:tcPr>
          <w:p>
            <w:r/>
            <w:r>
              <w:rPr>
                <w:rFonts w:ascii="Calibri" w:hAnsi="Calibri"/>
                <w:b/>
                <w:sz w:val="18"/>
              </w:rPr>
              <w:t>Document</w:t>
            </w:r>
          </w:p>
        </w:tc>
        <w:tc>
          <w:tcPr>
            <w:tcW w:type="dxa" w:w="1949"/>
            <w:shd w:val="clear" w:color="auto" w:fill="E6EDF3"/>
          </w:tcPr>
          <w:p>
            <w:r/>
            <w:r>
              <w:rPr>
                <w:rFonts w:ascii="Calibri" w:hAnsi="Calibri"/>
                <w:b/>
                <w:sz w:val="18"/>
              </w:rPr>
              <w:t>N*</w:t>
            </w:r>
          </w:p>
        </w:tc>
        <w:tc>
          <w:tcPr>
            <w:tcW w:type="dxa" w:w="1949"/>
            <w:shd w:val="clear" w:color="auto" w:fill="E6EDF3"/>
          </w:tcPr>
          <w:p>
            <w:r/>
            <w:r>
              <w:rPr>
                <w:rFonts w:ascii="Calibri" w:hAnsi="Calibri"/>
                <w:b/>
                <w:sz w:val="18"/>
              </w:rPr>
              <w:t>Before the guard</w:t>
            </w:r>
          </w:p>
        </w:tc>
        <w:tc>
          <w:tcPr>
            <w:tcW w:type="dxa" w:w="1949"/>
            <w:shd w:val="clear" w:color="auto" w:fill="E6EDF3"/>
          </w:tcPr>
          <w:p>
            <w:r/>
            <w:r>
              <w:rPr>
                <w:rFonts w:ascii="Calibri" w:hAnsi="Calibri"/>
                <w:b/>
                <w:sz w:val="18"/>
              </w:rPr>
              <w:t>Current class</w:t>
            </w:r>
          </w:p>
        </w:tc>
        <w:tc>
          <w:tcPr>
            <w:tcW w:type="dxa" w:w="1949"/>
            <w:shd w:val="clear" w:color="auto" w:fill="E6EDF3"/>
          </w:tcPr>
          <w:p>
            <w:r/>
            <w:r>
              <w:rPr>
                <w:rFonts w:ascii="Calibri" w:hAnsi="Calibri"/>
                <w:b/>
                <w:sz w:val="18"/>
              </w:rPr>
              <w:t>Predicted N</w:t>
            </w:r>
          </w:p>
        </w:tc>
      </w:tr>
      <w:tr>
        <w:tc>
          <w:tcPr>
            <w:tcW w:type="dxa" w:w="1949"/>
          </w:tcPr>
          <w:p>
            <w:r/>
            <w:r>
              <w:rPr>
                <w:rFonts w:ascii="Calibri" w:hAnsi="Calibri"/>
                <w:b w:val="0"/>
                <w:sz w:val="18"/>
              </w:rPr>
              <w:t>b01_plain</w:t>
            </w:r>
          </w:p>
        </w:tc>
        <w:tc>
          <w:tcPr>
            <w:tcW w:type="dxa" w:w="1949"/>
          </w:tcPr>
          <w:p>
            <w:r/>
            <w:r>
              <w:rPr>
                <w:rFonts w:ascii="Calibri" w:hAnsi="Calibri"/>
                <w:b w:val="0"/>
                <w:sz w:val="18"/>
              </w:rPr>
              <w:t>1</w:t>
            </w:r>
          </w:p>
        </w:tc>
        <w:tc>
          <w:tcPr>
            <w:tcW w:type="dxa" w:w="1949"/>
          </w:tcPr>
          <w:p>
            <w:r/>
            <w:r>
              <w:rPr>
                <w:rFonts w:ascii="Calibri" w:hAnsi="Calibri"/>
                <w:b w:val="0"/>
                <w:sz w:val="18"/>
              </w:rPr>
              <w:t>CERTIFIED</w:t>
            </w:r>
          </w:p>
        </w:tc>
        <w:tc>
          <w:tcPr>
            <w:tcW w:type="dxa" w:w="1949"/>
          </w:tcPr>
          <w:p>
            <w:r/>
            <w:r>
              <w:rPr>
                <w:rFonts w:ascii="Calibri" w:hAnsi="Calibri"/>
                <w:b w:val="0"/>
                <w:sz w:val="18"/>
              </w:rPr>
              <w:t>CERTIFIED</w:t>
            </w:r>
          </w:p>
        </w:tc>
        <w:tc>
          <w:tcPr>
            <w:tcW w:type="dxa" w:w="1949"/>
          </w:tcPr>
          <w:p>
            <w:r/>
            <w:r>
              <w:rPr>
                <w:rFonts w:ascii="Calibri" w:hAnsi="Calibri"/>
                <w:b w:val="0"/>
                <w:sz w:val="18"/>
              </w:rPr>
              <w:t>1</w:t>
            </w:r>
          </w:p>
        </w:tc>
      </w:tr>
      <w:tr>
        <w:tc>
          <w:tcPr>
            <w:tcW w:type="dxa" w:w="1949"/>
          </w:tcPr>
          <w:p>
            <w:r/>
            <w:r>
              <w:rPr>
                <w:rFonts w:ascii="Calibri" w:hAnsi="Calibri"/>
                <w:b w:val="0"/>
                <w:sz w:val="18"/>
              </w:rPr>
              <w:t>b02_backref</w:t>
            </w:r>
          </w:p>
        </w:tc>
        <w:tc>
          <w:tcPr>
            <w:tcW w:type="dxa" w:w="1949"/>
          </w:tcPr>
          <w:p>
            <w:r/>
            <w:r>
              <w:rPr>
                <w:rFonts w:ascii="Calibri" w:hAnsi="Calibri"/>
                <w:b w:val="0"/>
                <w:sz w:val="18"/>
              </w:rPr>
              <w:t>2</w:t>
            </w:r>
          </w:p>
        </w:tc>
        <w:tc>
          <w:tcPr>
            <w:tcW w:type="dxa" w:w="1949"/>
          </w:tcPr>
          <w:p>
            <w:r/>
            <w:r>
              <w:rPr>
                <w:rFonts w:ascii="Calibri" w:hAnsi="Calibri"/>
                <w:b w:val="0"/>
                <w:sz w:val="18"/>
              </w:rPr>
              <w:t>CERTIFIED</w:t>
            </w:r>
          </w:p>
        </w:tc>
        <w:tc>
          <w:tcPr>
            <w:tcW w:type="dxa" w:w="1949"/>
          </w:tcPr>
          <w:p>
            <w:r/>
            <w:r>
              <w:rPr>
                <w:rFonts w:ascii="Calibri" w:hAnsi="Calibri"/>
                <w:b w:val="0"/>
                <w:sz w:val="18"/>
              </w:rPr>
              <w:t>CERTIFIED</w:t>
            </w:r>
          </w:p>
        </w:tc>
        <w:tc>
          <w:tcPr>
            <w:tcW w:type="dxa" w:w="1949"/>
          </w:tcPr>
          <w:p>
            <w:r/>
            <w:r>
              <w:rPr>
                <w:rFonts w:ascii="Calibri" w:hAnsi="Calibri"/>
                <w:b w:val="0"/>
                <w:sz w:val="18"/>
              </w:rPr>
              <w:t>2</w:t>
            </w:r>
          </w:p>
        </w:tc>
      </w:tr>
      <w:tr>
        <w:tc>
          <w:tcPr>
            <w:tcW w:type="dxa" w:w="1949"/>
          </w:tcPr>
          <w:p>
            <w:r/>
            <w:r>
              <w:rPr>
                <w:rFonts w:ascii="Calibri" w:hAnsi="Calibri"/>
                <w:b w:val="0"/>
                <w:sz w:val="18"/>
              </w:rPr>
              <w:t>b03_fwdref</w:t>
            </w:r>
          </w:p>
        </w:tc>
        <w:tc>
          <w:tcPr>
            <w:tcW w:type="dxa" w:w="1949"/>
          </w:tcPr>
          <w:p>
            <w:r/>
            <w:r>
              <w:rPr>
                <w:rFonts w:ascii="Calibri" w:hAnsi="Calibri"/>
                <w:b w:val="0"/>
                <w:sz w:val="18"/>
              </w:rPr>
              <w:t>2</w:t>
            </w:r>
          </w:p>
        </w:tc>
        <w:tc>
          <w:tcPr>
            <w:tcW w:type="dxa" w:w="1949"/>
          </w:tcPr>
          <w:p>
            <w:r/>
            <w:r>
              <w:rPr>
                <w:rFonts w:ascii="Calibri" w:hAnsi="Calibri"/>
                <w:b w:val="0"/>
                <w:sz w:val="18"/>
              </w:rPr>
              <w:t>CERTIFIED</w:t>
            </w:r>
          </w:p>
        </w:tc>
        <w:tc>
          <w:tcPr>
            <w:tcW w:type="dxa" w:w="1949"/>
          </w:tcPr>
          <w:p>
            <w:r/>
            <w:r>
              <w:rPr>
                <w:rFonts w:ascii="Calibri" w:hAnsi="Calibri"/>
                <w:b w:val="0"/>
                <w:sz w:val="18"/>
              </w:rPr>
              <w:t>CERTIFIED</w:t>
            </w:r>
          </w:p>
        </w:tc>
        <w:tc>
          <w:tcPr>
            <w:tcW w:type="dxa" w:w="1949"/>
          </w:tcPr>
          <w:p>
            <w:r/>
            <w:r>
              <w:rPr>
                <w:rFonts w:ascii="Calibri" w:hAnsi="Calibri"/>
                <w:b w:val="0"/>
                <w:sz w:val="18"/>
              </w:rPr>
              <w:t>2</w:t>
            </w:r>
          </w:p>
        </w:tc>
      </w:tr>
      <w:tr>
        <w:tc>
          <w:tcPr>
            <w:tcW w:type="dxa" w:w="1949"/>
          </w:tcPr>
          <w:p>
            <w:r/>
            <w:r>
              <w:rPr>
                <w:rFonts w:ascii="Calibri" w:hAnsi="Calibri"/>
                <w:b w:val="0"/>
                <w:sz w:val="18"/>
              </w:rPr>
              <w:t>b04_chain</w:t>
            </w:r>
          </w:p>
        </w:tc>
        <w:tc>
          <w:tcPr>
            <w:tcW w:type="dxa" w:w="1949"/>
          </w:tcPr>
          <w:p>
            <w:r/>
            <w:r>
              <w:rPr>
                <w:rFonts w:ascii="Calibri" w:hAnsi="Calibri"/>
                <w:b w:val="0"/>
                <w:sz w:val="18"/>
              </w:rPr>
              <w:t>2</w:t>
            </w:r>
          </w:p>
        </w:tc>
        <w:tc>
          <w:tcPr>
            <w:tcW w:type="dxa" w:w="1949"/>
          </w:tcPr>
          <w:p>
            <w:r/>
            <w:r>
              <w:rPr>
                <w:rFonts w:ascii="Calibri" w:hAnsi="Calibri"/>
                <w:b w:val="0"/>
                <w:sz w:val="18"/>
              </w:rPr>
              <w:t>CERTIFIED</w:t>
            </w:r>
          </w:p>
        </w:tc>
        <w:tc>
          <w:tcPr>
            <w:tcW w:type="dxa" w:w="1949"/>
          </w:tcPr>
          <w:p>
            <w:r/>
            <w:r>
              <w:rPr>
                <w:rFonts w:ascii="Calibri" w:hAnsi="Calibri"/>
                <w:b w:val="0"/>
                <w:sz w:val="18"/>
              </w:rPr>
              <w:t>CERTIFIED</w:t>
            </w:r>
          </w:p>
        </w:tc>
        <w:tc>
          <w:tcPr>
            <w:tcW w:type="dxa" w:w="1949"/>
          </w:tcPr>
          <w:p>
            <w:r/>
            <w:r>
              <w:rPr>
                <w:rFonts w:ascii="Calibri" w:hAnsi="Calibri"/>
                <w:b w:val="0"/>
                <w:sz w:val="18"/>
              </w:rPr>
              <w:t>3</w:t>
            </w:r>
          </w:p>
        </w:tc>
      </w:tr>
      <w:tr>
        <w:tc>
          <w:tcPr>
            <w:tcW w:type="dxa" w:w="1949"/>
          </w:tcPr>
          <w:p>
            <w:r/>
            <w:r>
              <w:rPr>
                <w:rFonts w:ascii="Calibri" w:hAnsi="Calibri"/>
                <w:b w:val="0"/>
                <w:sz w:val="18"/>
              </w:rPr>
              <w:t>b05_toc</w:t>
            </w:r>
          </w:p>
        </w:tc>
        <w:tc>
          <w:tcPr>
            <w:tcW w:type="dxa" w:w="1949"/>
          </w:tcPr>
          <w:p>
            <w:r/>
            <w:r>
              <w:rPr>
                <w:rFonts w:ascii="Calibri" w:hAnsi="Calibri"/>
                <w:b w:val="0"/>
                <w:sz w:val="18"/>
              </w:rPr>
              <w:t>3</w:t>
            </w:r>
          </w:p>
        </w:tc>
        <w:tc>
          <w:tcPr>
            <w:tcW w:type="dxa" w:w="1949"/>
          </w:tcPr>
          <w:p>
            <w:r/>
            <w:r>
              <w:rPr>
                <w:rFonts w:ascii="Calibri" w:hAnsi="Calibri"/>
                <w:b w:val="0"/>
                <w:sz w:val="18"/>
              </w:rPr>
              <w:t>CERTIFIED</w:t>
            </w:r>
          </w:p>
        </w:tc>
        <w:tc>
          <w:tcPr>
            <w:tcW w:type="dxa" w:w="1949"/>
          </w:tcPr>
          <w:p>
            <w:r/>
            <w:r>
              <w:rPr>
                <w:rFonts w:ascii="Calibri" w:hAnsi="Calibri"/>
                <w:b w:val="0"/>
                <w:sz w:val="18"/>
              </w:rPr>
              <w:t>CERTIFIED</w:t>
            </w:r>
          </w:p>
        </w:tc>
        <w:tc>
          <w:tcPr>
            <w:tcW w:type="dxa" w:w="1949"/>
          </w:tcPr>
          <w:p>
            <w:r/>
            <w:r>
              <w:rPr>
                <w:rFonts w:ascii="Calibri" w:hAnsi="Calibri"/>
                <w:b w:val="0"/>
                <w:sz w:val="18"/>
              </w:rPr>
              <w:t>3</w:t>
            </w:r>
          </w:p>
        </w:tc>
      </w:tr>
      <w:tr>
        <w:tc>
          <w:tcPr>
            <w:tcW w:type="dxa" w:w="1949"/>
          </w:tcPr>
          <w:p>
            <w:r/>
            <w:r>
              <w:rPr>
                <w:rFonts w:ascii="Calibri" w:hAnsi="Calibri"/>
                <w:b w:val="0"/>
                <w:sz w:val="18"/>
              </w:rPr>
              <w:t>b06_bib</w:t>
            </w:r>
          </w:p>
        </w:tc>
        <w:tc>
          <w:tcPr>
            <w:tcW w:type="dxa" w:w="1949"/>
          </w:tcPr>
          <w:p>
            <w:r/>
            <w:r>
              <w:rPr>
                <w:rFonts w:ascii="Calibri" w:hAnsi="Calibri"/>
                <w:b w:val="0"/>
                <w:sz w:val="18"/>
              </w:rPr>
              <w:t>3</w:t>
            </w:r>
          </w:p>
        </w:tc>
        <w:tc>
          <w:tcPr>
            <w:tcW w:type="dxa" w:w="1949"/>
          </w:tcPr>
          <w:p>
            <w:r/>
            <w:r>
              <w:rPr>
                <w:rFonts w:ascii="Calibri" w:hAnsi="Calibri"/>
                <w:b w:val="0"/>
                <w:sz w:val="18"/>
              </w:rPr>
              <w:t>CERTIFIED</w:t>
            </w:r>
          </w:p>
        </w:tc>
        <w:tc>
          <w:tcPr>
            <w:tcW w:type="dxa" w:w="1949"/>
          </w:tcPr>
          <w:p>
            <w:r/>
            <w:r>
              <w:rPr>
                <w:rFonts w:ascii="Calibri" w:hAnsi="Calibri"/>
                <w:b w:val="0"/>
                <w:sz w:val="18"/>
              </w:rPr>
              <w:t>CERTIFIED</w:t>
            </w:r>
          </w:p>
        </w:tc>
        <w:tc>
          <w:tcPr>
            <w:tcW w:type="dxa" w:w="1949"/>
          </w:tcPr>
          <w:p>
            <w:r/>
            <w:r>
              <w:rPr>
                <w:rFonts w:ascii="Calibri" w:hAnsi="Calibri"/>
                <w:b w:val="0"/>
                <w:sz w:val="18"/>
              </w:rPr>
              <w:t>4</w:t>
            </w:r>
          </w:p>
        </w:tc>
      </w:tr>
      <w:tr>
        <w:tc>
          <w:tcPr>
            <w:tcW w:type="dxa" w:w="1949"/>
          </w:tcPr>
          <w:p>
            <w:r/>
            <w:r>
              <w:rPr>
                <w:rFonts w:ascii="Calibri" w:hAnsi="Calibri"/>
                <w:b w:val="0"/>
                <w:sz w:val="18"/>
              </w:rPr>
              <w:t>b07_footnote</w:t>
            </w:r>
          </w:p>
        </w:tc>
        <w:tc>
          <w:tcPr>
            <w:tcW w:type="dxa" w:w="1949"/>
          </w:tcPr>
          <w:p>
            <w:r/>
            <w:r>
              <w:rPr>
                <w:rFonts w:ascii="Calibri" w:hAnsi="Calibri"/>
                <w:b w:val="0"/>
                <w:sz w:val="18"/>
              </w:rPr>
              <w:t>2</w:t>
            </w:r>
          </w:p>
        </w:tc>
        <w:tc>
          <w:tcPr>
            <w:tcW w:type="dxa" w:w="1949"/>
          </w:tcPr>
          <w:p>
            <w:r/>
            <w:r>
              <w:rPr>
                <w:rFonts w:ascii="Calibri" w:hAnsi="Calibri"/>
                <w:b w:val="0"/>
                <w:sz w:val="18"/>
              </w:rPr>
              <w:t>UNKNOWN</w:t>
            </w:r>
          </w:p>
        </w:tc>
        <w:tc>
          <w:tcPr>
            <w:tcW w:type="dxa" w:w="1949"/>
          </w:tcPr>
          <w:p>
            <w:r/>
            <w:r>
              <w:rPr>
                <w:rFonts w:ascii="Calibri" w:hAnsi="Calibri"/>
                <w:b w:val="0"/>
                <w:sz w:val="18"/>
              </w:rPr>
              <w:t>UNKNOWN</w:t>
            </w:r>
          </w:p>
        </w:tc>
        <w:tc>
          <w:tcPr>
            <w:tcW w:type="dxa" w:w="1949"/>
          </w:tcPr>
          <w:p>
            <w:r/>
            <w:r>
              <w:rPr>
                <w:rFonts w:ascii="Calibri" w:hAnsi="Calibri"/>
                <w:b w:val="0"/>
                <w:sz w:val="18"/>
              </w:rPr>
              <w:t>none</w:t>
            </w:r>
          </w:p>
        </w:tc>
      </w:tr>
      <w:tr>
        <w:tc>
          <w:tcPr>
            <w:tcW w:type="dxa" w:w="1949"/>
          </w:tcPr>
          <w:p>
            <w:r/>
            <w:r>
              <w:rPr>
                <w:rFonts w:ascii="Calibri" w:hAnsi="Calibri"/>
                <w:b w:val="0"/>
                <w:sz w:val="18"/>
              </w:rPr>
              <w:t>b08_cycle</w:t>
            </w:r>
          </w:p>
        </w:tc>
        <w:tc>
          <w:tcPr>
            <w:tcW w:type="dxa" w:w="1949"/>
          </w:tcPr>
          <w:p>
            <w:r/>
            <w:r>
              <w:rPr>
                <w:rFonts w:ascii="Calibri" w:hAnsi="Calibri"/>
                <w:b w:val="0"/>
                <w:sz w:val="18"/>
              </w:rPr>
              <w:t>divergent</w:t>
            </w:r>
          </w:p>
        </w:tc>
        <w:tc>
          <w:tcPr>
            <w:tcW w:type="dxa" w:w="1949"/>
          </w:tcPr>
          <w:p>
            <w:r/>
            <w:r>
              <w:rPr>
                <w:rFonts w:ascii="Calibri" w:hAnsi="Calibri"/>
                <w:b w:val="0"/>
                <w:sz w:val="18"/>
              </w:rPr>
              <w:t>AMPLIFYING</w:t>
            </w:r>
          </w:p>
        </w:tc>
        <w:tc>
          <w:tcPr>
            <w:tcW w:type="dxa" w:w="1949"/>
          </w:tcPr>
          <w:p>
            <w:r/>
            <w:r>
              <w:rPr>
                <w:rFonts w:ascii="Calibri" w:hAnsi="Calibri"/>
                <w:b w:val="0"/>
                <w:sz w:val="18"/>
              </w:rPr>
              <w:t>AMPLIFYING</w:t>
            </w:r>
          </w:p>
        </w:tc>
        <w:tc>
          <w:tcPr>
            <w:tcW w:type="dxa" w:w="1949"/>
          </w:tcPr>
          <w:p>
            <w:r/>
            <w:r>
              <w:rPr>
                <w:rFonts w:ascii="Calibri" w:hAnsi="Calibri"/>
                <w:b w:val="0"/>
                <w:sz w:val="18"/>
              </w:rPr>
              <w:t>none</w:t>
            </w:r>
          </w:p>
        </w:tc>
      </w:tr>
      <w:tr>
        <w:tc>
          <w:tcPr>
            <w:tcW w:type="dxa" w:w="1949"/>
          </w:tcPr>
          <w:p>
            <w:r/>
            <w:r>
              <w:rPr>
                <w:rFonts w:ascii="Calibri" w:hAnsi="Calibri"/>
                <w:b w:val="0"/>
                <w:sz w:val="18"/>
              </w:rPr>
              <w:t>b09_thesis</w:t>
            </w:r>
          </w:p>
        </w:tc>
        <w:tc>
          <w:tcPr>
            <w:tcW w:type="dxa" w:w="1949"/>
          </w:tcPr>
          <w:p>
            <w:r/>
            <w:r>
              <w:rPr>
                <w:rFonts w:ascii="Calibri" w:hAnsi="Calibri"/>
                <w:b w:val="0"/>
                <w:sz w:val="18"/>
              </w:rPr>
              <w:t>3</w:t>
            </w:r>
          </w:p>
        </w:tc>
        <w:tc>
          <w:tcPr>
            <w:tcW w:type="dxa" w:w="1949"/>
          </w:tcPr>
          <w:p>
            <w:r/>
            <w:r>
              <w:rPr>
                <w:rFonts w:ascii="Calibri" w:hAnsi="Calibri"/>
                <w:b w:val="0"/>
                <w:sz w:val="18"/>
              </w:rPr>
              <w:t>CERTIFIED</w:t>
            </w:r>
          </w:p>
        </w:tc>
        <w:tc>
          <w:tcPr>
            <w:tcW w:type="dxa" w:w="1949"/>
          </w:tcPr>
          <w:p>
            <w:r/>
            <w:r>
              <w:rPr>
                <w:rFonts w:ascii="Calibri" w:hAnsi="Calibri"/>
                <w:b w:val="0"/>
                <w:sz w:val="18"/>
              </w:rPr>
              <w:t>CERTIFIED</w:t>
            </w:r>
          </w:p>
        </w:tc>
        <w:tc>
          <w:tcPr>
            <w:tcW w:type="dxa" w:w="1949"/>
          </w:tcPr>
          <w:p>
            <w:r/>
            <w:r>
              <w:rPr>
                <w:rFonts w:ascii="Calibri" w:hAnsi="Calibri"/>
                <w:b w:val="0"/>
                <w:sz w:val="18"/>
              </w:rPr>
              <w:t>4</w:t>
            </w:r>
          </w:p>
        </w:tc>
      </w:tr>
      <w:tr>
        <w:tc>
          <w:tcPr>
            <w:tcW w:type="dxa" w:w="1949"/>
          </w:tcPr>
          <w:p>
            <w:r/>
            <w:r>
              <w:rPr>
                <w:rFonts w:ascii="Calibri" w:hAnsi="Calibri"/>
                <w:b w:val="0"/>
                <w:sz w:val="18"/>
              </w:rPr>
              <w:t>b10_random</w:t>
            </w:r>
          </w:p>
        </w:tc>
        <w:tc>
          <w:tcPr>
            <w:tcW w:type="dxa" w:w="1949"/>
          </w:tcPr>
          <w:p>
            <w:r/>
            <w:r>
              <w:rPr>
                <w:rFonts w:ascii="Calibri" w:hAnsi="Calibri"/>
                <w:b w:val="0"/>
                <w:sz w:val="18"/>
              </w:rPr>
              <w:t>divergent</w:t>
            </w:r>
          </w:p>
        </w:tc>
        <w:tc>
          <w:tcPr>
            <w:tcW w:type="dxa" w:w="1949"/>
          </w:tcPr>
          <w:p>
            <w:r/>
            <w:r>
              <w:rPr>
                <w:rFonts w:ascii="Calibri" w:hAnsi="Calibri"/>
                <w:b w:val="0"/>
                <w:sz w:val="18"/>
              </w:rPr>
              <w:t>UNKNOWN</w:t>
            </w:r>
          </w:p>
        </w:tc>
        <w:tc>
          <w:tcPr>
            <w:tcW w:type="dxa" w:w="1949"/>
          </w:tcPr>
          <w:p>
            <w:r/>
            <w:r>
              <w:rPr>
                <w:rFonts w:ascii="Calibri" w:hAnsi="Calibri"/>
                <w:b w:val="0"/>
                <w:sz w:val="18"/>
              </w:rPr>
              <w:t>UNKNOWN</w:t>
            </w:r>
          </w:p>
        </w:tc>
        <w:tc>
          <w:tcPr>
            <w:tcW w:type="dxa" w:w="1949"/>
          </w:tcPr>
          <w:p>
            <w:r/>
            <w:r>
              <w:rPr>
                <w:rFonts w:ascii="Calibri" w:hAnsi="Calibri"/>
                <w:b w:val="0"/>
                <w:sz w:val="18"/>
              </w:rPr>
              <w:t>none</w:t>
            </w:r>
          </w:p>
        </w:tc>
      </w:tr>
      <w:tr>
        <w:tc>
          <w:tcPr>
            <w:tcW w:type="dxa" w:w="1949"/>
          </w:tcPr>
          <w:p>
            <w:r/>
            <w:r>
              <w:rPr>
                <w:rFonts w:ascii="Calibri" w:hAnsi="Calibri"/>
                <w:b w:val="0"/>
                <w:sz w:val="18"/>
              </w:rPr>
              <w:t>b11_width</w:t>
            </w:r>
          </w:p>
        </w:tc>
        <w:tc>
          <w:tcPr>
            <w:tcW w:type="dxa" w:w="1949"/>
          </w:tcPr>
          <w:p>
            <w:r/>
            <w:r>
              <w:rPr>
                <w:rFonts w:ascii="Calibri" w:hAnsi="Calibri"/>
                <w:b w:val="0"/>
                <w:sz w:val="18"/>
              </w:rPr>
              <w:t>oscillating</w:t>
            </w:r>
          </w:p>
        </w:tc>
        <w:tc>
          <w:tcPr>
            <w:tcW w:type="dxa" w:w="1949"/>
          </w:tcPr>
          <w:p>
            <w:r/>
            <w:r>
              <w:rPr>
                <w:rFonts w:ascii="Calibri" w:hAnsi="Calibri"/>
                <w:b w:val="0"/>
                <w:sz w:val="18"/>
              </w:rPr>
              <w:t>CERTIFIED</w:t>
            </w:r>
          </w:p>
        </w:tc>
        <w:tc>
          <w:tcPr>
            <w:tcW w:type="dxa" w:w="1949"/>
          </w:tcPr>
          <w:p>
            <w:r/>
            <w:r>
              <w:rPr>
                <w:rFonts w:ascii="Calibri" w:hAnsi="Calibri"/>
                <w:b w:val="0"/>
                <w:sz w:val="18"/>
              </w:rPr>
              <w:t>UNKNOWN</w:t>
            </w:r>
          </w:p>
        </w:tc>
        <w:tc>
          <w:tcPr>
            <w:tcW w:type="dxa" w:w="1949"/>
          </w:tcPr>
          <w:p>
            <w:r/>
            <w:r>
              <w:rPr>
                <w:rFonts w:ascii="Calibri" w:hAnsi="Calibri"/>
                <w:b w:val="0"/>
                <w:sz w:val="18"/>
              </w:rPr>
              <w:t>none</w:t>
            </w:r>
          </w:p>
        </w:tc>
      </w:tr>
      <w:tr>
        <w:tc>
          <w:tcPr>
            <w:tcW w:type="dxa" w:w="1949"/>
          </w:tcPr>
          <w:p>
            <w:r/>
            <w:r>
              <w:rPr>
                <w:rFonts w:ascii="Calibri" w:hAnsi="Calibri"/>
                <w:b w:val="0"/>
                <w:sz w:val="18"/>
              </w:rPr>
              <w:t>b12_float</w:t>
            </w:r>
          </w:p>
        </w:tc>
        <w:tc>
          <w:tcPr>
            <w:tcW w:type="dxa" w:w="1949"/>
          </w:tcPr>
          <w:p>
            <w:r/>
            <w:r>
              <w:rPr>
                <w:rFonts w:ascii="Calibri" w:hAnsi="Calibri"/>
                <w:b w:val="0"/>
                <w:sz w:val="18"/>
              </w:rPr>
              <w:t>oscillating</w:t>
            </w:r>
          </w:p>
        </w:tc>
        <w:tc>
          <w:tcPr>
            <w:tcW w:type="dxa" w:w="1949"/>
          </w:tcPr>
          <w:p>
            <w:r/>
            <w:r>
              <w:rPr>
                <w:rFonts w:ascii="Calibri" w:hAnsi="Calibri"/>
                <w:b w:val="0"/>
                <w:sz w:val="18"/>
              </w:rPr>
              <w:t>CERTIFIED</w:t>
            </w:r>
          </w:p>
        </w:tc>
        <w:tc>
          <w:tcPr>
            <w:tcW w:type="dxa" w:w="1949"/>
          </w:tcPr>
          <w:p>
            <w:r/>
            <w:r>
              <w:rPr>
                <w:rFonts w:ascii="Calibri" w:hAnsi="Calibri"/>
                <w:b w:val="0"/>
                <w:sz w:val="18"/>
              </w:rPr>
              <w:t>UNKNOWN</w:t>
            </w:r>
          </w:p>
        </w:tc>
        <w:tc>
          <w:tcPr>
            <w:tcW w:type="dxa" w:w="1949"/>
          </w:tcPr>
          <w:p>
            <w:r/>
            <w:r>
              <w:rPr>
                <w:rFonts w:ascii="Calibri" w:hAnsi="Calibri"/>
                <w:b w:val="0"/>
                <w:sz w:val="18"/>
              </w:rPr>
              <w:t>none</w:t>
            </w:r>
          </w:p>
        </w:tc>
      </w:tr>
      <w:tr>
        <w:tc>
          <w:tcPr>
            <w:tcW w:type="dxa" w:w="1949"/>
          </w:tcPr>
          <w:p>
            <w:r/>
            <w:r>
              <w:rPr>
                <w:rFonts w:ascii="Calibri" w:hAnsi="Calibri"/>
                <w:b w:val="0"/>
                <w:sz w:val="18"/>
              </w:rPr>
              <w:t>b13_varioref</w:t>
            </w:r>
          </w:p>
        </w:tc>
        <w:tc>
          <w:tcPr>
            <w:tcW w:type="dxa" w:w="1949"/>
          </w:tcPr>
          <w:p>
            <w:r/>
            <w:r>
              <w:rPr>
                <w:rFonts w:ascii="Calibri" w:hAnsi="Calibri"/>
                <w:b w:val="0"/>
                <w:sz w:val="18"/>
              </w:rPr>
              <w:t>oscillating</w:t>
            </w:r>
          </w:p>
        </w:tc>
        <w:tc>
          <w:tcPr>
            <w:tcW w:type="dxa" w:w="1949"/>
          </w:tcPr>
          <w:p>
            <w:r/>
            <w:r>
              <w:rPr>
                <w:rFonts w:ascii="Calibri" w:hAnsi="Calibri"/>
                <w:b w:val="0"/>
                <w:sz w:val="18"/>
              </w:rPr>
              <w:t>CERTIFIED</w:t>
            </w:r>
          </w:p>
        </w:tc>
        <w:tc>
          <w:tcPr>
            <w:tcW w:type="dxa" w:w="1949"/>
          </w:tcPr>
          <w:p>
            <w:r/>
            <w:r>
              <w:rPr>
                <w:rFonts w:ascii="Calibri" w:hAnsi="Calibri"/>
                <w:b w:val="0"/>
                <w:sz w:val="18"/>
              </w:rPr>
              <w:t>UNKNOWN</w:t>
            </w:r>
          </w:p>
        </w:tc>
        <w:tc>
          <w:tcPr>
            <w:tcW w:type="dxa" w:w="1949"/>
          </w:tcPr>
          <w:p>
            <w:r/>
            <w:r>
              <w:rPr>
                <w:rFonts w:ascii="Calibri" w:hAnsi="Calibri"/>
                <w:b w:val="0"/>
                <w:sz w:val="18"/>
              </w:rPr>
              <w:t>none</w:t>
            </w:r>
          </w:p>
        </w:tc>
      </w:tr>
      <w:tr>
        <w:tc>
          <w:tcPr>
            <w:tcW w:type="dxa" w:w="1949"/>
          </w:tcPr>
          <w:p>
            <w:r/>
            <w:r>
              <w:rPr>
                <w:rFonts w:ascii="Calibri" w:hAnsi="Calibri"/>
                <w:b w:val="0"/>
                <w:sz w:val="18"/>
              </w:rPr>
              <w:t>b14_ifthen</w:t>
            </w:r>
          </w:p>
        </w:tc>
        <w:tc>
          <w:tcPr>
            <w:tcW w:type="dxa" w:w="1949"/>
          </w:tcPr>
          <w:p>
            <w:r/>
            <w:r>
              <w:rPr>
                <w:rFonts w:ascii="Calibri" w:hAnsi="Calibri"/>
                <w:b w:val="0"/>
                <w:sz w:val="18"/>
              </w:rPr>
              <w:t>oscillating</w:t>
            </w:r>
          </w:p>
        </w:tc>
        <w:tc>
          <w:tcPr>
            <w:tcW w:type="dxa" w:w="1949"/>
          </w:tcPr>
          <w:p>
            <w:r/>
            <w:r>
              <w:rPr>
                <w:rFonts w:ascii="Calibri" w:hAnsi="Calibri"/>
                <w:b w:val="0"/>
                <w:sz w:val="18"/>
              </w:rPr>
              <w:t>AMPLIFYING</w:t>
            </w:r>
          </w:p>
        </w:tc>
        <w:tc>
          <w:tcPr>
            <w:tcW w:type="dxa" w:w="1949"/>
          </w:tcPr>
          <w:p>
            <w:r/>
            <w:r>
              <w:rPr>
                <w:rFonts w:ascii="Calibri" w:hAnsi="Calibri"/>
                <w:b w:val="0"/>
                <w:sz w:val="18"/>
              </w:rPr>
              <w:t>AMPLIFYING</w:t>
            </w:r>
          </w:p>
        </w:tc>
        <w:tc>
          <w:tcPr>
            <w:tcW w:type="dxa" w:w="1949"/>
          </w:tcPr>
          <w:p>
            <w:r/>
            <w:r>
              <w:rPr>
                <w:rFonts w:ascii="Calibri" w:hAnsi="Calibri"/>
                <w:b w:val="0"/>
                <w:sz w:val="18"/>
              </w:rPr>
              <w:t>none</w:t>
            </w:r>
          </w:p>
        </w:tc>
      </w:tr>
      <w:tr>
        <w:tc>
          <w:tcPr>
            <w:tcW w:type="dxa" w:w="1949"/>
          </w:tcPr>
          <w:p>
            <w:r/>
            <w:r>
              <w:rPr>
                <w:rFonts w:ascii="Calibri" w:hAnsi="Calibri"/>
                <w:b w:val="0"/>
                <w:sz w:val="18"/>
              </w:rPr>
              <w:t>b15_ibid</w:t>
            </w:r>
          </w:p>
        </w:tc>
        <w:tc>
          <w:tcPr>
            <w:tcW w:type="dxa" w:w="1949"/>
          </w:tcPr>
          <w:p>
            <w:r/>
            <w:r>
              <w:rPr>
                <w:rFonts w:ascii="Calibri" w:hAnsi="Calibri"/>
                <w:b w:val="0"/>
                <w:sz w:val="18"/>
              </w:rPr>
              <w:t>3</w:t>
            </w:r>
          </w:p>
        </w:tc>
        <w:tc>
          <w:tcPr>
            <w:tcW w:type="dxa" w:w="1949"/>
          </w:tcPr>
          <w:p>
            <w:r/>
            <w:r>
              <w:rPr>
                <w:rFonts w:ascii="Calibri" w:hAnsi="Calibri"/>
                <w:b w:val="0"/>
                <w:sz w:val="18"/>
              </w:rPr>
              <w:t>UNKNOWN</w:t>
            </w:r>
          </w:p>
        </w:tc>
        <w:tc>
          <w:tcPr>
            <w:tcW w:type="dxa" w:w="1949"/>
          </w:tcPr>
          <w:p>
            <w:r/>
            <w:r>
              <w:rPr>
                <w:rFonts w:ascii="Calibri" w:hAnsi="Calibri"/>
                <w:b w:val="0"/>
                <w:sz w:val="18"/>
              </w:rPr>
              <w:t>UNKNOWN</w:t>
            </w:r>
          </w:p>
        </w:tc>
        <w:tc>
          <w:tcPr>
            <w:tcW w:type="dxa" w:w="1949"/>
          </w:tcPr>
          <w:p>
            <w:r/>
            <w:r>
              <w:rPr>
                <w:rFonts w:ascii="Calibri" w:hAnsi="Calibri"/>
                <w:b w:val="0"/>
                <w:sz w:val="18"/>
              </w:rPr>
              <w:t>none</w:t>
            </w:r>
          </w:p>
        </w:tc>
      </w:tr>
    </w:tbl>
    <w:p/>
    <w:p>
      <w:pPr>
        <w:pStyle w:val="ListBullet"/>
        <w:spacing w:after="80"/>
      </w:pPr>
      <w:r>
        <w:rPr>
          <w:rFonts w:ascii="Calibri" w:hAnsi="Calibri"/>
          <w:sz w:val="22"/>
        </w:rPr>
        <w:t>All 7 certified documents satisfy N &gt;= N*. The bound is exact for 4 and larger by one for 3 (b04, b06, b09). No bound is too small.</w:t>
      </w:r>
    </w:p>
    <w:p>
      <w:pPr>
        <w:pStyle w:val="ListBullet"/>
        <w:spacing w:after="80"/>
      </w:pPr>
      <w:r>
        <w:rPr>
          <w:rFonts w:ascii="Calibri" w:hAnsi="Calibri"/>
          <w:sz w:val="22"/>
        </w:rPr>
        <w:t>b08 is AMPLIFYING and b05 is not. These two checks guard against an analysis that says nothing, and both pass.</w:t>
      </w:r>
    </w:p>
    <w:p>
      <w:pPr>
        <w:pStyle w:val="ListBullet"/>
        <w:spacing w:after="80"/>
      </w:pPr>
      <w:r>
        <w:rPr>
          <w:rFonts w:ascii="Calibri" w:hAnsi="Calibri"/>
          <w:sz w:val="22"/>
        </w:rPr>
        <w:t>All 6 non-convergent documents are flagged before the engine starts: 2 AMPLIFYING and 4 UNKNOWN. None is certified.</w:t>
      </w:r>
    </w:p>
    <w:p>
      <w:pPr>
        <w:pStyle w:val="ListBullet"/>
        <w:spacing w:after="80"/>
      </w:pPr>
      <w:r>
        <w:rPr>
          <w:rFonts w:ascii="Calibri" w:hAnsi="Calibri"/>
          <w:sz w:val="22"/>
        </w:rPr>
        <w:t>b14 is AMPLIFYING by over-approximation. Nothing in it changes the quantity of content, only its size. Typst compiles the ported document without an error.</w:t>
      </w:r>
    </w:p>
    <w:p>
      <w:pPr>
        <w:keepNext/>
        <w:spacing w:after="160"/>
      </w:pPr>
      <w:r>
        <w:rPr>
          <w:rFonts w:ascii="Calibri" w:hAnsi="Calibri"/>
          <w:b/>
          <w:sz w:val="22"/>
        </w:rPr>
        <w:t>Gate 1 is reported as FAIL</w:t>
      </w:r>
    </w:p>
    <w:p>
      <w:pPr>
        <w:spacing w:after="160"/>
      </w:pPr>
      <w:r>
        <w:rPr>
          <w:rFonts w:ascii="Calibri" w:hAnsi="Calibri"/>
          <w:b w:val="0"/>
          <w:sz w:val="22"/>
        </w:rPr>
        <w:t>The pre-registered expectation for b11, b12, and b13 was CERTIFIED, as declared false negatives. The guard described in section 6 changed all three to UNKNOWN, so bench/harness/report.py reports Gate 1 as FAIL for these three rows. Gate 2 (N &gt;= N* for every certified document) passes with no violation. The guard was added after the first measurement, so the corpus does not test it independently. It matches syntax, not the mechanism. Width feedback under arabic numbering is not covered, and the analysis would probably certify such a document.</w:t>
      </w:r>
    </w:p>
    <w:p>
      <w:pPr>
        <w:keepNext/>
        <w:spacing w:after="160"/>
      </w:pPr>
      <w:r>
        <w:rPr>
          <w:rFonts w:ascii="Calibri" w:hAnsi="Calibri"/>
          <w:b/>
          <w:sz w:val="22"/>
        </w:rPr>
        <w:t>Stopping tests compared</w:t>
      </w:r>
    </w:p>
    <w:tbl>
      <w:tblPr>
        <w:tblStyle w:val="TableGrid"/>
        <w:tblW w:type="auto" w:w="0"/>
        <w:jc w:val="center"/>
        <w:tblLook w:firstColumn="1" w:firstRow="1" w:lastColumn="0" w:lastRow="0" w:noHBand="0" w:noVBand="1" w:val="04A0"/>
      </w:tblPr>
      <w:tblGrid>
        <w:gridCol w:w="1218"/>
        <w:gridCol w:w="1218"/>
        <w:gridCol w:w="1218"/>
        <w:gridCol w:w="1218"/>
        <w:gridCol w:w="1218"/>
        <w:gridCol w:w="1218"/>
        <w:gridCol w:w="1218"/>
        <w:gridCol w:w="1218"/>
      </w:tblGrid>
      <w:tr>
        <w:tc>
          <w:tcPr>
            <w:tcW w:type="dxa" w:w="1218"/>
            <w:shd w:val="clear" w:color="auto" w:fill="E6EDF3"/>
          </w:tcPr>
          <w:p>
            <w:r/>
            <w:r>
              <w:rPr>
                <w:rFonts w:ascii="Calibri" w:hAnsi="Calibri"/>
                <w:b/>
                <w:sz w:val="18"/>
              </w:rPr>
              <w:t>Outcome</w:t>
            </w:r>
          </w:p>
        </w:tc>
        <w:tc>
          <w:tcPr>
            <w:tcW w:type="dxa" w:w="1218"/>
            <w:shd w:val="clear" w:color="auto" w:fill="E6EDF3"/>
          </w:tcPr>
          <w:p>
            <w:r/>
            <w:r>
              <w:rPr>
                <w:rFonts w:ascii="Calibri" w:hAnsi="Calibri"/>
                <w:b/>
                <w:sz w:val="18"/>
              </w:rPr>
              <w:t>A</w:t>
            </w:r>
          </w:p>
        </w:tc>
        <w:tc>
          <w:tcPr>
            <w:tcW w:type="dxa" w:w="1218"/>
            <w:shd w:val="clear" w:color="auto" w:fill="E6EDF3"/>
          </w:tcPr>
          <w:p>
            <w:r/>
            <w:r>
              <w:rPr>
                <w:rFonts w:ascii="Calibri" w:hAnsi="Calibri"/>
                <w:b/>
                <w:sz w:val="18"/>
              </w:rPr>
              <w:t>B</w:t>
            </w:r>
          </w:p>
        </w:tc>
        <w:tc>
          <w:tcPr>
            <w:tcW w:type="dxa" w:w="1218"/>
            <w:shd w:val="clear" w:color="auto" w:fill="E6EDF3"/>
          </w:tcPr>
          <w:p>
            <w:r/>
            <w:r>
              <w:rPr>
                <w:rFonts w:ascii="Calibri" w:hAnsi="Calibri"/>
                <w:b/>
                <w:sz w:val="18"/>
              </w:rPr>
              <w:t>C</w:t>
            </w:r>
          </w:p>
        </w:tc>
        <w:tc>
          <w:tcPr>
            <w:tcW w:type="dxa" w:w="1218"/>
            <w:shd w:val="clear" w:color="auto" w:fill="E6EDF3"/>
          </w:tcPr>
          <w:p>
            <w:r/>
            <w:r>
              <w:rPr>
                <w:rFonts w:ascii="Calibri" w:hAnsi="Calibri"/>
                <w:b/>
                <w:sz w:val="18"/>
              </w:rPr>
              <w:t>C'</w:t>
            </w:r>
          </w:p>
        </w:tc>
        <w:tc>
          <w:tcPr>
            <w:tcW w:type="dxa" w:w="1218"/>
            <w:shd w:val="clear" w:color="auto" w:fill="E6EDF3"/>
          </w:tcPr>
          <w:p>
            <w:r/>
            <w:r>
              <w:rPr>
                <w:rFonts w:ascii="Calibri" w:hAnsi="Calibri"/>
                <w:b/>
                <w:sz w:val="18"/>
              </w:rPr>
              <w:t>C''</w:t>
            </w:r>
          </w:p>
        </w:tc>
        <w:tc>
          <w:tcPr>
            <w:tcW w:type="dxa" w:w="1218"/>
            <w:shd w:val="clear" w:color="auto" w:fill="E6EDF3"/>
          </w:tcPr>
          <w:p>
            <w:r/>
            <w:r>
              <w:rPr>
                <w:rFonts w:ascii="Calibri" w:hAnsi="Calibri"/>
                <w:b/>
                <w:sz w:val="18"/>
              </w:rPr>
              <w:t>E</w:t>
            </w:r>
          </w:p>
        </w:tc>
        <w:tc>
          <w:tcPr>
            <w:tcW w:type="dxa" w:w="1218"/>
            <w:shd w:val="clear" w:color="auto" w:fill="E6EDF3"/>
          </w:tcPr>
          <w:p>
            <w:r/>
            <w:r>
              <w:rPr>
                <w:rFonts w:ascii="Calibri" w:hAnsi="Calibri"/>
                <w:b/>
                <w:sz w:val="18"/>
              </w:rPr>
              <w:t>D</w:t>
            </w:r>
          </w:p>
        </w:tc>
      </w:tr>
      <w:tr>
        <w:tc>
          <w:tcPr>
            <w:tcW w:type="dxa" w:w="1218"/>
          </w:tcPr>
          <w:p>
            <w:r/>
            <w:r>
              <w:rPr>
                <w:rFonts w:ascii="Calibri" w:hAnsi="Calibri"/>
                <w:b w:val="0"/>
                <w:sz w:val="18"/>
              </w:rPr>
              <w:t>Correct stop, of 9 convergent documents</w:t>
            </w:r>
          </w:p>
        </w:tc>
        <w:tc>
          <w:tcPr>
            <w:tcW w:type="dxa" w:w="1218"/>
          </w:tcPr>
          <w:p>
            <w:r/>
            <w:r>
              <w:rPr>
                <w:rFonts w:ascii="Calibri" w:hAnsi="Calibri"/>
                <w:b w:val="0"/>
                <w:sz w:val="18"/>
              </w:rPr>
              <w:t>9</w:t>
            </w:r>
          </w:p>
        </w:tc>
        <w:tc>
          <w:tcPr>
            <w:tcW w:type="dxa" w:w="1218"/>
          </w:tcPr>
          <w:p>
            <w:r/>
            <w:r>
              <w:rPr>
                <w:rFonts w:ascii="Calibri" w:hAnsi="Calibri"/>
                <w:b w:val="0"/>
                <w:sz w:val="18"/>
              </w:rPr>
              <w:t>7</w:t>
            </w:r>
          </w:p>
        </w:tc>
        <w:tc>
          <w:tcPr>
            <w:tcW w:type="dxa" w:w="1218"/>
          </w:tcPr>
          <w:p>
            <w:r/>
            <w:r>
              <w:rPr>
                <w:rFonts w:ascii="Calibri" w:hAnsi="Calibri"/>
                <w:b w:val="0"/>
                <w:sz w:val="18"/>
              </w:rPr>
              <w:t>9</w:t>
            </w:r>
          </w:p>
        </w:tc>
        <w:tc>
          <w:tcPr>
            <w:tcW w:type="dxa" w:w="1218"/>
          </w:tcPr>
          <w:p>
            <w:r/>
            <w:r>
              <w:rPr>
                <w:rFonts w:ascii="Calibri" w:hAnsi="Calibri"/>
                <w:b w:val="0"/>
                <w:sz w:val="18"/>
              </w:rPr>
              <w:t>9</w:t>
            </w:r>
          </w:p>
        </w:tc>
        <w:tc>
          <w:tcPr>
            <w:tcW w:type="dxa" w:w="1218"/>
          </w:tcPr>
          <w:p>
            <w:r/>
            <w:r>
              <w:rPr>
                <w:rFonts w:ascii="Calibri" w:hAnsi="Calibri"/>
                <w:b w:val="0"/>
                <w:sz w:val="18"/>
              </w:rPr>
              <w:t>9</w:t>
            </w:r>
          </w:p>
        </w:tc>
        <w:tc>
          <w:tcPr>
            <w:tcW w:type="dxa" w:w="1218"/>
          </w:tcPr>
          <w:p>
            <w:r/>
            <w:r>
              <w:rPr>
                <w:rFonts w:ascii="Calibri" w:hAnsi="Calibri"/>
                <w:b w:val="0"/>
                <w:sz w:val="18"/>
              </w:rPr>
              <w:t>7</w:t>
            </w:r>
          </w:p>
        </w:tc>
        <w:tc>
          <w:tcPr>
            <w:tcW w:type="dxa" w:w="1218"/>
          </w:tcPr>
          <w:p>
            <w:r/>
            <w:r>
              <w:rPr>
                <w:rFonts w:ascii="Calibri" w:hAnsi="Calibri"/>
                <w:b w:val="0"/>
                <w:sz w:val="18"/>
              </w:rPr>
              <w:t>7</w:t>
            </w:r>
          </w:p>
        </w:tc>
      </w:tr>
      <w:tr>
        <w:tc>
          <w:tcPr>
            <w:tcW w:type="dxa" w:w="1218"/>
          </w:tcPr>
          <w:p>
            <w:r/>
            <w:r>
              <w:rPr>
                <w:rFonts w:ascii="Calibri" w:hAnsi="Calibri"/>
                <w:b w:val="0"/>
                <w:sz w:val="18"/>
              </w:rPr>
              <w:t>Premature stop on a convergent document</w:t>
            </w:r>
          </w:p>
        </w:tc>
        <w:tc>
          <w:tcPr>
            <w:tcW w:type="dxa" w:w="1218"/>
          </w:tcPr>
          <w:p>
            <w:r/>
            <w:r>
              <w:rPr>
                <w:rFonts w:ascii="Calibri" w:hAnsi="Calibri"/>
                <w:b w:val="0"/>
                <w:sz w:val="18"/>
              </w:rPr>
              <w:t>0</w:t>
            </w:r>
          </w:p>
        </w:tc>
        <w:tc>
          <w:tcPr>
            <w:tcW w:type="dxa" w:w="1218"/>
          </w:tcPr>
          <w:p>
            <w:r/>
            <w:r>
              <w:rPr>
                <w:rFonts w:ascii="Calibri" w:hAnsi="Calibri"/>
                <w:b w:val="0"/>
                <w:sz w:val="18"/>
              </w:rPr>
              <w:t>2</w:t>
            </w:r>
          </w:p>
        </w:tc>
        <w:tc>
          <w:tcPr>
            <w:tcW w:type="dxa" w:w="1218"/>
          </w:tcPr>
          <w:p>
            <w:r/>
            <w:r>
              <w:rPr>
                <w:rFonts w:ascii="Calibri" w:hAnsi="Calibri"/>
                <w:b w:val="0"/>
                <w:sz w:val="18"/>
              </w:rPr>
              <w:t>0</w:t>
            </w:r>
          </w:p>
        </w:tc>
        <w:tc>
          <w:tcPr>
            <w:tcW w:type="dxa" w:w="1218"/>
          </w:tcPr>
          <w:p>
            <w:r/>
            <w:r>
              <w:rPr>
                <w:rFonts w:ascii="Calibri" w:hAnsi="Calibri"/>
                <w:b w:val="0"/>
                <w:sz w:val="18"/>
              </w:rPr>
              <w:t>0</w:t>
            </w:r>
          </w:p>
        </w:tc>
        <w:tc>
          <w:tcPr>
            <w:tcW w:type="dxa" w:w="1218"/>
          </w:tcPr>
          <w:p>
            <w:r/>
            <w:r>
              <w:rPr>
                <w:rFonts w:ascii="Calibri" w:hAnsi="Calibri"/>
                <w:b w:val="0"/>
                <w:sz w:val="18"/>
              </w:rPr>
              <w:t>0</w:t>
            </w:r>
          </w:p>
        </w:tc>
        <w:tc>
          <w:tcPr>
            <w:tcW w:type="dxa" w:w="1218"/>
          </w:tcPr>
          <w:p>
            <w:r/>
            <w:r>
              <w:rPr>
                <w:rFonts w:ascii="Calibri" w:hAnsi="Calibri"/>
                <w:b w:val="0"/>
                <w:sz w:val="18"/>
              </w:rPr>
              <w:t>0</w:t>
            </w:r>
          </w:p>
        </w:tc>
        <w:tc>
          <w:tcPr>
            <w:tcW w:type="dxa" w:w="1218"/>
          </w:tcPr>
          <w:p>
            <w:r/>
            <w:r>
              <w:rPr>
                <w:rFonts w:ascii="Calibri" w:hAnsi="Calibri"/>
                <w:b w:val="0"/>
                <w:sz w:val="18"/>
              </w:rPr>
              <w:t>0</w:t>
            </w:r>
          </w:p>
        </w:tc>
      </w:tr>
      <w:tr>
        <w:tc>
          <w:tcPr>
            <w:tcW w:type="dxa" w:w="1218"/>
          </w:tcPr>
          <w:p>
            <w:r/>
            <w:r>
              <w:rPr>
                <w:rFonts w:ascii="Calibri" w:hAnsi="Calibri"/>
                <w:b w:val="0"/>
                <w:sz w:val="18"/>
              </w:rPr>
              <w:t>Withheld by static refusal</w:t>
            </w:r>
          </w:p>
        </w:tc>
        <w:tc>
          <w:tcPr>
            <w:tcW w:type="dxa" w:w="1218"/>
          </w:tcPr>
          <w:p>
            <w:r/>
            <w:r>
              <w:rPr>
                <w:rFonts w:ascii="Calibri" w:hAnsi="Calibri"/>
                <w:b w:val="0"/>
                <w:sz w:val="18"/>
              </w:rPr>
              <w:t>0</w:t>
            </w:r>
          </w:p>
        </w:tc>
        <w:tc>
          <w:tcPr>
            <w:tcW w:type="dxa" w:w="1218"/>
          </w:tcPr>
          <w:p>
            <w:r/>
            <w:r>
              <w:rPr>
                <w:rFonts w:ascii="Calibri" w:hAnsi="Calibri"/>
                <w:b w:val="0"/>
                <w:sz w:val="18"/>
              </w:rPr>
              <w:t>0</w:t>
            </w:r>
          </w:p>
        </w:tc>
        <w:tc>
          <w:tcPr>
            <w:tcW w:type="dxa" w:w="1218"/>
          </w:tcPr>
          <w:p>
            <w:r/>
            <w:r>
              <w:rPr>
                <w:rFonts w:ascii="Calibri" w:hAnsi="Calibri"/>
                <w:b w:val="0"/>
                <w:sz w:val="18"/>
              </w:rPr>
              <w:t>0</w:t>
            </w:r>
          </w:p>
        </w:tc>
        <w:tc>
          <w:tcPr>
            <w:tcW w:type="dxa" w:w="1218"/>
          </w:tcPr>
          <w:p>
            <w:r/>
            <w:r>
              <w:rPr>
                <w:rFonts w:ascii="Calibri" w:hAnsi="Calibri"/>
                <w:b w:val="0"/>
                <w:sz w:val="18"/>
              </w:rPr>
              <w:t>0</w:t>
            </w:r>
          </w:p>
        </w:tc>
        <w:tc>
          <w:tcPr>
            <w:tcW w:type="dxa" w:w="1218"/>
          </w:tcPr>
          <w:p>
            <w:r/>
            <w:r>
              <w:rPr>
                <w:rFonts w:ascii="Calibri" w:hAnsi="Calibri"/>
                <w:b w:val="0"/>
                <w:sz w:val="18"/>
              </w:rPr>
              <w:t>0</w:t>
            </w:r>
          </w:p>
        </w:tc>
        <w:tc>
          <w:tcPr>
            <w:tcW w:type="dxa" w:w="1218"/>
          </w:tcPr>
          <w:p>
            <w:r/>
            <w:r>
              <w:rPr>
                <w:rFonts w:ascii="Calibri" w:hAnsi="Calibri"/>
                <w:b w:val="0"/>
                <w:sz w:val="18"/>
              </w:rPr>
              <w:t>2</w:t>
            </w:r>
          </w:p>
        </w:tc>
        <w:tc>
          <w:tcPr>
            <w:tcW w:type="dxa" w:w="1218"/>
          </w:tcPr>
          <w:p>
            <w:r/>
            <w:r>
              <w:rPr>
                <w:rFonts w:ascii="Calibri" w:hAnsi="Calibri"/>
                <w:b w:val="0"/>
                <w:sz w:val="18"/>
              </w:rPr>
              <w:t>2</w:t>
            </w:r>
          </w:p>
        </w:tc>
      </w:tr>
      <w:tr>
        <w:tc>
          <w:tcPr>
            <w:tcW w:type="dxa" w:w="1218"/>
          </w:tcPr>
          <w:p>
            <w:r/>
            <w:r>
              <w:rPr>
                <w:rFonts w:ascii="Calibri" w:hAnsi="Calibri"/>
                <w:b w:val="0"/>
                <w:sz w:val="18"/>
              </w:rPr>
              <w:t>Non-convergence flagged, of 6</w:t>
            </w:r>
          </w:p>
        </w:tc>
        <w:tc>
          <w:tcPr>
            <w:tcW w:type="dxa" w:w="1218"/>
          </w:tcPr>
          <w:p>
            <w:r/>
            <w:r>
              <w:rPr>
                <w:rFonts w:ascii="Calibri" w:hAnsi="Calibri"/>
                <w:b w:val="0"/>
                <w:sz w:val="18"/>
              </w:rPr>
              <w:t>0</w:t>
            </w:r>
          </w:p>
        </w:tc>
        <w:tc>
          <w:tcPr>
            <w:tcW w:type="dxa" w:w="1218"/>
          </w:tcPr>
          <w:p>
            <w:r/>
            <w:r>
              <w:rPr>
                <w:rFonts w:ascii="Calibri" w:hAnsi="Calibri"/>
                <w:b w:val="0"/>
                <w:sz w:val="18"/>
              </w:rPr>
              <w:t>5</w:t>
            </w:r>
          </w:p>
        </w:tc>
        <w:tc>
          <w:tcPr>
            <w:tcW w:type="dxa" w:w="1218"/>
          </w:tcPr>
          <w:p>
            <w:r/>
            <w:r>
              <w:rPr>
                <w:rFonts w:ascii="Calibri" w:hAnsi="Calibri"/>
                <w:b w:val="0"/>
                <w:sz w:val="18"/>
              </w:rPr>
              <w:t>6</w:t>
            </w:r>
          </w:p>
        </w:tc>
        <w:tc>
          <w:tcPr>
            <w:tcW w:type="dxa" w:w="1218"/>
          </w:tcPr>
          <w:p>
            <w:r/>
            <w:r>
              <w:rPr>
                <w:rFonts w:ascii="Calibri" w:hAnsi="Calibri"/>
                <w:b w:val="0"/>
                <w:sz w:val="18"/>
              </w:rPr>
              <w:t>6</w:t>
            </w:r>
          </w:p>
        </w:tc>
        <w:tc>
          <w:tcPr>
            <w:tcW w:type="dxa" w:w="1218"/>
          </w:tcPr>
          <w:p>
            <w:r/>
            <w:r>
              <w:rPr>
                <w:rFonts w:ascii="Calibri" w:hAnsi="Calibri"/>
                <w:b w:val="0"/>
                <w:sz w:val="18"/>
              </w:rPr>
              <w:t>6</w:t>
            </w:r>
          </w:p>
        </w:tc>
        <w:tc>
          <w:tcPr>
            <w:tcW w:type="dxa" w:w="1218"/>
          </w:tcPr>
          <w:p>
            <w:r/>
            <w:r>
              <w:rPr>
                <w:rFonts w:ascii="Calibri" w:hAnsi="Calibri"/>
                <w:b w:val="0"/>
                <w:sz w:val="18"/>
              </w:rPr>
              <w:t>6</w:t>
            </w:r>
          </w:p>
        </w:tc>
        <w:tc>
          <w:tcPr>
            <w:tcW w:type="dxa" w:w="1218"/>
          </w:tcPr>
          <w:p>
            <w:r/>
            <w:r>
              <w:rPr>
                <w:rFonts w:ascii="Calibri" w:hAnsi="Calibri"/>
                <w:b w:val="0"/>
                <w:sz w:val="18"/>
              </w:rPr>
              <w:t>6</w:t>
            </w:r>
          </w:p>
        </w:tc>
      </w:tr>
      <w:tr>
        <w:tc>
          <w:tcPr>
            <w:tcW w:type="dxa" w:w="1218"/>
          </w:tcPr>
          <w:p>
            <w:r/>
            <w:r>
              <w:rPr>
                <w:rFonts w:ascii="Calibri" w:hAnsi="Calibri"/>
                <w:b w:val="0"/>
                <w:sz w:val="18"/>
              </w:rPr>
              <w:t>Non-convergence accepted as converged</w:t>
            </w:r>
          </w:p>
        </w:tc>
        <w:tc>
          <w:tcPr>
            <w:tcW w:type="dxa" w:w="1218"/>
          </w:tcPr>
          <w:p>
            <w:r/>
            <w:r>
              <w:rPr>
                <w:rFonts w:ascii="Calibri" w:hAnsi="Calibri"/>
                <w:b w:val="0"/>
                <w:sz w:val="18"/>
              </w:rPr>
              <w:t>6</w:t>
            </w:r>
          </w:p>
        </w:tc>
        <w:tc>
          <w:tcPr>
            <w:tcW w:type="dxa" w:w="1218"/>
          </w:tcPr>
          <w:p>
            <w:r/>
            <w:r>
              <w:rPr>
                <w:rFonts w:ascii="Calibri" w:hAnsi="Calibri"/>
                <w:b w:val="0"/>
                <w:sz w:val="18"/>
              </w:rPr>
              <w:t>1</w:t>
            </w:r>
          </w:p>
        </w:tc>
        <w:tc>
          <w:tcPr>
            <w:tcW w:type="dxa" w:w="1218"/>
          </w:tcPr>
          <w:p>
            <w:r/>
            <w:r>
              <w:rPr>
                <w:rFonts w:ascii="Calibri" w:hAnsi="Calibri"/>
                <w:b w:val="0"/>
                <w:sz w:val="18"/>
              </w:rPr>
              <w:t>0</w:t>
            </w:r>
          </w:p>
        </w:tc>
        <w:tc>
          <w:tcPr>
            <w:tcW w:type="dxa" w:w="1218"/>
          </w:tcPr>
          <w:p>
            <w:r/>
            <w:r>
              <w:rPr>
                <w:rFonts w:ascii="Calibri" w:hAnsi="Calibri"/>
                <w:b w:val="0"/>
                <w:sz w:val="18"/>
              </w:rPr>
              <w:t>0</w:t>
            </w:r>
          </w:p>
        </w:tc>
        <w:tc>
          <w:tcPr>
            <w:tcW w:type="dxa" w:w="1218"/>
          </w:tcPr>
          <w:p>
            <w:r/>
            <w:r>
              <w:rPr>
                <w:rFonts w:ascii="Calibri" w:hAnsi="Calibri"/>
                <w:b w:val="0"/>
                <w:sz w:val="18"/>
              </w:rPr>
              <w:t>0</w:t>
            </w:r>
          </w:p>
        </w:tc>
        <w:tc>
          <w:tcPr>
            <w:tcW w:type="dxa" w:w="1218"/>
          </w:tcPr>
          <w:p>
            <w:r/>
            <w:r>
              <w:rPr>
                <w:rFonts w:ascii="Calibri" w:hAnsi="Calibri"/>
                <w:b w:val="0"/>
                <w:sz w:val="18"/>
              </w:rPr>
              <w:t>0</w:t>
            </w:r>
          </w:p>
        </w:tc>
        <w:tc>
          <w:tcPr>
            <w:tcW w:type="dxa" w:w="1218"/>
          </w:tcPr>
          <w:p>
            <w:r/>
            <w:r>
              <w:rPr>
                <w:rFonts w:ascii="Calibri" w:hAnsi="Calibri"/>
                <w:b w:val="0"/>
                <w:sz w:val="18"/>
              </w:rPr>
              <w:t>0</w:t>
            </w:r>
          </w:p>
        </w:tc>
      </w:tr>
      <w:tr>
        <w:tc>
          <w:tcPr>
            <w:tcW w:type="dxa" w:w="1218"/>
          </w:tcPr>
          <w:p>
            <w:r/>
            <w:r>
              <w:rPr>
                <w:rFonts w:ascii="Calibri" w:hAnsi="Calibri"/>
                <w:b w:val="0"/>
                <w:sz w:val="18"/>
              </w:rPr>
              <w:t>Engine runs on the 9 convergent documents</w:t>
            </w:r>
          </w:p>
        </w:tc>
        <w:tc>
          <w:tcPr>
            <w:tcW w:type="dxa" w:w="1218"/>
          </w:tcPr>
          <w:p>
            <w:r/>
            <w:r>
              <w:rPr>
                <w:rFonts w:ascii="Calibri" w:hAnsi="Calibri"/>
                <w:b w:val="0"/>
                <w:sz w:val="18"/>
              </w:rPr>
              <w:t>27</w:t>
            </w:r>
          </w:p>
        </w:tc>
        <w:tc>
          <w:tcPr>
            <w:tcW w:type="dxa" w:w="1218"/>
          </w:tcPr>
          <w:p>
            <w:r/>
            <w:r>
              <w:rPr>
                <w:rFonts w:ascii="Calibri" w:hAnsi="Calibri"/>
                <w:b w:val="0"/>
                <w:sz w:val="18"/>
              </w:rPr>
              <w:t>17</w:t>
            </w:r>
          </w:p>
        </w:tc>
        <w:tc>
          <w:tcPr>
            <w:tcW w:type="dxa" w:w="1218"/>
          </w:tcPr>
          <w:p>
            <w:r/>
            <w:r>
              <w:rPr>
                <w:rFonts w:ascii="Calibri" w:hAnsi="Calibri"/>
                <w:b w:val="0"/>
                <w:sz w:val="18"/>
              </w:rPr>
              <w:t>22</w:t>
            </w:r>
          </w:p>
        </w:tc>
        <w:tc>
          <w:tcPr>
            <w:tcW w:type="dxa" w:w="1218"/>
          </w:tcPr>
          <w:p>
            <w:r/>
            <w:r>
              <w:rPr>
                <w:rFonts w:ascii="Calibri" w:hAnsi="Calibri"/>
                <w:b w:val="0"/>
                <w:sz w:val="18"/>
              </w:rPr>
              <w:t>22</w:t>
            </w:r>
          </w:p>
        </w:tc>
        <w:tc>
          <w:tcPr>
            <w:tcW w:type="dxa" w:w="1218"/>
          </w:tcPr>
          <w:p>
            <w:r/>
            <w:r>
              <w:rPr>
                <w:rFonts w:ascii="Calibri" w:hAnsi="Calibri"/>
                <w:b w:val="0"/>
                <w:sz w:val="18"/>
              </w:rPr>
              <w:t>22</w:t>
            </w:r>
          </w:p>
        </w:tc>
        <w:tc>
          <w:tcPr>
            <w:tcW w:type="dxa" w:w="1218"/>
          </w:tcPr>
          <w:p>
            <w:r/>
            <w:r>
              <w:rPr>
                <w:rFonts w:ascii="Calibri" w:hAnsi="Calibri"/>
                <w:b w:val="0"/>
                <w:sz w:val="18"/>
              </w:rPr>
              <w:t>17</w:t>
            </w:r>
          </w:p>
        </w:tc>
        <w:tc>
          <w:tcPr>
            <w:tcW w:type="dxa" w:w="1218"/>
          </w:tcPr>
          <w:p>
            <w:r/>
            <w:r>
              <w:rPr>
                <w:rFonts w:ascii="Calibri" w:hAnsi="Calibri"/>
                <w:b w:val="0"/>
                <w:sz w:val="18"/>
              </w:rPr>
              <w:t>0</w:t>
            </w:r>
          </w:p>
        </w:tc>
      </w:tr>
    </w:tbl>
    <w:p/>
    <w:p>
      <w:pPr>
        <w:pStyle w:val="ListBullet"/>
        <w:spacing w:after="80"/>
      </w:pPr>
      <w:r>
        <w:rPr>
          <w:rFonts w:ascii="Calibri" w:hAnsi="Calibri"/>
          <w:sz w:val="22"/>
        </w:rPr>
        <w:t>Baseline A accepts all six non-convergent documents after three runs.</w:t>
      </w:r>
    </w:p>
    <w:p>
      <w:pPr>
        <w:pStyle w:val="ListBullet"/>
        <w:spacing w:after="80"/>
      </w:pPr>
      <w:r>
        <w:rPr>
          <w:rFonts w:ascii="Calibri" w:hAnsi="Calibri"/>
          <w:sz w:val="22"/>
        </w:rPr>
        <w:t>Baseline B is unsound in both directions. It accepts b10 after one run in all ten repetitions, although b10 never settles. It stops after one run on b05 and b15, where N* is 3.</w:t>
      </w:r>
    </w:p>
    <w:p>
      <w:pPr>
        <w:pStyle w:val="ListBullet"/>
        <w:spacing w:after="80"/>
      </w:pPr>
      <w:r>
        <w:rPr>
          <w:rFonts w:ascii="Calibri" w:hAnsi="Calibri"/>
          <w:sz w:val="22"/>
        </w:rPr>
        <w:t>C, C', and C'' agree on every document. The expected one-run gap between output comparison and input comparison did not appear on this corpus.</w:t>
      </w:r>
    </w:p>
    <w:p>
      <w:pPr>
        <w:pStyle w:val="ListBullet"/>
        <w:spacing w:after="80"/>
      </w:pPr>
      <w:r>
        <w:rPr>
          <w:rFonts w:ascii="Calibri" w:hAnsi="Calibri"/>
          <w:sz w:val="22"/>
        </w:rPr>
        <w:t>E spends 17 runs on the 7 documents it executes, against 21 for A on the same documents. It refuses 8 documents before the first run: the 6 non-convergent ones, and b07 and b15, which contain opaque constructs.</w:t>
      </w:r>
    </w:p>
    <w:p>
      <w:pPr>
        <w:pStyle w:val="ListBullet"/>
        <w:spacing w:after="80"/>
      </w:pPr>
      <w:r>
        <w:rPr>
          <w:rFonts w:ascii="Calibri" w:hAnsi="Calibri"/>
          <w:sz w:val="22"/>
        </w:rPr>
        <w:t>b01_plain needs two runs under E although N* is 1. pdfTeX writes a page-count record to every .aux file, so the verifier needs a second run to see two equal states. It records a prediction miss in all ten repetitions. The prediction is right.</w:t>
      </w:r>
    </w:p>
    <w:p>
      <w:pPr>
        <w:jc w:val="center"/>
      </w:pPr>
      <w:r>
        <w:drawing>
          <wp:inline xmlns:a="http://schemas.openxmlformats.org/drawingml/2006/main" xmlns:pic="http://schemas.openxmlformats.org/drawingml/2006/picture">
            <wp:extent cx="5580000" cy="2575385"/>
            <wp:docPr id="11" name="Picture 11"/>
            <wp:cNvGraphicFramePr>
              <a:graphicFrameLocks noChangeAspect="1"/>
            </wp:cNvGraphicFramePr>
            <a:graphic>
              <a:graphicData uri="http://schemas.openxmlformats.org/drawingml/2006/picture">
                <pic:pic>
                  <pic:nvPicPr>
                    <pic:cNvPr id="0" name="executions.png"/>
                    <pic:cNvPicPr/>
                  </pic:nvPicPr>
                  <pic:blipFill>
                    <a:blip r:embed="rId19"/>
                    <a:stretch>
                      <a:fillRect/>
                    </a:stretch>
                  </pic:blipFill>
                  <pic:spPr>
                    <a:xfrm>
                      <a:off x="0" y="0"/>
                      <a:ext cx="5580000" cy="2575385"/>
                    </a:xfrm>
                    <a:prstGeom prst="rect"/>
                  </pic:spPr>
                </pic:pic>
              </a:graphicData>
            </a:graphic>
          </wp:inline>
        </w:drawing>
      </w:r>
    </w:p>
    <w:p>
      <w:pPr>
        <w:spacing w:after="200"/>
        <w:jc w:val="center"/>
      </w:pPr>
      <w:r>
        <w:rPr>
          <w:i/>
          <w:color w:val="5A5A5A"/>
          <w:sz w:val="20"/>
        </w:rPr>
        <w:t>Figure 11. Engine runs until a verdict, per document and baseline (generated by bench/harness/report.py)</w:t>
      </w:r>
    </w:p>
    <w:p>
      <w:pPr>
        <w:keepNext/>
        <w:spacing w:after="160"/>
      </w:pPr>
      <w:r>
        <w:rPr>
          <w:rFonts w:ascii="Calibri" w:hAnsi="Calibri"/>
          <w:b/>
          <w:sz w:val="22"/>
        </w:rPr>
        <w:t>External tools</w:t>
      </w:r>
    </w:p>
    <w:p>
      <w:pPr>
        <w:spacing w:after="160"/>
      </w:pPr>
      <w:r>
        <w:rPr>
          <w:rFonts w:ascii="Calibri" w:hAnsi="Calibri"/>
          <w:b w:val="0"/>
          <w:sz w:val="22"/>
        </w:rPr>
        <w:t>latexmk and latexrun fail to converge on all six non-convergent documents, so these documents are real non-convergence and not artifacts of the corpus. latexrun also fails on b15, which latexmk accepts. Tectonic compiled only b01 and b08 offline. On b08 it stops at its limit of six passes. Typst rejects a hand port of b08 with 'loop seems to be infinite'.</w:t>
      </w:r>
    </w:p>
    <w:p>
      <w:pPr>
        <w:keepNext/>
        <w:spacing w:after="160"/>
      </w:pPr>
      <w:r>
        <w:rPr>
          <w:rFonts w:ascii="Calibri" w:hAnsi="Calibri"/>
          <w:b/>
          <w:sz w:val="22"/>
        </w:rPr>
        <w:t>Cost</w:t>
      </w:r>
    </w:p>
    <w:p>
      <w:pPr>
        <w:spacing w:after="160"/>
      </w:pPr>
      <w:r>
        <w:rPr>
          <w:rFonts w:ascii="Calibri" w:hAnsi="Calibri"/>
          <w:b w:val="0"/>
          <w:sz w:val="22"/>
        </w:rPr>
        <w:t>Static analysis takes 1.3 ms at the median and 10.4 ms at most. The largest graph is b09_thesis with 91 facts and 73 edges, at 7.5 ms. This time is reported as overhead and is not subtracted from any run time.</w:t>
      </w:r>
    </w:p>
    <w:p>
      <w:pPr>
        <w:keepNext/>
        <w:spacing w:after="160"/>
      </w:pPr>
      <w:r>
        <w:rPr>
          <w:rFonts w:ascii="Calibri" w:hAnsi="Calibri"/>
          <w:b/>
          <w:sz w:val="22"/>
        </w:rPr>
        <w:t>Threats to validity</w:t>
      </w:r>
    </w:p>
    <w:p>
      <w:pPr>
        <w:pStyle w:val="ListBullet"/>
        <w:spacing w:after="80"/>
      </w:pPr>
      <w:r>
        <w:rPr>
          <w:rFonts w:ascii="Calibri" w:hAnsi="Calibri"/>
          <w:sz w:val="22"/>
        </w:rPr>
        <w:t>The corpus has 15 documents and most are synthetic. All runs used one machine.</w:t>
      </w:r>
    </w:p>
    <w:p>
      <w:pPr>
        <w:pStyle w:val="ListBullet"/>
        <w:spacing w:after="80"/>
      </w:pPr>
      <w:r>
        <w:rPr>
          <w:rFonts w:ascii="Calibri" w:hAnsi="Calibri"/>
          <w:sz w:val="22"/>
        </w:rPr>
        <w:t>One person wrote the corpus, the expectations, and the analyzer. The expectations came first and are in the repository.</w:t>
      </w:r>
    </w:p>
    <w:p>
      <w:pPr>
        <w:pStyle w:val="ListBullet"/>
        <w:spacing w:after="80"/>
      </w:pPr>
      <w:r>
        <w:rPr>
          <w:rFonts w:ascii="Calibri" w:hAnsi="Calibri"/>
          <w:sz w:val="22"/>
        </w:rPr>
        <w:t>The model assumes that resolving a reference does not change pagination. This is false in general, and the analysis is unsound for the extent-driven class.</w:t>
      </w:r>
    </w:p>
    <w:p>
      <w:pPr>
        <w:pStyle w:val="ListBullet"/>
        <w:spacing w:after="80"/>
      </w:pPr>
      <w:r>
        <w:rPr>
          <w:rFonts w:ascii="Calibri" w:hAnsi="Calibri"/>
          <w:sz w:val="22"/>
        </w:rPr>
        <w:t>The container holds TeX Live 2022. Run counts may differ on other releases. A leftover .aux file in a corpus directory once made three baselines stop early on b05. Those records were removed and run again.</w:t>
      </w:r>
    </w:p>
    <w:p>
      <w:pPr>
        <w:spacing w:before="360" w:after="120"/>
        <w:pBdr>
          <w:bottom w:val="single" w:sz="6" w:space="4" w:color="1B3A57"/>
        </w:pBdr>
      </w:pPr>
      <w:r>
        <w:rPr>
          <w:rFonts w:ascii="Calibri" w:hAnsi="Calibri"/>
          <w:b/>
          <w:color w:val="0D1B2A"/>
          <w:sz w:val="32"/>
        </w:rPr>
        <w:t>8. Conclusion and Future Work</w:t>
      </w:r>
    </w:p>
    <w:p>
      <w:pPr>
        <w:keepNext/>
        <w:spacing w:after="160"/>
      </w:pPr>
      <w:r>
        <w:rPr>
          <w:rFonts w:ascii="Calibri" w:hAnsi="Calibri"/>
          <w:b/>
          <w:sz w:val="22"/>
        </w:rPr>
        <w:t>Outcomes</w:t>
      </w:r>
    </w:p>
    <w:p>
      <w:pPr>
        <w:pStyle w:val="ListBullet"/>
        <w:spacing w:after="80"/>
      </w:pPr>
      <w:r>
        <w:rPr>
          <w:rFonts w:ascii="Calibri" w:hAnsi="Calibri"/>
          <w:sz w:val="22"/>
        </w:rPr>
        <w:t>AuxFlow classifies a document before any engine run. On the corpus it flagged all 6 non-convergent documents and bounded all 7 certified documents correctly.</w:t>
      </w:r>
    </w:p>
    <w:p>
      <w:pPr>
        <w:pStyle w:val="ListBullet"/>
        <w:spacing w:after="80"/>
      </w:pPr>
      <w:r>
        <w:rPr>
          <w:rFonts w:ascii="Calibri" w:hAnsi="Calibri"/>
          <w:sz w:val="22"/>
        </w:rPr>
        <w:t>Static analysis takes about a millisecond, and the verifier catches a wrong prediction at run time.</w:t>
      </w:r>
    </w:p>
    <w:p>
      <w:pPr>
        <w:pStyle w:val="ListBullet"/>
        <w:spacing w:after="80"/>
      </w:pPr>
      <w:r>
        <w:rPr>
          <w:rFonts w:ascii="Calibri" w:hAnsi="Calibri"/>
          <w:sz w:val="22"/>
        </w:rPr>
        <w:t>The measured comparison shows where the deployed stopping tests disagree: the fixed schedule and the rerun warning accept documents that never settle.</w:t>
      </w:r>
    </w:p>
    <w:p>
      <w:pPr>
        <w:pStyle w:val="ListBullet"/>
        <w:spacing w:after="80"/>
      </w:pPr>
      <w:r>
        <w:rPr>
          <w:rFonts w:ascii="Calibri" w:hAnsi="Calibri"/>
          <w:sz w:val="22"/>
        </w:rPr>
        <w:t>The research paper is written. It is in paper/ and is linked from the project site.</w:t>
      </w:r>
    </w:p>
    <w:p>
      <w:pPr>
        <w:keepNext/>
        <w:spacing w:after="160"/>
      </w:pPr>
      <w:r>
        <w:rPr>
          <w:rFonts w:ascii="Calibri" w:hAnsi="Calibri"/>
          <w:b/>
          <w:sz w:val="22"/>
        </w:rPr>
        <w:t>Limitations</w:t>
      </w:r>
    </w:p>
    <w:p>
      <w:pPr>
        <w:pStyle w:val="ListBullet"/>
        <w:spacing w:after="80"/>
      </w:pPr>
      <w:r>
        <w:rPr>
          <w:rFonts w:ascii="Calibri" w:hAnsi="Calibri"/>
          <w:sz w:val="22"/>
        </w:rPr>
        <w:t>The analysis covers a declared subset. Anything outside it makes a document UNKNOWN.</w:t>
      </w:r>
    </w:p>
    <w:p>
      <w:pPr>
        <w:pStyle w:val="ListBullet"/>
        <w:spacing w:after="80"/>
      </w:pPr>
      <w:r>
        <w:rPr>
          <w:rFonts w:ascii="Calibri" w:hAnsi="Calibri"/>
          <w:sz w:val="22"/>
        </w:rPr>
        <w:t>It cannot see most extent-driven feedback. The width guard is syntactic.</w:t>
      </w:r>
    </w:p>
    <w:p>
      <w:pPr>
        <w:pStyle w:val="ListBullet"/>
        <w:spacing w:after="80"/>
      </w:pPr>
      <w:r>
        <w:rPr>
          <w:rFonts w:ascii="Calibri" w:hAnsi="Calibri"/>
          <w:sz w:val="22"/>
        </w:rPr>
        <w:t>The AMPLIFYING label joins divergence and oscillation. The bound for a benign cycle is a heuristic, and the corpus has no benign cyclic member.</w:t>
      </w:r>
    </w:p>
    <w:p>
      <w:pPr>
        <w:keepNext/>
        <w:spacing w:after="160"/>
      </w:pPr>
      <w:r>
        <w:rPr>
          <w:rFonts w:ascii="Calibri" w:hAnsi="Calibri"/>
          <w:b/>
          <w:sz w:val="22"/>
        </w:rPr>
        <w:t>Improvements</w:t>
      </w:r>
    </w:p>
    <w:p>
      <w:pPr>
        <w:pStyle w:val="ListBullet"/>
        <w:spacing w:after="80"/>
      </w:pPr>
      <w:r>
        <w:rPr>
          <w:rFonts w:ascii="Calibri" w:hAnsi="Calibri"/>
          <w:sz w:val="22"/>
        </w:rPr>
        <w:t>Test on a larger set of real documents.</w:t>
      </w:r>
    </w:p>
    <w:p>
      <w:pPr>
        <w:pStyle w:val="ListBullet"/>
        <w:spacing w:after="80"/>
      </w:pPr>
      <w:r>
        <w:rPr>
          <w:rFonts w:ascii="Calibri" w:hAnsi="Calibri"/>
          <w:sz w:val="22"/>
        </w:rPr>
        <w:t>Replace the syntactic width guard with a test that does not depend on syntax.</w:t>
      </w:r>
    </w:p>
    <w:p>
      <w:pPr>
        <w:pStyle w:val="ListBullet"/>
        <w:spacing w:after="80"/>
      </w:pPr>
      <w:r>
        <w:rPr>
          <w:rFonts w:ascii="Calibri" w:hAnsi="Calibri"/>
          <w:sz w:val="22"/>
        </w:rPr>
        <w:t>Split AMPLIFYING into divergent and oscillating cases.</w:t>
      </w:r>
    </w:p>
    <w:p>
      <w:pPr>
        <w:pStyle w:val="ListBullet"/>
        <w:spacing w:after="80"/>
      </w:pPr>
      <w:r>
        <w:rPr>
          <w:rFonts w:ascii="Calibri" w:hAnsi="Calibri"/>
          <w:sz w:val="22"/>
        </w:rPr>
        <w:t>Model more packages, so fewer documents are UNKNOWN, and prove a bound for benign cycles.</w:t>
      </w:r>
    </w:p>
    <w:p>
      <w:pPr>
        <w:spacing w:before="360" w:after="120"/>
        <w:pBdr>
          <w:bottom w:val="single" w:sz="6" w:space="4" w:color="1B3A57"/>
        </w:pBdr>
      </w:pPr>
      <w:r>
        <w:rPr>
          <w:rFonts w:ascii="Calibri" w:hAnsi="Calibri"/>
          <w:b/>
          <w:color w:val="0D1B2A"/>
          <w:sz w:val="32"/>
        </w:rPr>
        <w:t>9. References</w:t>
      </w:r>
    </w:p>
    <w:p>
      <w:pPr>
        <w:pStyle w:val="ListBullet"/>
        <w:spacing w:after="80"/>
      </w:pPr>
      <w:r>
        <w:rPr>
          <w:rFonts w:ascii="Calibri" w:hAnsi="Calibri"/>
          <w:sz w:val="22"/>
        </w:rPr>
        <w:t>G. V. Bochmann, Semantic evaluation from left to right, Communications of the ACM 19(2):55-62, 1976.</w:t>
      </w:r>
    </w:p>
    <w:p>
      <w:pPr>
        <w:pStyle w:val="ListBullet"/>
        <w:spacing w:after="80"/>
      </w:pPr>
      <w:r>
        <w:rPr>
          <w:rFonts w:ascii="Calibri" w:hAnsi="Calibri"/>
          <w:sz w:val="22"/>
        </w:rPr>
        <w:t>H. Alblas, A characterization of attribute evaluation in passes, Acta Informatica 16(4):427-464, 1981.</w:t>
      </w:r>
    </w:p>
    <w:p>
      <w:pPr>
        <w:pStyle w:val="ListBullet"/>
        <w:spacing w:after="80"/>
      </w:pPr>
      <w:r>
        <w:rPr>
          <w:rFonts w:ascii="Calibri" w:hAnsi="Calibri"/>
          <w:sz w:val="22"/>
        </w:rPr>
        <w:t>K.-J. Raiha and E. Ukkonen, Minimizing the number of evaluation passes for attribute grammars, SIAM Journal on Computing 10(4):772-786, 1981.</w:t>
      </w:r>
    </w:p>
    <w:p>
      <w:pPr>
        <w:pStyle w:val="ListBullet"/>
        <w:spacing w:after="80"/>
      </w:pPr>
      <w:r>
        <w:rPr>
          <w:rFonts w:ascii="Calibri" w:hAnsi="Calibri"/>
          <w:sz w:val="22"/>
        </w:rPr>
        <w:t>R. Farrow, Automatic generation of fixed-point-finding evaluators for circular, but well-defined, attribute grammars, SIGPLAN Notices 21(7):85-98, 1986.</w:t>
      </w:r>
    </w:p>
    <w:p>
      <w:pPr>
        <w:pStyle w:val="ListBullet"/>
        <w:spacing w:after="80"/>
      </w:pPr>
      <w:r>
        <w:rPr>
          <w:rFonts w:ascii="Calibri" w:hAnsi="Calibri"/>
          <w:sz w:val="22"/>
        </w:rPr>
        <w:t>L. G. Jones, Efficient evaluation of circular attribute grammars, ACM TOPLAS 12(3):429-462, 1990.</w:t>
      </w:r>
    </w:p>
    <w:p>
      <w:pPr>
        <w:pStyle w:val="ListBullet"/>
        <w:spacing w:after="80"/>
      </w:pPr>
      <w:r>
        <w:rPr>
          <w:rFonts w:ascii="Calibri" w:hAnsi="Calibri"/>
          <w:sz w:val="22"/>
        </w:rPr>
        <w:t>E. Magnusson and G. Hedin, Circular reference attributed grammars: their evaluation and applications, Science of Computer Programming 68(1):21-37, 2007.</w:t>
      </w:r>
    </w:p>
    <w:p>
      <w:pPr>
        <w:pStyle w:val="ListBullet"/>
        <w:spacing w:after="80"/>
      </w:pPr>
      <w:r>
        <w:rPr>
          <w:rFonts w:ascii="Calibri" w:hAnsi="Calibri"/>
          <w:sz w:val="22"/>
        </w:rPr>
        <w:t>M. S. Hecht and J. D. Ullman, A simple algorithm for global data flow analysis problems, SIAM Journal on Computing 4(4):519-532, 1975.</w:t>
      </w:r>
    </w:p>
    <w:p>
      <w:pPr>
        <w:pStyle w:val="ListBullet"/>
        <w:spacing w:after="80"/>
      </w:pPr>
      <w:r>
        <w:rPr>
          <w:rFonts w:ascii="Calibri" w:hAnsi="Calibri"/>
          <w:sz w:val="22"/>
        </w:rPr>
        <w:t>J. B. Kam and J. D. Ullman, Global data flow analysis and iterative algorithms, Journal of the ACM 23(1):158-171, 1976.</w:t>
      </w:r>
    </w:p>
    <w:p>
      <w:pPr>
        <w:pStyle w:val="ListBullet"/>
        <w:spacing w:after="80"/>
      </w:pPr>
      <w:r>
        <w:rPr>
          <w:rFonts w:ascii="Calibri" w:hAnsi="Calibri"/>
          <w:sz w:val="22"/>
        </w:rPr>
        <w:t>A. Mokhov, N. Mitchell, and S. Peyton Jones, Build systems a la carte, Proceedings of the ACM on Programming Languages 2(ICFP), 2018.</w:t>
      </w:r>
    </w:p>
    <w:p>
      <w:pPr>
        <w:pStyle w:val="ListBullet"/>
        <w:spacing w:after="80"/>
      </w:pPr>
      <w:r>
        <w:rPr>
          <w:rFonts w:ascii="Calibri" w:hAnsi="Calibri"/>
          <w:sz w:val="22"/>
        </w:rPr>
        <w:t>S. Erdweg, M. Lichter, and M. Weiel, A sound and optimal incremental build system with dynamic dependencies, OOPSLA 2015.</w:t>
      </w:r>
    </w:p>
    <w:p>
      <w:pPr>
        <w:pStyle w:val="ListBullet"/>
        <w:spacing w:after="80"/>
      </w:pPr>
      <w:r>
        <w:rPr>
          <w:rFonts w:ascii="Calibri" w:hAnsi="Calibri"/>
          <w:sz w:val="22"/>
        </w:rPr>
        <w:t>R. Tarjan, Depth-first search and linear graph algorithms, SIAM Journal on Computing 1(2):146-160, 1972.</w:t>
      </w:r>
    </w:p>
    <w:p>
      <w:pPr>
        <w:pStyle w:val="ListBullet"/>
        <w:spacing w:after="80"/>
      </w:pPr>
      <w:r>
        <w:rPr>
          <w:rFonts w:ascii="Calibri" w:hAnsi="Calibri"/>
          <w:sz w:val="22"/>
        </w:rPr>
        <w:t>Gaspar, Does not suffice to run LaTeX a finite number of times to get cross-references right, TUGboat 35(1):16, 2014.</w:t>
      </w:r>
    </w:p>
    <w:p>
      <w:pPr>
        <w:pStyle w:val="ListBullet"/>
        <w:spacing w:after="80"/>
      </w:pPr>
      <w:r>
        <w:rPr>
          <w:rFonts w:ascii="Calibri" w:hAnsi="Calibri"/>
          <w:sz w:val="22"/>
        </w:rPr>
        <w:t>L. Madje, A Programmable Markup Language for Typesetting, MSc thesis, Technische Universitat Berlin, 2022.</w:t>
      </w:r>
    </w:p>
    <w:p>
      <w:pPr>
        <w:pStyle w:val="ListBullet"/>
        <w:spacing w:after="80"/>
      </w:pPr>
      <w:r>
        <w:rPr>
          <w:rFonts w:ascii="Calibri" w:hAnsi="Calibri"/>
          <w:sz w:val="22"/>
        </w:rPr>
        <w:t>J. Collins, latexmk, https://ctan.org/pkg/latexmk (version 4.88).</w:t>
      </w:r>
    </w:p>
    <w:p>
      <w:pPr>
        <w:pStyle w:val="ListBullet"/>
        <w:spacing w:after="80"/>
      </w:pPr>
      <w:r>
        <w:rPr>
          <w:rFonts w:ascii="Calibri" w:hAnsi="Calibri"/>
          <w:sz w:val="22"/>
        </w:rPr>
        <w:t>A. Clements, latexrun, https://github.com/aclements/latexrun.</w:t>
      </w:r>
    </w:p>
    <w:p>
      <w:pPr>
        <w:pStyle w:val="ListBullet"/>
        <w:spacing w:after="80"/>
      </w:pPr>
      <w:r>
        <w:rPr>
          <w:rFonts w:ascii="Calibri" w:hAnsi="Calibri"/>
          <w:sz w:val="22"/>
        </w:rPr>
        <w:t>Tectonic, https://github.com/tectonic-typesetting/tectonic (version 0.15.0).</w:t>
      </w:r>
    </w:p>
    <w:p>
      <w:pPr>
        <w:pStyle w:val="ListBullet"/>
        <w:spacing w:after="80"/>
      </w:pPr>
      <w:r>
        <w:rPr>
          <w:rFonts w:ascii="Calibri" w:hAnsi="Calibri"/>
          <w:sz w:val="22"/>
        </w:rPr>
        <w:t>Typst, https://github.com/typst/typst (version 0.11.0).</w:t>
      </w:r>
    </w:p>
    <w:p>
      <w:pPr>
        <w:pStyle w:val="ListBullet"/>
        <w:spacing w:after="80"/>
      </w:pPr>
      <w:r>
        <w:rPr>
          <w:rFonts w:ascii="Calibri" w:hAnsi="Calibri"/>
          <w:sz w:val="22"/>
        </w:rPr>
        <w:t>AuxFlow source, corpus, harness, and results, https://github.com/upayanmazumder/auxflow, and PyPI package auxflow.</w:t>
      </w:r>
    </w:p>
    <w:p>
      <w:pPr>
        <w:pStyle w:val="ListBullet"/>
        <w:spacing w:after="80"/>
      </w:pPr>
      <w:r>
        <w:rPr>
          <w:rFonts w:ascii="Calibri" w:hAnsi="Calibri"/>
          <w:sz w:val="22"/>
        </w:rPr>
        <w:t>U. Mazumder and B. R., AuxFlow: A static applicability test for fixpoint convergence in multi-pass LaTeX builds, 2026, paper/main.pdf in the repository.</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