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forme-de-participación-tb2"/>
    <w:p>
      <w:pPr>
        <w:pStyle w:val="Title"/>
      </w:pPr>
      <w:r>
        <w:t xml:space="preserve">Informe de participación TB2</w:t>
      </w:r>
    </w:p>
    <w:p>
      <w:pPr>
        <w:pStyle w:val="FirstParagraph"/>
      </w:pPr>
      <w:r>
        <w:t xml:space="preserve">Startup Thropic · Producto Talki · Periodo 202620 · NRC 16365</w:t>
      </w:r>
    </w:p>
    <w:p>
      <w:pPr>
        <w:pStyle w:val="BodyText"/>
      </w:pPr>
      <w:r>
        <w:t xml:space="preserve">Team Leader: Alejandro Daniel Oroncoy Almeyda. Fecha de evaluación: por completar al cerrar la entrega. Este registro prepara el formato del Anexo B; las notas del TP no se trasladan a TB2.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47"/>
        <w:gridCol w:w="3936"/>
        <w:gridCol w:w="3319"/>
        <w:gridCol w:w="3473"/>
        <w:gridCol w:w="1543"/>
      </w:tblGrid>
      <w:tr>
        <w:trPr>
          <w:tblHeader w:val="on"/>
          <w:cantSplit/>
          <w:tblHeader/>
        </w:trPr>
        <w:tc>
          <w:tcPr>
            <w:tcW w:type="dxa" w:w="2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b/>
                <w:sz w:val="18"/>
              </w:rPr>
              <w:t xml:space="preserve">Estudiante</w:t>
            </w:r>
          </w:p>
        </w:tc>
        <w:tc>
          <w:tcPr>
            <w:tcW w:type="dxa" w:w="3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b/>
                <w:sz w:val="18"/>
              </w:rPr>
              <w:t xml:space="preserve">Responsabilidades de revisión propuestas</w:t>
            </w:r>
          </w:p>
        </w:tc>
        <w:tc>
          <w:tcPr>
            <w:tcW w:type="dxa" w:w="33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b/>
                <w:sz w:val="18"/>
              </w:rPr>
              <w:t xml:space="preserve">Evidencia actual / por incorporar</w:t>
            </w:r>
          </w:p>
        </w:tc>
        <w:tc>
          <w:tcPr>
            <w:tcW w:type="dxa" w:w="34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b/>
                <w:sz w:val="18"/>
              </w:rPr>
              <w:t xml:space="preserve">A tiempo / a destiempo / parcial / no cumplió</w:t>
            </w:r>
          </w:p>
        </w:tc>
        <w:tc>
          <w:tcPr>
            <w:tcW w:type="dxa" w:w="15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BE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b/>
                <w:sz w:val="18"/>
              </w:rPr>
              <w:t xml:space="preserve">Nota del Team Leader 0–20</w:t>
            </w:r>
          </w:p>
        </w:tc>
      </w:tr>
      <w:tr>
        <w:trPr>
          <w:cantSplit/>
        </w:trPr>
        <w:tc>
          <w:tcPr>
            <w:tcW w:type="dxa" w:w="2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Oroncoy Almeyda, Alejandro Daniel</w:t>
            </w:r>
          </w:p>
        </w:tc>
        <w:tc>
          <w:tcPr>
            <w:tcW w:type="dxa" w:w="3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Integración del informe; SCM; sesiones y coach; manifiesto, verificación y seguimiento del parcial.</w:t>
            </w:r>
          </w:p>
        </w:tc>
        <w:tc>
          <w:tcPr>
            <w:tcW w:type="dxa" w:w="33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PR de adaptación TB2; revisión del equipo por incorporar.</w:t>
            </w:r>
          </w:p>
        </w:tc>
        <w:tc>
          <w:tcPr>
            <w:tcW w:type="dxa" w:w="34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  <w:tc>
          <w:tcPr>
            <w:tcW w:type="dxa" w:w="15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</w:tr>
      <w:tr>
        <w:trPr>
          <w:cantSplit/>
        </w:trPr>
        <w:tc>
          <w:tcPr>
            <w:tcW w:type="dxa" w:w="2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Rivera Sosa, Eduardo Gael</w:t>
            </w:r>
          </w:p>
        </w:tc>
        <w:tc>
          <w:tcPr>
            <w:tcW w:type="dxa" w:w="3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Landing, beneficios y protocolo/aplicación de validación.</w:t>
            </w:r>
          </w:p>
        </w:tc>
        <w:tc>
          <w:tcPr>
            <w:tcW w:type="dxa" w:w="33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Aporte propio y registro real por incorporar.</w:t>
            </w:r>
          </w:p>
        </w:tc>
        <w:tc>
          <w:tcPr>
            <w:tcW w:type="dxa" w:w="34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  <w:tc>
          <w:tcPr>
            <w:tcW w:type="dxa" w:w="15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</w:tr>
      <w:tr>
        <w:trPr>
          <w:cantSplit/>
        </w:trPr>
        <w:tc>
          <w:tcPr>
            <w:tcW w:type="dxa" w:w="2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Tumi Oliden, Manuel Ignacio</w:t>
            </w:r>
          </w:p>
        </w:tc>
        <w:tc>
          <w:tcPr>
            <w:tcW w:type="dxa" w:w="3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Análisis, scoring, progreso y revisión de pruebas.</w:t>
            </w:r>
          </w:p>
        </w:tc>
        <w:tc>
          <w:tcPr>
            <w:tcW w:type="dxa" w:w="33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Aporte propio y revisión por incorporar.</w:t>
            </w:r>
          </w:p>
        </w:tc>
        <w:tc>
          <w:tcPr>
            <w:tcW w:type="dxa" w:w="34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  <w:tc>
          <w:tcPr>
            <w:tcW w:type="dxa" w:w="15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</w:tr>
      <w:tr>
        <w:trPr>
          <w:cantSplit/>
        </w:trPr>
        <w:tc>
          <w:tcPr>
            <w:tcW w:type="dxa" w:w="2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Lang Nassi, Werner Khalil</w:t>
            </w:r>
          </w:p>
        </w:tc>
        <w:tc>
          <w:tcPr>
            <w:tcW w:type="dxa" w:w="3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Identidad, gamificación, privacidad y retención.</w:t>
            </w:r>
          </w:p>
        </w:tc>
        <w:tc>
          <w:tcPr>
            <w:tcW w:type="dxa" w:w="33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Aporte propio y revisión por incorporar.</w:t>
            </w:r>
          </w:p>
        </w:tc>
        <w:tc>
          <w:tcPr>
            <w:tcW w:type="dxa" w:w="34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  <w:tc>
          <w:tcPr>
            <w:tcW w:type="dxa" w:w="15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</w:tr>
      <w:tr>
        <w:trPr>
          <w:cantSplit/>
        </w:trPr>
        <w:tc>
          <w:tcPr>
            <w:tcW w:type="dxa" w:w="25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Chi Cruzatt, Kevin Jorge</w:t>
            </w:r>
          </w:p>
        </w:tc>
        <w:tc>
          <w:tcPr>
            <w:tcW w:type="dxa" w:w="3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UX, prototipo, despliegue y navegación.</w:t>
            </w:r>
          </w:p>
        </w:tc>
        <w:tc>
          <w:tcPr>
            <w:tcW w:type="dxa" w:w="331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Aporte propio y capturas actuales por incorporar.</w:t>
            </w:r>
          </w:p>
        </w:tc>
        <w:tc>
          <w:tcPr>
            <w:tcW w:type="dxa" w:w="347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  <w:tc>
          <w:tcPr>
            <w:tcW w:type="dxa" w:w="15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pStyle w:val="Compact"/>
              <w:spacing w:after="40" w:before="40" w:line="259" w:lineRule="auto"/>
            </w:pPr>
            <w:r>
              <w:rPr>
                <w:rFonts w:ascii="Arial" w:hAnsi="Arial"/>
                <w:sz w:val="18"/>
              </w:rPr>
              <w:t xml:space="preserve">Por evaluar.</w:t>
            </w:r>
          </w:p>
        </w:tc>
      </w:tr>
    </w:tbl>
    <w:p>
      <w:pPr>
        <w:pStyle w:val="BodyText"/>
      </w:pPr>
      <w:r>
        <w:t xml:space="preserve">El Team Leader debe confirmar responsabilidades, registrar acciones realmente realizadas y fechas, seleccionar el cumplimiento y asignar la calificación correspondiente antes de entregar la versión Word y PDF. Las asignaciones sugeridas no se presentan como acuerdos ya adoptados ni como trabajo terminado.</w:t>
      </w:r>
    </w:p>
    <w:bookmarkEnd w:id="9"/>
    <w:sectPr>
      <w:footerReference w:type="default" r:id="rId9"/>
      <w:footnotePr>
        <w:numRestart w:val="eachSect"/>
      </w:footnotePr>
      <w:pgSz w:w="16834" w:h="11909" w:orient="landscape"/>
      <w:pgMar w:top="1080" w:bottom="1080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Arial" w:hAnsi="Arial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Arial" w:hAnsi="Arial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hAnsi="Arial"/>
      <w:color w:val="000000"/>
      <w:sz w:val="21"/>
    </w:rPr>
  </w:style>
  <w:style w:customStyle="1" w:styleId="Compact" w:type="paragraph">
    <w:name w:val="Compact"/>
    <w:basedOn w:val="BodyText"/>
    <w:qFormat/>
    <w:pPr>
      <w:spacing w:after="120" w:before="36" w:line="269" w:lineRule="auto"/>
    </w:pPr>
    <w:rPr>
      <w:rFonts w:ascii="Arial" w:hAnsi="Arial"/>
      <w:color w:val="00000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69" w:lineRule="auto"/>
      <w:contextualSpacing/>
      <w:jc w:val="center"/>
    </w:pPr>
    <w:rPr>
      <w:rFonts w:asciiTheme="majorHAnsi" w:cstheme="majorBidi" w:eastAsiaTheme="majorEastAsia" w:hAnsiTheme="majorHAnsi" w:ascii="Arial" w:hAnsi="Arial"/>
      <w:color w:val="000000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line="269" w:lineRule="auto"/>
    </w:pPr>
    <w:rPr>
      <w:rFonts w:cstheme="majorBidi" w:eastAsiaTheme="majorEastAsia" w:ascii="Arial" w:hAnsi="Arial"/>
      <w:color w:val="000000"/>
      <w:spacing w:val="15"/>
      <w:sz w:val="21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line="269" w:lineRule="auto"/>
    </w:pPr>
    <w:rPr>
      <w:rFonts w:ascii="Arial" w:hAnsi="Arial"/>
      <w:color w:val="000000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120" w:line="269" w:lineRule="auto"/>
    </w:pPr>
    <w:rPr>
      <w:rFonts w:ascii="Arial" w:hAnsi="Arial"/>
      <w:color w:val="000000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300" w:line="269" w:lineRule="auto"/>
      <w:jc w:val="center"/>
    </w:pPr>
    <w:rPr>
      <w:rFonts w:ascii="Arial" w:hAnsi="Arial"/>
      <w:b/>
      <w:color w:val="000000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269" w:lineRule="auto"/>
    </w:pPr>
    <w:rPr>
      <w:rFonts w:ascii="Arial" w:hAnsi="Arial"/>
      <w:color w:val="000000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20" w:line="269" w:lineRule="auto"/>
    </w:pPr>
    <w:rPr>
      <w:rFonts w:ascii="Arial" w:hAnsi="Arial"/>
      <w:color w:val="00000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40" w:before="260" w:line="269" w:lineRule="auto"/>
      <w:outlineLvl w:val="0"/>
    </w:pPr>
    <w:rPr>
      <w:rFonts w:asciiTheme="majorHAnsi" w:cstheme="majorBidi" w:eastAsiaTheme="majorEastAsia" w:hAnsiTheme="majorHAnsi" w:ascii="Arial" w:hAnsi="Arial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60" w:line="269" w:lineRule="auto"/>
      <w:outlineLvl w:val="1"/>
    </w:pPr>
    <w:rPr>
      <w:rFonts w:asciiTheme="majorHAnsi" w:cstheme="majorBidi" w:eastAsiaTheme="majorEastAsia" w:hAnsiTheme="majorHAnsi" w:ascii="Arial" w:hAnsi="Arial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40" w:before="260" w:line="269" w:lineRule="auto"/>
      <w:outlineLvl w:val="2"/>
    </w:pPr>
    <w:rPr>
      <w:rFonts w:cstheme="majorBidi" w:eastAsiaTheme="majorEastAsia" w:ascii="Arial" w:hAnsi="Arial"/>
      <w:b/>
      <w:color w:val="000000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40" w:before="260" w:line="269" w:lineRule="auto"/>
      <w:outlineLvl w:val="3"/>
    </w:pPr>
    <w:rPr>
      <w:rFonts w:cstheme="majorBidi" w:eastAsiaTheme="majorEastAsia" w:ascii="Arial" w:hAnsi="Arial"/>
      <w:b/>
      <w:i/>
      <w:iCs/>
      <w:color w:val="000000"/>
      <w:sz w:val="2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40" w:before="260" w:line="269" w:lineRule="auto"/>
      <w:outlineLvl w:val="4"/>
    </w:pPr>
    <w:rPr>
      <w:rFonts w:cstheme="majorBidi" w:eastAsiaTheme="majorEastAsia" w:ascii="Arial" w:hAnsi="Arial"/>
      <w:b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40" w:before="260" w:line="269" w:lineRule="auto"/>
      <w:outlineLvl w:val="5"/>
    </w:pPr>
    <w:rPr>
      <w:rFonts w:cstheme="majorBidi" w:eastAsiaTheme="majorEastAsia" w:ascii="Arial" w:hAnsi="Arial"/>
      <w:b/>
      <w:i/>
      <w:iCs/>
      <w:color w:val="00000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40" w:before="260" w:line="269" w:lineRule="auto"/>
      <w:outlineLvl w:val="6"/>
    </w:pPr>
    <w:rPr>
      <w:rFonts w:cstheme="majorBidi" w:eastAsiaTheme="majorEastAsia" w:ascii="Arial" w:hAnsi="Arial"/>
      <w:b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40" w:line="269" w:lineRule="auto" w:before="260"/>
      <w:outlineLvl w:val="7"/>
    </w:pPr>
    <w:rPr>
      <w:rFonts w:cstheme="majorBidi" w:eastAsiaTheme="majorEastAsia" w:ascii="Arial" w:hAnsi="Arial"/>
      <w:b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40" w:line="269" w:lineRule="auto" w:before="260"/>
      <w:outlineLvl w:val="8"/>
    </w:pPr>
    <w:rPr>
      <w:rFonts w:cstheme="majorBidi" w:eastAsiaTheme="majorEastAsia" w:ascii="Arial" w:hAnsi="Arial"/>
      <w:b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69" w:lineRule="auto"/>
      <w:ind w:firstLine="0" w:left="480" w:right="480"/>
    </w:pPr>
    <w:rPr>
      <w:rFonts w:ascii="Arial" w:hAnsi="Arial"/>
      <w:color w:val="00000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line="269" w:lineRule="auto"/>
    </w:pPr>
    <w:rPr>
      <w:rFonts w:ascii="Arial" w:hAnsi="Arial"/>
      <w:color w:val="000000"/>
      <w:sz w:val="21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100" w:line="269" w:lineRule="auto"/>
      <w:ind w:firstLine="0" w:left="480" w:right="480"/>
    </w:pPr>
    <w:rPr>
      <w:rFonts w:ascii="Arial" w:hAnsi="Arial"/>
      <w:color w:val="000000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line="269" w:lineRule="auto"/>
    </w:pPr>
    <w:rPr>
      <w:rFonts w:ascii="Arial" w:hAnsi="Arial"/>
      <w:b/>
      <w:color w:val="000000"/>
      <w:sz w:val="21"/>
    </w:rPr>
  </w:style>
  <w:style w:customStyle="1" w:styleId="Definition" w:type="paragraph">
    <w:name w:val="Definition"/>
    <w:basedOn w:val="Normal"/>
    <w:pPr>
      <w:spacing w:after="120" w:line="269" w:lineRule="auto"/>
    </w:pPr>
    <w:rPr>
      <w:rFonts w:ascii="Arial" w:hAnsi="Arial"/>
      <w:color w:val="000000"/>
      <w:sz w:val="21"/>
    </w:rPr>
  </w:style>
  <w:style w:styleId="Caption" w:type="paragraph">
    <w:name w:val="Caption"/>
    <w:basedOn w:val="Normal"/>
    <w:link w:val="BodyTextChar"/>
    <w:pPr>
      <w:spacing w:after="120" w:before="0" w:line="269" w:lineRule="auto"/>
    </w:pPr>
    <w:rPr>
      <w:rFonts w:ascii="Arial" w:hAnsi="Arial"/>
      <w:i/>
      <w:color w:val="000000"/>
      <w:sz w:val="21"/>
    </w:rPr>
  </w:style>
  <w:style w:customStyle="1" w:styleId="TableCaption" w:type="paragraph">
    <w:name w:val="Table Caption"/>
    <w:basedOn w:val="Caption"/>
    <w:pPr>
      <w:keepNext/>
      <w:spacing w:after="120" w:line="269" w:lineRule="auto"/>
    </w:pPr>
    <w:rPr>
      <w:rFonts w:ascii="Arial" w:hAnsi="Arial"/>
      <w:color w:val="000000"/>
      <w:sz w:val="21"/>
    </w:rPr>
  </w:style>
  <w:style w:customStyle="1" w:styleId="ImageCaption" w:type="paragraph">
    <w:name w:val="Image Caption"/>
    <w:basedOn w:val="Caption"/>
    <w:pPr>
      <w:spacing w:after="120" w:line="269" w:lineRule="auto"/>
    </w:pPr>
    <w:rPr>
      <w:rFonts w:ascii="Arial" w:hAnsi="Arial"/>
      <w:color w:val="000000"/>
      <w:sz w:val="21"/>
    </w:rPr>
  </w:style>
  <w:style w:customStyle="1" w:styleId="Figure" w:type="paragraph">
    <w:name w:val="Figure"/>
    <w:basedOn w:val="Normal"/>
    <w:pPr>
      <w:spacing w:after="120" w:line="269" w:lineRule="auto"/>
    </w:pPr>
    <w:rPr>
      <w:rFonts w:ascii="Arial" w:hAnsi="Arial"/>
      <w:color w:val="000000"/>
      <w:sz w:val="21"/>
    </w:rPr>
  </w:style>
  <w:style w:customStyle="1" w:styleId="CaptionedFigure" w:type="paragraph">
    <w:name w:val="Captioned Figure"/>
    <w:basedOn w:val="Figure"/>
    <w:pPr>
      <w:keepNext/>
      <w:spacing w:after="120" w:line="269" w:lineRule="auto"/>
    </w:pPr>
    <w:rPr>
      <w:rFonts w:ascii="Arial" w:hAnsi="Arial"/>
      <w:color w:val="00000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69" w:lineRule="auto" w:after="120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val="000000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120" w:line="269" w:lineRule="auto"/>
    </w:pPr>
    <w:rPr>
      <w:rFonts w:ascii="Arial" w:hAnsi="Arial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participación TB2</dc:title>
  <dc:creator>Equipo Thropic</dc:creator>
  <cp:keywords/>
  <dcterms:created xsi:type="dcterms:W3CDTF">2026-10-30T22:49:10Z</dcterms:created>
  <dcterms:modified xsi:type="dcterms:W3CDTF">2026-10-30T22:49:10Z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