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jjjss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电源滤波器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2224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65E824BD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bookmarkStart w:id="3" w:name="_Toc109748807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电源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电源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84851746"/>
      <w:bookmarkStart w:id="5" w:name="_Toc109748808"/>
      <w:bookmarkStart w:id="6" w:name="_Toc28060_WPSOffice_Level1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电源滤波器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84851747"/>
      <w:bookmarkStart w:id="8" w:name="_Toc32480_WPSOffice_Level1"/>
      <w:bookmarkStart w:id="9" w:name="_Toc109748809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jjjss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84851748"/>
      <w:bookmarkStart w:id="11" w:name="_Toc16238_WPSOffice_Level1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N/A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N/A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sz w:val="24"/>
                <w:szCs w:val="24"/>
              </w:rPr>
            </w:pP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</w:t>
            </w:r>
            <w:r>
              <w:rPr>
                <w:kern w:val="0"/>
                <w:sz w:val="24"/>
                <w:szCs w:val="24"/>
              </w:rPr>
              <w:t>z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单相、三相三线、三相四线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，线对线，输入对输出，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m</w:t>
            </w:r>
            <w:r>
              <w:rPr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@250Vac/50Hz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100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kern w:val="0"/>
                <w:sz w:val="24"/>
                <w:szCs w:val="24"/>
              </w:rPr>
              <w:t>对壳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80V</w:t>
            </w:r>
            <w:r>
              <w:rPr>
                <w:rFonts w:hint="eastAsia"/>
                <w:kern w:val="0"/>
                <w:sz w:val="24"/>
                <w:szCs w:val="24"/>
              </w:rPr>
              <w:t>/50ms过压浪涌，1次/min，共5次，设备正常输出，需外加储能电容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在正常供电5min后，尖峰电压时间1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us，各重复5次，每次间隔1min，正常工作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V/50</w:t>
            </w:r>
            <w:r>
              <w:rPr>
                <w:rFonts w:hint="eastAsia"/>
                <w:kern w:val="0"/>
                <w:sz w:val="24"/>
                <w:szCs w:val="24"/>
              </w:rPr>
              <w:t>ms欠压浪涌，1次/min，共5次，设备正常输出，需外加储能电容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输入电压中断5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ms保持正常输出，需外加储能电容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输入正负线反接，不损坏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-0.5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  <w:vertAlign w:val="subscript"/>
              </w:rPr>
              <w:t>1</w:t>
            </w:r>
            <w:r>
              <w:rPr>
                <w:kern w:val="0"/>
                <w:sz w:val="24"/>
                <w:szCs w:val="24"/>
              </w:rPr>
              <w:t>+0.5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27.5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28.5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额定负载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0.3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全电流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.85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V以下时降额至50W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±1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全电压，满电流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cs="宋体"/>
                <w:bCs/>
                <w:sz w:val="24"/>
              </w:rPr>
              <w:t>±2</w:t>
            </w:r>
            <w:r>
              <w:rPr>
                <w:rFonts w:hint="eastAsia" w:cs="宋体"/>
                <w:bCs/>
                <w:sz w:val="24"/>
              </w:rPr>
              <w:t>.0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%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标称输入电压，10%~100%负载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0</w:t>
            </w:r>
            <w:r>
              <w:rPr>
                <w:rFonts w:hint="eastAsia"/>
                <w:sz w:val="24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mV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额定负载，20MHz带宽示波器，靠测(输出带0.1uF）。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sz w:val="24"/>
                <w:szCs w:val="21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--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%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输入</w:t>
            </w:r>
            <w:r>
              <w:rPr>
                <w:rFonts w:hint="eastAsia"/>
                <w:sz w:val="24"/>
                <w:szCs w:val="21"/>
              </w:rPr>
              <w:t>额定</w:t>
            </w:r>
            <w:r>
              <w:rPr>
                <w:sz w:val="24"/>
                <w:szCs w:val="21"/>
              </w:rPr>
              <w:t>电压，输出额定负载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%P0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打嗝模式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短路去除后自恢复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悬空或高电平V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不工作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.5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短接或低电平V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工作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500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Vdc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bCs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入/输出</w:t>
            </w:r>
            <w:r>
              <w:rPr>
                <w:rFonts w:ascii="宋体"/>
                <w:kern w:val="0"/>
                <w:sz w:val="24"/>
                <w:szCs w:val="24"/>
              </w:rPr>
              <w:t>对壳</w:t>
            </w:r>
            <w:r>
              <w:rPr>
                <w:rFonts w:hint="eastAsia" w:ascii="宋体"/>
                <w:kern w:val="0"/>
                <w:sz w:val="24"/>
                <w:szCs w:val="24"/>
              </w:rPr>
              <w:t>，</w:t>
            </w:r>
            <w:r>
              <w:rPr>
                <w:bCs/>
                <w:kern w:val="0"/>
                <w:sz w:val="24"/>
                <w:szCs w:val="24"/>
              </w:rPr>
              <w:t>无现象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--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MΩ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</w:rPr>
              <w:t>500</w:t>
            </w:r>
            <w:r>
              <w:rPr>
                <w:kern w:val="0"/>
                <w:sz w:val="24"/>
                <w:szCs w:val="24"/>
              </w:rPr>
              <w:t>Vdc</w:t>
            </w:r>
            <w:r>
              <w:rPr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/>
                <w:kern w:val="0"/>
                <w:sz w:val="24"/>
                <w:szCs w:val="24"/>
              </w:rPr>
              <w:t>输</w:t>
            </w:r>
            <w:r>
              <w:rPr>
                <w:rFonts w:hint="eastAsia" w:ascii="宋体"/>
                <w:kern w:val="0"/>
                <w:sz w:val="24"/>
                <w:szCs w:val="24"/>
              </w:rPr>
              <w:t>入、输出</w:t>
            </w:r>
            <w:r>
              <w:rPr>
                <w:kern w:val="0"/>
                <w:sz w:val="24"/>
                <w:szCs w:val="24"/>
              </w:rPr>
              <w:t>对壳</w:t>
            </w:r>
            <w:r>
              <w:rPr>
                <w:rFonts w:hint="eastAsia"/>
                <w:kern w:val="0"/>
                <w:sz w:val="24"/>
                <w:szCs w:val="24"/>
              </w:rPr>
              <w:t>；</w:t>
            </w:r>
            <w:r>
              <w:rPr>
                <w:kern w:val="0"/>
                <w:sz w:val="24"/>
                <w:szCs w:val="24"/>
              </w:rPr>
              <w:t>输入对</w:t>
            </w:r>
            <w:r>
              <w:rPr>
                <w:rFonts w:hint="eastAsia"/>
                <w:kern w:val="0"/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3" w:name="_Toc98946978"/>
      <w:bookmarkStart w:id="14" w:name="_Toc109748811"/>
      <w:bookmarkStart w:id="15" w:name="_Toc14947_WPSOffice_Level1"/>
      <w:bookmarkStart w:id="16" w:name="_Toc84851749"/>
      <w:commentRangeStart w:id="0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bookmarkStart w:id="39" w:name="_GoBack"/>
      <w:bookmarkEnd w:id="39"/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84851751"/>
      <w:bookmarkStart w:id="19" w:name="_Toc20993_WPSOffice_Level2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commentRangeStart w:id="3"/>
      <w:r>
        <w:rPr>
          <w:rFonts w:hint="eastAsia"/>
          <w:sz w:val="24"/>
          <w:szCs w:val="24"/>
        </w:rPr>
        <w:t>5A06铝合金</w:t>
      </w:r>
      <w:commentRangeEnd w:id="3"/>
      <w:r>
        <w:rPr>
          <w:rStyle w:val="17"/>
        </w:rPr>
        <w:commentReference w:id="3"/>
      </w:r>
      <w:r>
        <w:rPr>
          <w:rFonts w:hint="eastAsia"/>
          <w:sz w:val="24"/>
          <w:szCs w:val="24"/>
        </w:rPr>
        <w:t>，表面</w:t>
      </w:r>
      <w:commentRangeStart w:id="4"/>
      <w:r>
        <w:rPr>
          <w:rFonts w:hint="eastAsia"/>
          <w:sz w:val="24"/>
          <w:szCs w:val="24"/>
        </w:rPr>
        <w:t>喷砂、导电氧化黄色（亮处理）</w:t>
      </w:r>
      <w:commentRangeEnd w:id="4"/>
      <w:r>
        <w:rPr>
          <w:rStyle w:val="17"/>
        </w:rPr>
        <w:commentReference w:id="4"/>
      </w:r>
      <w:r>
        <w:rPr>
          <w:sz w:val="24"/>
          <w:szCs w:val="24"/>
        </w:rPr>
        <w:t>。</w:t>
      </w:r>
    </w:p>
    <w:p w14:paraId="6E0B1FE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6061</w:t>
      </w:r>
      <w:r>
        <w:rPr>
          <w:rFonts w:hint="eastAsia"/>
          <w:sz w:val="24"/>
          <w:szCs w:val="24"/>
        </w:rPr>
        <w:t>铝合金，表面喷砂、导电氧化本色（亮处理）</w:t>
      </w:r>
      <w:r>
        <w:rPr>
          <w:sz w:val="24"/>
          <w:szCs w:val="24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5"/>
      <w:r>
        <w:rPr>
          <w:sz w:val="24"/>
          <w:szCs w:val="24"/>
        </w:rPr>
        <w:t>表3 定义表</w:t>
      </w:r>
      <w:commentRangeEnd w:id="5"/>
      <w:r>
        <w:rPr>
          <w:rStyle w:val="17"/>
        </w:rPr>
        <w:commentReference w:id="5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58"/>
        <w:gridCol w:w="2601"/>
        <w:gridCol w:w="992"/>
        <w:gridCol w:w="992"/>
        <w:gridCol w:w="1701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0C3D3B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eastAsia="汉仪长仿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eastAsia="汉仪长仿宋体"/>
                <w:kern w:val="0"/>
                <w:sz w:val="21"/>
                <w:szCs w:val="21"/>
              </w:rPr>
              <w:t>YMG16F3Z1P40</w:t>
            </w:r>
          </w:p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EF29C2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电连接器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30J06P060S000C0L000</w:t>
            </w:r>
            <w:r>
              <w:rPr>
                <w:rFonts w:hint="eastAsia"/>
                <w:sz w:val="21"/>
                <w:szCs w:val="21"/>
              </w:rPr>
              <w:t>（L</w:t>
            </w:r>
            <w:r>
              <w:rPr>
                <w:sz w:val="21"/>
                <w:szCs w:val="21"/>
              </w:rPr>
              <w:t>=260mm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6"/>
      <w:r>
        <w:rPr>
          <w:rFonts w:hint="eastAsia"/>
          <w:b/>
          <w:kern w:val="44"/>
          <w:sz w:val="24"/>
          <w:szCs w:val="24"/>
        </w:rPr>
        <w:t>电路原理图</w:t>
      </w:r>
      <w:bookmarkEnd w:id="23"/>
      <w:commentRangeEnd w:id="6"/>
      <w:r>
        <w:rPr>
          <w:rStyle w:val="17"/>
        </w:rPr>
        <w:commentReference w:id="6"/>
      </w:r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7"/>
      <w:r>
        <w:rPr>
          <w:rFonts w:hint="eastAsia"/>
          <w:b/>
          <w:kern w:val="44"/>
          <w:sz w:val="24"/>
          <w:szCs w:val="24"/>
        </w:rPr>
        <w:t>插入损耗特性</w:t>
      </w:r>
      <w:commentRangeEnd w:id="7"/>
      <w:bookmarkEnd w:id="26"/>
      <w:r>
        <w:rPr>
          <w:rStyle w:val="17"/>
        </w:rPr>
        <w:commentReference w:id="7"/>
      </w:r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8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8"/>
      <w:r>
        <w:rPr>
          <w:rStyle w:val="17"/>
        </w:rPr>
        <w:commentReference w:id="8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9"/>
      <w:r>
        <w:rPr>
          <w:rFonts w:hint="eastAsia"/>
          <w:b/>
          <w:kern w:val="44"/>
          <w:sz w:val="24"/>
          <w:szCs w:val="24"/>
        </w:rPr>
        <w:t>重量</w:t>
      </w:r>
      <w:bookmarkEnd w:id="27"/>
      <w:commentRangeEnd w:id="9"/>
      <w:r>
        <w:rPr>
          <w:rStyle w:val="17"/>
        </w:rPr>
        <w:commentReference w:id="9"/>
      </w:r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10"/>
      <w:r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g。</w:t>
      </w:r>
      <w:commentRangeEnd w:id="10"/>
      <w:r>
        <w:rPr>
          <w:rStyle w:val="17"/>
        </w:rPr>
        <w:commentReference w:id="10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commentRangeStart w:id="11"/>
      <w:bookmarkStart w:id="28" w:name="_Toc10974881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bookmarkEnd w:id="28"/>
      <w:commentRangeEnd w:id="11"/>
      <w:r>
        <w:rPr>
          <w:rStyle w:val="17"/>
        </w:rPr>
        <w:commentReference w:id="11"/>
      </w:r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commentRangeStart w:id="12"/>
      <w:bookmarkStart w:id="29" w:name="_Toc109748820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2"/>
      <w:r>
        <w:rPr>
          <w:rStyle w:val="17"/>
        </w:rPr>
        <w:commentReference w:id="12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3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3"/>
      <w:r>
        <w:rPr>
          <w:rStyle w:val="17"/>
        </w:rPr>
        <w:commentReference w:id="13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109748825"/>
      <w:bookmarkStart w:id="35" w:name="_Toc84851754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109748826"/>
      <w:bookmarkStart w:id="37" w:name="_Toc25142_WPSOffice_Level1"/>
      <w:bookmarkStart w:id="38" w:name="_Toc84851755"/>
      <w:r>
        <w:rPr>
          <w:b/>
          <w:kern w:val="44"/>
          <w:sz w:val="24"/>
          <w:szCs w:val="24"/>
        </w:rPr>
        <w:t xml:space="preserve">13 </w:t>
      </w:r>
      <w:commentRangeStart w:id="14"/>
      <w:r>
        <w:rPr>
          <w:b/>
          <w:kern w:val="44"/>
          <w:sz w:val="24"/>
          <w:szCs w:val="24"/>
        </w:rPr>
        <w:t>使用注意事项</w:t>
      </w:r>
      <w:bookmarkEnd w:id="36"/>
      <w:bookmarkEnd w:id="37"/>
      <w:bookmarkEnd w:id="38"/>
      <w:commentRangeEnd w:id="14"/>
      <w:r>
        <w:rPr>
          <w:rStyle w:val="17"/>
        </w:rPr>
        <w:commentReference w:id="14"/>
      </w:r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079592DD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0:00Z" w:initials="M">
    <w:p w14:paraId="75ED745B">
      <w:pPr>
        <w:pStyle w:val="4"/>
      </w:pPr>
      <w:r>
        <w:rPr>
          <w:rFonts w:hint="eastAsia"/>
        </w:rPr>
        <w:t>参考数据来源</w:t>
      </w:r>
    </w:p>
  </w:comment>
  <w:comment w:id="4" w:author="米晓荣" w:date="2024-05-10T14:50:00Z" w:initials="M">
    <w:p w14:paraId="11AA4150">
      <w:pPr>
        <w:pStyle w:val="4"/>
      </w:pPr>
      <w:r>
        <w:rPr>
          <w:rFonts w:hint="eastAsia"/>
        </w:rPr>
        <w:t>参考数据来源</w:t>
      </w:r>
    </w:p>
  </w:comment>
  <w:comment w:id="5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6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7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9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11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2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3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4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75ED745B" w15:done="0"/>
  <w15:commentEx w15:paraId="11AA4150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jjjss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2224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jjjss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2224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  <w15:person w15:author="晓荣 米">
    <w15:presenceInfo w15:providerId="Windows Live" w15:userId="de2293e7634d5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14C72CD9"/>
    <w:rsid w:val="15241A44"/>
    <w:rsid w:val="64204042"/>
    <w:rsid w:val="6E3D35C5"/>
    <w:rsid w:val="793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uiPriority w:val="99"/>
    <w:rPr>
      <w:b/>
      <w:bCs/>
    </w:rPr>
  </w:style>
  <w:style w:type="table" w:styleId="13">
    <w:name w:val="Table Grid"/>
    <w:basedOn w:val="12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uiPriority w:val="0"/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uiPriority w:val="99"/>
    <w:rPr>
      <w:sz w:val="18"/>
      <w:szCs w:val="18"/>
    </w:rPr>
  </w:style>
  <w:style w:type="paragraph" w:customStyle="1" w:styleId="20">
    <w:name w:val="页面小字"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uiPriority w:val="0"/>
    <w:pPr>
      <w:framePr w:xAlign="center"/>
      <w:ind w:firstLine="217"/>
      <w:jc w:val="both"/>
    </w:pPr>
  </w:style>
  <w:style w:type="paragraph" w:customStyle="1" w:styleId="22">
    <w:name w:val="首页表格"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695</Words>
  <Characters>936</Characters>
  <Lines>36</Lines>
  <Paragraphs>10</Paragraphs>
  <TotalTime>0</TotalTime>
  <ScaleCrop>false</ScaleCrop>
  <LinksUpToDate>false</LinksUpToDate>
  <CharactersWithSpaces>1027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2025-01-15T01:14:35Z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