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80" w:before="480"/>
        <w:jc w:val="center"/>
      </w:pPr>
      <w:r>
        <w:rPr>
          <w:rFonts w:ascii="Times New Roman" w:hAnsi="Times New Roman"/>
          <w:b/>
          <w:i w:val="0"/>
          <w:sz w:val="24"/>
        </w:rPr>
        <w:t>UNIVERSIDAD PRIVADA DOMINGO SAVIO</w:t>
      </w:r>
    </w:p>
    <w:p>
      <w:pPr>
        <w:spacing w:line="360" w:lineRule="auto" w:after="80" w:before="0"/>
        <w:jc w:val="center"/>
      </w:pPr>
      <w:r>
        <w:rPr>
          <w:rFonts w:ascii="Times New Roman" w:hAnsi="Times New Roman"/>
          <w:b/>
          <w:i w:val="0"/>
          <w:sz w:val="24"/>
        </w:rPr>
        <w:t>FACULTAD DE INGENIERÍA</w:t>
      </w:r>
    </w:p>
    <w:p>
      <w:pPr>
        <w:spacing w:line="360" w:lineRule="auto" w:after="80" w:before="0"/>
        <w:jc w:val="center"/>
      </w:pPr>
      <w:r>
        <w:rPr>
          <w:rFonts w:ascii="Times New Roman" w:hAnsi="Times New Roman"/>
          <w:b/>
          <w:i w:val="0"/>
          <w:sz w:val="24"/>
        </w:rPr>
        <w:t>CARRERA DE INGENIERÍA EN SISTEMAS</w:t>
      </w:r>
    </w:p>
    <w:p>
      <w:pPr>
        <w:spacing w:line="360" w:lineRule="auto" w:after="560" w:before="0"/>
        <w:jc w:val="center"/>
      </w:pPr>
      <w:r>
        <w:rPr>
          <w:rFonts w:ascii="Times New Roman" w:hAnsi="Times New Roman"/>
          <w:b/>
          <w:i w:val="0"/>
          <w:sz w:val="24"/>
        </w:rPr>
        <w:t>ASIGNATURA: INGENIERÍA DE SOFTWARE I</w:t>
      </w:r>
    </w:p>
    <w:p>
      <w:pPr>
        <w:spacing w:line="360" w:lineRule="auto" w:after="120" w:before="0"/>
        <w:jc w:val="center"/>
      </w:pPr>
      <w:r>
        <w:rPr>
          <w:rFonts w:ascii="Times New Roman" w:hAnsi="Times New Roman"/>
          <w:b/>
          <w:i w:val="0"/>
          <w:sz w:val="24"/>
        </w:rPr>
        <w:t>ACTIVIDAD 03 — ÁLBUM DE MODELOS UML</w:t>
      </w:r>
    </w:p>
    <w:p>
      <w:pPr>
        <w:spacing w:line="360" w:lineRule="auto" w:after="360" w:before="0"/>
        <w:jc w:val="center"/>
      </w:pPr>
      <w:r>
        <w:rPr>
          <w:rFonts w:ascii="Times New Roman" w:hAnsi="Times New Roman"/>
          <w:b/>
          <w:i w:val="0"/>
          <w:sz w:val="24"/>
        </w:rPr>
        <w:t>CRITERIO DE VERIFICACIÓN #2 (30 PUNTOS) — GATE 3 DEL SDLC</w:t>
      </w:r>
    </w:p>
    <w:p>
      <w:pPr>
        <w:spacing w:line="360" w:lineRule="auto" w:after="120" w:before="0"/>
        <w:jc w:val="center"/>
      </w:pPr>
      <w:r>
        <w:rPr>
          <w:rFonts w:ascii="Times New Roman" w:hAnsi="Times New Roman"/>
          <w:b/>
          <w:i w:val="0"/>
          <w:sz w:val="24"/>
        </w:rPr>
        <w:t>"YAPU": DESCRIPCIÓN DEL DISEÑO DE SOFTWARE (IEEE STD 1016-2009 SDD)</w:t>
      </w:r>
    </w:p>
    <w:p>
      <w:pPr>
        <w:spacing w:line="360" w:lineRule="auto" w:after="800" w:before="0"/>
        <w:jc w:val="center"/>
      </w:pPr>
      <w:r>
        <w:rPr>
          <w:rFonts w:ascii="Times New Roman" w:hAnsi="Times New Roman"/>
          <w:b/>
          <w:i w:val="0"/>
          <w:sz w:val="24"/>
        </w:rPr>
        <w:t>MAPA INTEGRAL DE ARQUITECTURA, CLASES ESTRUCTURALES, PERSISTENCIA MULTIBASE DE DATOS (INDEXEDDB Y CLOUD FIRESTORE), CASOS DE USO Y COMPORTAMIENTO</w:t>
      </w:r>
    </w:p>
    <w:p>
      <w:pPr>
        <w:spacing w:line="360" w:lineRule="auto" w:after="120" w:before="0"/>
        <w:jc w:val="center"/>
      </w:pPr>
      <w:r>
        <w:rPr>
          <w:rFonts w:ascii="Times New Roman" w:hAnsi="Times New Roman"/>
          <w:b/>
          <w:i w:val="0"/>
          <w:sz w:val="24"/>
        </w:rPr>
        <w:t>NOMBRE DE LOS ESTUDIANTES</w:t>
      </w:r>
    </w:p>
    <w:p>
      <w:pPr>
        <w:spacing w:line="360" w:lineRule="auto" w:after="80" w:before="0"/>
        <w:jc w:val="center"/>
      </w:pPr>
      <w:r>
        <w:rPr>
          <w:rFonts w:ascii="Times New Roman" w:hAnsi="Times New Roman"/>
          <w:b w:val="0"/>
          <w:i w:val="0"/>
          <w:sz w:val="24"/>
        </w:rPr>
        <w:t>Jhoel Alvaro Cruz Zurita</w:t>
      </w:r>
    </w:p>
    <w:p>
      <w:pPr>
        <w:spacing w:line="360" w:lineRule="auto" w:after="720" w:before="0"/>
        <w:jc w:val="center"/>
      </w:pPr>
      <w:r>
        <w:rPr>
          <w:rFonts w:ascii="Times New Roman" w:hAnsi="Times New Roman"/>
          <w:b w:val="0"/>
          <w:i w:val="0"/>
          <w:sz w:val="24"/>
        </w:rPr>
        <w:t>Emmanuel Ponce Quiroga</w:t>
      </w:r>
    </w:p>
    <w:p>
      <w:pPr>
        <w:spacing w:line="360" w:lineRule="auto" w:after="80" w:before="0"/>
        <w:jc w:val="center"/>
      </w:pPr>
      <w:r>
        <w:rPr>
          <w:rFonts w:ascii="Times New Roman" w:hAnsi="Times New Roman"/>
          <w:b/>
          <w:i w:val="0"/>
          <w:sz w:val="24"/>
        </w:rPr>
        <w:t>DOCENTE</w:t>
      </w:r>
    </w:p>
    <w:p>
      <w:pPr>
        <w:spacing w:line="360" w:lineRule="auto" w:after="720" w:before="0"/>
        <w:jc w:val="center"/>
      </w:pPr>
      <w:r>
        <w:rPr>
          <w:rFonts w:ascii="Times New Roman" w:hAnsi="Times New Roman"/>
          <w:b w:val="0"/>
          <w:i w:val="0"/>
          <w:sz w:val="24"/>
        </w:rPr>
        <w:t>Ing. Requena Llorentty Jimmy Nataniel</w:t>
      </w:r>
    </w:p>
    <w:p>
      <w:pPr>
        <w:spacing w:line="360" w:lineRule="auto" w:after="80" w:before="0"/>
        <w:jc w:val="center"/>
      </w:pPr>
      <w:r>
        <w:rPr>
          <w:rFonts w:ascii="Times New Roman" w:hAnsi="Times New Roman"/>
          <w:b w:val="0"/>
          <w:i w:val="0"/>
          <w:sz w:val="24"/>
        </w:rPr>
        <w:t>Santa Cruz de la Sierra - Bolivia</w:t>
      </w:r>
    </w:p>
    <w:p>
      <w:pPr>
        <w:spacing w:line="360" w:lineRule="auto" w:after="0" w:before="0"/>
        <w:jc w:val="center"/>
      </w:pPr>
      <w:r>
        <w:rPr>
          <w:rFonts w:ascii="Times New Roman" w:hAnsi="Times New Roman"/>
          <w:b w:val="0"/>
          <w:i w:val="0"/>
          <w:sz w:val="24"/>
        </w:rPr>
        <w:t>Septiembre de 2026</w:t>
      </w:r>
    </w:p>
    <w:p>
      <w:r>
        <w:br w:type="page"/>
      </w:r>
    </w:p>
    <w:p>
      <w:pPr>
        <w:spacing w:before="360" w:after="200" w:line="360" w:lineRule="auto"/>
        <w:jc w:val="center"/>
      </w:pPr>
      <w:r>
        <w:rPr>
          <w:rFonts w:ascii="Times New Roman" w:hAnsi="Times New Roman"/>
          <w:b/>
          <w:sz w:val="28"/>
        </w:rPr>
        <w:t>RESUMEN EJECUTIVO</w:t>
      </w:r>
    </w:p>
    <w:p>
      <w:pPr>
        <w:spacing w:line="360" w:lineRule="auto" w:after="120" w:before="0"/>
        <w:jc w:val="left"/>
      </w:pPr>
      <w:r>
        <w:rPr>
          <w:rFonts w:ascii="Times New Roman" w:hAnsi="Times New Roman"/>
          <w:b w:val="0"/>
          <w:i w:val="0"/>
          <w:sz w:val="24"/>
        </w:rPr>
        <w:t>El presente informe formal documenta la Actividad 03: Álbum de Modelos UML correspondiente al Criterio de Verificación #2 (30 puntos) de la asignatura Ingeniería de Software I en la Universidad Privada Domingo Savio (Sede Santa Cruz de la Sierra). Enmarcado en el Gate 3 del ciclo de vida de desarrollo de software (SDLC), el documento adopta el estándar internacional IEEE Std 1016-2009 (Software Design Description - SDD) para formalizar la arquitectura y el diseño técnico del proyecto YAPU (Sembradío en lengua quechua), una Plataforma Web Progresiva (PWA) de alta resiliencia concebida para la enseñanza y revitalización de la lengua originaria quechua (variante sureña Collao/Chuquisaca) en el Estado Plurinacional de Bolivia.</w:t>
      </w:r>
    </w:p>
    <w:p>
      <w:pPr>
        <w:spacing w:line="360" w:lineRule="auto" w:after="120" w:before="0"/>
        <w:jc w:val="left"/>
      </w:pPr>
      <w:r>
        <w:rPr>
          <w:rFonts w:ascii="Times New Roman" w:hAnsi="Times New Roman"/>
          <w:b w:val="0"/>
          <w:i w:val="0"/>
          <w:sz w:val="24"/>
        </w:rPr>
        <w:t>A lo largo del documento se operacionalizan los 10 Requisitos Funcionales (RF-001 al RF-010), los Requisitos No Funcionales (RNF-001 al RNF-005) y los Requisitos de Sostenibilidad (RS-001 al RS-004) formalizados previamente en la Especificación de Requisitos de Software (IEEE Std 830-1998). La solución se estructura en cuatro dimensiones arquitectónicas: (1) Vista Arquitectónica de 4 Capas con comunicación HTTP/2 y TLS 1.3 mediada por Service Worker (sin rombos de decisión condicional en la red); (2) Vista Estructural de Clases del Dominio con Inversión de Dependencias (SOLID) y composición estricta; (3) Vista Estructural de Persistencia Multibase de Datos que resuelve mediante el patrón Data Mapper la coexistencia entre la base de datos local en el navegador (IndexedDB con ObjectStores e índices) y la base de datos documental remota (Cloud Firestore NoSQL con subcolecciones); (4) Vista Funcional y Dinámica con casos de uso (include/extend), diagramas de secuencia en 5 fases, autómata de estados y algoritmos deterministas en TypeScript que aseguran coste cero ($0) en APIs, latencia menor a 50 ms y cero alucinaciones lingüísticas.</w:t>
      </w:r>
    </w:p>
    <w:p>
      <w:pPr>
        <w:spacing w:line="360" w:lineRule="auto" w:after="120" w:before="0"/>
        <w:jc w:val="left"/>
      </w:pPr>
      <w:r>
        <w:rPr>
          <w:rFonts w:ascii="Times New Roman" w:hAnsi="Times New Roman"/>
          <w:b w:val="0"/>
          <w:i w:val="0"/>
          <w:sz w:val="24"/>
        </w:rPr>
        <w:t>Asimismo, en cumplimiento estricto de las exigencias éticas y de transparencia de la UPDS, se incluye una exhaustiva Matriz de Auditoría de Inteligencia Artificial que transparenta el uso de herramientas de IA como asistentes de diseño, documentando las decisiones aceptadas, las modificaciones críticas y los rechazos expresos efectuados por los estudiantes, acompañados de la evidencia de refinamiento de prompts y el análisis crítico de alucinaciones.</w:t>
      </w:r>
    </w:p>
    <w:p>
      <w:r>
        <w:br w:type="page"/>
      </w:r>
    </w:p>
    <w:p>
      <w:pPr>
        <w:spacing w:before="360" w:after="200" w:line="360" w:lineRule="auto"/>
        <w:jc w:val="center"/>
      </w:pPr>
      <w:r>
        <w:rPr>
          <w:rFonts w:ascii="Times New Roman" w:hAnsi="Times New Roman"/>
          <w:b/>
          <w:sz w:val="28"/>
        </w:rPr>
        <w:t>CAPÍTULO I: INTRODUCCIÓN Y MARCO NORMATIVO</w:t>
      </w:r>
    </w:p>
    <w:p>
      <w:pPr>
        <w:spacing w:before="280" w:after="120" w:line="360" w:lineRule="auto"/>
        <w:jc w:val="left"/>
      </w:pPr>
      <w:r>
        <w:rPr>
          <w:rFonts w:ascii="Times New Roman" w:hAnsi="Times New Roman"/>
          <w:b/>
          <w:sz w:val="26"/>
        </w:rPr>
        <w:t>1.1 El Estándar IEEE Std 1016-2009 (Software Design Description)</w:t>
      </w:r>
    </w:p>
    <w:p>
      <w:pPr>
        <w:spacing w:line="360" w:lineRule="auto" w:after="120" w:before="0"/>
        <w:jc w:val="left"/>
      </w:pPr>
      <w:r>
        <w:rPr>
          <w:rFonts w:ascii="Times New Roman" w:hAnsi="Times New Roman"/>
          <w:b w:val="0"/>
          <w:i w:val="0"/>
          <w:sz w:val="24"/>
        </w:rPr>
        <w:t>El estándar IEEE Std 1016-2009 define las directrices y puntos de vista recomendados para la descripción del diseño de software. Un SDD traduce los requerimientos del sistema en especificaciones de arquitectura, estructuras de datos, interfaces y algoritmos que sirven como puente riguroso entre la fase de especificación (Gate 2) y la fase de construcción (Gate 4).</w:t>
      </w:r>
    </w:p>
    <w:p>
      <w:pPr>
        <w:spacing w:before="280" w:after="120" w:line="360" w:lineRule="auto"/>
        <w:jc w:val="left"/>
      </w:pPr>
      <w:r>
        <w:rPr>
          <w:rFonts w:ascii="Times New Roman" w:hAnsi="Times New Roman"/>
          <w:b/>
          <w:sz w:val="26"/>
        </w:rPr>
        <w:t>1.2 Metodología de las 5 Secciones por Diagrama</w:t>
      </w:r>
    </w:p>
    <w:p>
      <w:pPr>
        <w:spacing w:line="360" w:lineRule="auto" w:after="120" w:before="0"/>
        <w:jc w:val="left"/>
      </w:pPr>
      <w:r>
        <w:rPr>
          <w:rFonts w:ascii="Times New Roman" w:hAnsi="Times New Roman"/>
          <w:b w:val="0"/>
          <w:i w:val="0"/>
          <w:sz w:val="24"/>
        </w:rPr>
        <w:t>Para garantizar un análisis de ingeniería exhaustivo y uniforme, cada diagrama de este álbum desarrolla cinco secciones técnicas obligatorias:</w:t>
        <w:br/>
        <w:t>1. Resumen Ejecutivo: Propósito arquitectónico y alcance específico del modelo.</w:t>
        <w:br/>
        <w:t>2. Diccionario de Clases / Elementos / Schemas: Definición de atributos con justificación técnica de tipos de datos y signaturas de operaciones.</w:t>
        <w:br/>
        <w:t>3. Análisis de Relaciones: Justificación técnica formal de por qué se empleó composición, agregación, herencia, realización o dependencia aplicando Principios SOLID.</w:t>
        <w:br/>
        <w:t>4. Seguridad, Integridad y Gobernanza: Políticas de protección de datos, aislamiento de red, inmutabilidad curricular y reglas de acceso.</w:t>
        <w:br/>
        <w:t>5. Guía de Explicación para Evaluación Oral: Argumentos clave y respuestas técnicas frente a preguntas trampa del tribunal docente.</w:t>
      </w:r>
    </w:p>
    <w:p>
      <w:pPr>
        <w:spacing w:before="280" w:after="120" w:line="360" w:lineRule="auto"/>
        <w:jc w:val="left"/>
      </w:pPr>
      <w:r>
        <w:rPr>
          <w:rFonts w:ascii="Times New Roman" w:hAnsi="Times New Roman"/>
          <w:b/>
          <w:sz w:val="26"/>
        </w:rPr>
        <w:t>1.3 Contexto del Problema y Delimitación de YAPU</w:t>
      </w:r>
    </w:p>
    <w:p>
      <w:pPr>
        <w:spacing w:line="360" w:lineRule="auto" w:after="120" w:before="0"/>
        <w:jc w:val="left"/>
      </w:pPr>
      <w:r>
        <w:rPr>
          <w:rFonts w:ascii="Times New Roman" w:hAnsi="Times New Roman"/>
          <w:b w:val="0"/>
          <w:i w:val="0"/>
          <w:sz w:val="24"/>
        </w:rPr>
        <w:t>YAPU aborda el fenómeno sociolingüístico de la pérdida de hablantes de quechua en Chuquisaca. Para garantizar inclusión en áreas rurales y periurbanas, el sistema impone restricciones técnicas críticas: operar en smartphones de gama de entrada con Android 8.0 con menos de 150 MB de memoria RAM en ejecución (RS-002), funcionar plenamente sin internet (RF-009) y prescindir de LLMs generativos externos para evitar costos y alucinaciones lingüísticas.</w:t>
      </w:r>
    </w:p>
    <w:p>
      <w:r>
        <w:br w:type="page"/>
      </w:r>
    </w:p>
    <w:p>
      <w:pPr>
        <w:spacing w:before="360" w:after="200" w:line="360" w:lineRule="auto"/>
        <w:jc w:val="center"/>
      </w:pPr>
      <w:r>
        <w:rPr>
          <w:rFonts w:ascii="Times New Roman" w:hAnsi="Times New Roman"/>
          <w:b/>
          <w:sz w:val="28"/>
        </w:rPr>
        <w:t>CAPÍTULO II: DIAGRAMA 1 — ARQUITECTURA GENERAL DEL SISTEMA</w:t>
      </w:r>
    </w:p>
    <w:p>
      <w:pPr>
        <w:spacing w:before="280" w:after="120" w:line="360" w:lineRule="auto"/>
        <w:jc w:val="left"/>
      </w:pPr>
      <w:r>
        <w:rPr>
          <w:rFonts w:ascii="Times New Roman" w:hAnsi="Times New Roman"/>
          <w:b/>
          <w:sz w:val="26"/>
        </w:rPr>
        <w:t>2.1 Representación Arquitectónica (Mermaid)</w:t>
      </w:r>
    </w:p>
    <w:p>
      <w:pPr>
        <w:spacing w:before="80" w:after="160" w:line="276" w:lineRule="auto"/>
        <w:ind w:left="576"/>
      </w:pPr>
      <w:r>
        <w:rPr>
          <w:rFonts w:ascii="Courier New" w:hAnsi="Courier New"/>
          <w:color w:val="1E293B"/>
          <w:sz w:val="19"/>
        </w:rPr>
        <w:t>graph TB</w:t>
        <w:br/>
        <w:t xml:space="preserve">    subgraph CLIENT_TIER [1. Capa de Cliente: PWA Ligera &lt; 150MB RAM]</w:t>
        <w:br/>
        <w:t xml:space="preserve">        UI[Interfaz Astro SSG + Islands Architecture]</w:t>
        <w:br/>
        <w:t xml:space="preserve">        SW[Service Worker &amp; Workbox Fetch Interceptor]</w:t>
        <w:br/>
        <w:t xml:space="preserve">        CACHE_API[(Cache Storage API: App Shell &amp; WebP)]</w:t>
        <w:br/>
        <w:t xml:space="preserve">        IDB_LOCAL[(IndexedDB Local: Evaluaciones y Cola)]</w:t>
        <w:br/>
        <w:t xml:space="preserve">        subgraph CORE_AI [Motor IA Determinista en TypeScript]</w:t>
        <w:br/>
        <w:t xml:space="preserve">            GEN[Generador de Exámenes por Permutación]</w:t>
        <w:br/>
        <w:t xml:space="preserve">            DIST[Filtro de Distractores Semánticos]</w:t>
        <w:br/>
        <w:t xml:space="preserve">            EVAL[Evaluador Local de Aciertos]</w:t>
        <w:br/>
        <w:t xml:space="preserve">        end</w:t>
        <w:br/>
        <w:t xml:space="preserve">    end</w:t>
        <w:br/>
        <w:t xml:space="preserve">    subgraph CLOUD_TIER [2. Servicios Gestionados: Google Firebase]</w:t>
        <w:br/>
        <w:t xml:space="preserve">        FAUTH[Firebase Auth JWT &amp; Roles RBAC]</w:t>
        <w:br/>
        <w:t xml:space="preserve">        FSTORE[Cloud Firestore NoSQL Engine]</w:t>
        <w:br/>
        <w:t xml:space="preserve">        RULES[firestore.rules: Seguridad Declarativa]</w:t>
        <w:br/>
        <w:t xml:space="preserve">    end</w:t>
        <w:br/>
        <w:t xml:space="preserve">    subgraph VPS_TIER [3. Infraestructura Autogestionada: VPS UPDS]</w:t>
        <w:br/>
        <w:t xml:space="preserve">        NGINX[Reverse Proxy Nginx HTTP/2]</w:t>
        <w:br/>
        <w:t xml:space="preserve">        ASSETS[Repositorio Assets WebP &lt; 100KB]</w:t>
        <w:br/>
        <w:t xml:space="preserve">        OPEN_DATA[Exportador Corpus Lingüístico CSV/JSON]</w:t>
        <w:br/>
        <w:t xml:space="preserve">    end</w:t>
        <w:br/>
        <w:t xml:space="preserve">    UI --&gt; SW</w:t>
        <w:br/>
        <w:t xml:space="preserve">    UI --&gt; CORE_AI</w:t>
        <w:br/>
        <w:t xml:space="preserve">    SW --&gt; CACHE_API</w:t>
        <w:br/>
        <w:t xml:space="preserve">    SW --&gt; IDB_LOCAL</w:t>
        <w:br/>
        <w:t xml:space="preserve">    SW --&gt;|HTTPS TLS 1.3 REST| FAUTH</w:t>
        <w:br/>
        <w:t xml:space="preserve">    SW --&gt;|HTTPS TLS 1.3 / gRPC| FSTORE</w:t>
        <w:br/>
        <w:t xml:space="preserve">    SW --&gt;|HTTPS TLS 1.3 HTTP/2| NGINX</w:t>
        <w:br/>
        <w:t xml:space="preserve">    IDB_LOCAL -.-&gt;|Background Sync API| FSTORE</w:t>
      </w:r>
    </w:p>
    <w:p>
      <w:pPr>
        <w:spacing w:before="280" w:after="120" w:line="360" w:lineRule="auto"/>
        <w:jc w:val="left"/>
      </w:pPr>
      <w:r>
        <w:rPr>
          <w:rFonts w:ascii="Times New Roman" w:hAnsi="Times New Roman"/>
          <w:b/>
          <w:sz w:val="26"/>
        </w:rPr>
        <w:t>2.2 Desglose Técnico IEEE 1016</w:t>
      </w:r>
    </w:p>
    <w:p>
      <w:pPr>
        <w:spacing w:before="200" w:after="80" w:line="360" w:lineRule="auto"/>
        <w:jc w:val="left"/>
      </w:pPr>
      <w:r>
        <w:rPr>
          <w:rFonts w:ascii="Times New Roman" w:hAnsi="Times New Roman"/>
          <w:b/>
          <w:i/>
          <w:sz w:val="24"/>
        </w:rPr>
        <w:t>1. Resumen Ejecutivo</w:t>
      </w:r>
    </w:p>
    <w:p>
      <w:pPr>
        <w:spacing w:line="360" w:lineRule="auto" w:after="120" w:before="0"/>
        <w:jc w:val="left"/>
      </w:pPr>
      <w:r>
        <w:rPr>
          <w:rFonts w:ascii="Times New Roman" w:hAnsi="Times New Roman"/>
          <w:b w:val="0"/>
          <w:i w:val="0"/>
          <w:sz w:val="24"/>
        </w:rPr>
        <w:t>Modela la topología física, lógica y de comunicaciones de YAPU, estructurada en tres niveles físicos y cuatro capas lógicas. El diseño elimina intermediaciones innecesarias: la aplicación emite peticiones HTTP estándar que son interceptadas de manera desacoplada por el Service Worker, garantizando que el software permanezca 100% operativo sin internet.</w:t>
      </w:r>
    </w:p>
    <w:p>
      <w:pPr>
        <w:spacing w:before="200" w:after="80" w:line="360" w:lineRule="auto"/>
        <w:jc w:val="left"/>
      </w:pPr>
      <w:r>
        <w:rPr>
          <w:rFonts w:ascii="Times New Roman" w:hAnsi="Times New Roman"/>
          <w:b/>
          <w:i/>
          <w:sz w:val="24"/>
        </w:rPr>
        <w:t>2. Diccionario de Componentes y Nodos</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12" w:space="0" w:color="000000"/>
              <w:bottom w:val="single" w:sz="6" w:space="0" w:color="000000"/>
              <w:left w:val="none"/>
              <w:right w:val="none"/>
            </w:tcBorders>
            <w:tcMar>
              <w:top w:w="70" w:type="dxa"/>
              <w:bottom w:w="70" w:type="dxa"/>
              <w:left w:w="100" w:type="dxa"/>
              <w:right w:w="100" w:type="dxa"/>
            </w:tcMar>
          </w:tcPr>
          <w:p>
            <w:r>
              <w:rPr>
                <w:b/>
              </w:rPr>
              <w:t>Componente</w:t>
            </w:r>
          </w:p>
        </w:tc>
        <w:tc>
          <w:tcPr>
            <w:tcW w:type="dxa" w:w="3120"/>
            <w:tcBorders>
              <w:top w:val="single" w:sz="12" w:space="0" w:color="000000"/>
              <w:bottom w:val="single" w:sz="6" w:space="0" w:color="000000"/>
              <w:left w:val="none"/>
              <w:right w:val="none"/>
            </w:tcBorders>
            <w:tcMar>
              <w:top w:w="70" w:type="dxa"/>
              <w:bottom w:w="70" w:type="dxa"/>
              <w:left w:w="100" w:type="dxa"/>
              <w:right w:w="100" w:type="dxa"/>
            </w:tcMar>
          </w:tcPr>
          <w:p>
            <w:r>
              <w:rPr>
                <w:b/>
              </w:rPr>
              <w:t>Capa / Tecnología</w:t>
            </w:r>
          </w:p>
        </w:tc>
        <w:tc>
          <w:tcPr>
            <w:tcW w:type="dxa" w:w="3120"/>
            <w:tcBorders>
              <w:top w:val="single" w:sz="12" w:space="0" w:color="000000"/>
              <w:bottom w:val="single" w:sz="6" w:space="0" w:color="000000"/>
              <w:left w:val="none"/>
              <w:right w:val="none"/>
            </w:tcBorders>
            <w:tcMar>
              <w:top w:w="70" w:type="dxa"/>
              <w:bottom w:w="70" w:type="dxa"/>
              <w:left w:w="100" w:type="dxa"/>
              <w:right w:w="100" w:type="dxa"/>
            </w:tcMar>
          </w:tcPr>
          <w:p>
            <w:r>
              <w:rPr>
                <w:b/>
              </w:rPr>
              <w:t>Justificación Técnica de Ingeniería</w:t>
            </w:r>
          </w:p>
        </w:tc>
      </w:tr>
      <w:tr>
        <w:tc>
          <w:tcPr>
            <w:tcW w:type="dxa" w:w="3120"/>
            <w:tcBorders>
              <w:top w:val="none"/>
              <w:bottom w:val="none"/>
              <w:left w:val="none"/>
              <w:right w:val="none"/>
            </w:tcBorders>
            <w:tcMar>
              <w:top w:w="70" w:type="dxa"/>
              <w:bottom w:w="70" w:type="dxa"/>
              <w:left w:w="100" w:type="dxa"/>
              <w:right w:w="100" w:type="dxa"/>
            </w:tcMar>
          </w:tcPr>
          <w:p>
            <w:r>
              <w:rPr>
                <w:b/>
              </w:rPr>
              <w:t>Astro SSG + Islands</w:t>
            </w:r>
          </w:p>
        </w:tc>
        <w:tc>
          <w:tcPr>
            <w:tcW w:type="dxa" w:w="3120"/>
            <w:tcBorders>
              <w:top w:val="none"/>
              <w:bottom w:val="none"/>
              <w:left w:val="none"/>
              <w:right w:val="none"/>
            </w:tcBorders>
            <w:tcMar>
              <w:top w:w="70" w:type="dxa"/>
              <w:bottom w:w="70" w:type="dxa"/>
              <w:left w:w="100" w:type="dxa"/>
              <w:right w:w="100" w:type="dxa"/>
            </w:tcMar>
          </w:tcPr>
          <w:p>
            <w:r>
              <w:t>Cliente PWA</w:t>
            </w:r>
          </w:p>
        </w:tc>
        <w:tc>
          <w:tcPr>
            <w:tcW w:type="dxa" w:w="3120"/>
            <w:tcBorders>
              <w:top w:val="none"/>
              <w:bottom w:val="none"/>
              <w:left w:val="none"/>
              <w:right w:val="none"/>
            </w:tcBorders>
            <w:tcMar>
              <w:top w:w="70" w:type="dxa"/>
              <w:bottom w:w="70" w:type="dxa"/>
              <w:left w:w="100" w:type="dxa"/>
              <w:right w:w="100" w:type="dxa"/>
            </w:tcMar>
          </w:tcPr>
          <w:p>
            <w:r>
              <w:t>Renderizado estático en build time; solo hidrata islas interactivas activas. RAM &lt; 150MB y FCP &lt; 1.8s.</w:t>
            </w:r>
          </w:p>
        </w:tc>
      </w:tr>
      <w:tr>
        <w:tc>
          <w:tcPr>
            <w:tcW w:type="dxa" w:w="3120"/>
            <w:tcBorders>
              <w:top w:val="none"/>
              <w:bottom w:val="none"/>
              <w:left w:val="none"/>
              <w:right w:val="none"/>
            </w:tcBorders>
            <w:tcMar>
              <w:top w:w="70" w:type="dxa"/>
              <w:bottom w:w="70" w:type="dxa"/>
              <w:left w:w="100" w:type="dxa"/>
              <w:right w:w="100" w:type="dxa"/>
            </w:tcMar>
          </w:tcPr>
          <w:p>
            <w:r>
              <w:rPr>
                <w:b/>
              </w:rPr>
              <w:t>Service Worker &amp; Workbox</w:t>
            </w:r>
          </w:p>
        </w:tc>
        <w:tc>
          <w:tcPr>
            <w:tcW w:type="dxa" w:w="3120"/>
            <w:tcBorders>
              <w:top w:val="none"/>
              <w:bottom w:val="none"/>
              <w:left w:val="none"/>
              <w:right w:val="none"/>
            </w:tcBorders>
            <w:tcMar>
              <w:top w:w="70" w:type="dxa"/>
              <w:bottom w:w="70" w:type="dxa"/>
              <w:left w:w="100" w:type="dxa"/>
              <w:right w:w="100" w:type="dxa"/>
            </w:tcMar>
          </w:tcPr>
          <w:p>
            <w:r>
              <w:t>Cliente Web Worker</w:t>
            </w:r>
          </w:p>
        </w:tc>
        <w:tc>
          <w:tcPr>
            <w:tcW w:type="dxa" w:w="3120"/>
            <w:tcBorders>
              <w:top w:val="none"/>
              <w:bottom w:val="none"/>
              <w:left w:val="none"/>
              <w:right w:val="none"/>
            </w:tcBorders>
            <w:tcMar>
              <w:top w:w="70" w:type="dxa"/>
              <w:bottom w:w="70" w:type="dxa"/>
              <w:left w:w="100" w:type="dxa"/>
              <w:right w:w="100" w:type="dxa"/>
            </w:tcMar>
          </w:tcPr>
          <w:p>
            <w:r>
              <w:t>Intercepta el tráfico HTTP; sirve App Shell desde Cache Storage y canaliza transacciones a IndexedDB.</w:t>
            </w:r>
          </w:p>
        </w:tc>
      </w:tr>
      <w:tr>
        <w:tc>
          <w:tcPr>
            <w:tcW w:type="dxa" w:w="3120"/>
            <w:tcBorders>
              <w:top w:val="none"/>
              <w:bottom w:val="none"/>
              <w:left w:val="none"/>
              <w:right w:val="none"/>
            </w:tcBorders>
            <w:tcMar>
              <w:top w:w="70" w:type="dxa"/>
              <w:bottom w:w="70" w:type="dxa"/>
              <w:left w:w="100" w:type="dxa"/>
              <w:right w:w="100" w:type="dxa"/>
            </w:tcMar>
          </w:tcPr>
          <w:p>
            <w:r>
              <w:rPr>
                <w:b/>
              </w:rPr>
              <w:t>Motor IA en TypeScript</w:t>
            </w:r>
          </w:p>
        </w:tc>
        <w:tc>
          <w:tcPr>
            <w:tcW w:type="dxa" w:w="3120"/>
            <w:tcBorders>
              <w:top w:val="none"/>
              <w:bottom w:val="none"/>
              <w:left w:val="none"/>
              <w:right w:val="none"/>
            </w:tcBorders>
            <w:tcMar>
              <w:top w:w="70" w:type="dxa"/>
              <w:bottom w:w="70" w:type="dxa"/>
              <w:left w:w="100" w:type="dxa"/>
              <w:right w:w="100" w:type="dxa"/>
            </w:tcMar>
          </w:tcPr>
          <w:p>
            <w:r>
              <w:t>Cliente Local</w:t>
            </w:r>
          </w:p>
        </w:tc>
        <w:tc>
          <w:tcPr>
            <w:tcW w:type="dxa" w:w="3120"/>
            <w:tcBorders>
              <w:top w:val="none"/>
              <w:bottom w:val="none"/>
              <w:left w:val="none"/>
              <w:right w:val="none"/>
            </w:tcBorders>
            <w:tcMar>
              <w:top w:w="70" w:type="dxa"/>
              <w:bottom w:w="70" w:type="dxa"/>
              <w:left w:w="100" w:type="dxa"/>
              <w:right w:w="100" w:type="dxa"/>
            </w:tcMar>
          </w:tcPr>
          <w:p>
            <w:r>
              <w:t>Ejecutado enteramente en el navegador del teléfono móvil sin latencia de red ni consumo de cuotas.</w:t>
            </w:r>
          </w:p>
        </w:tc>
      </w:tr>
      <w:tr>
        <w:tc>
          <w:tcPr>
            <w:tcW w:type="dxa" w:w="3120"/>
            <w:tcBorders>
              <w:top w:val="none"/>
              <w:bottom w:val="none"/>
              <w:left w:val="none"/>
              <w:right w:val="none"/>
            </w:tcBorders>
            <w:tcMar>
              <w:top w:w="70" w:type="dxa"/>
              <w:bottom w:w="70" w:type="dxa"/>
              <w:left w:w="100" w:type="dxa"/>
              <w:right w:w="100" w:type="dxa"/>
            </w:tcMar>
          </w:tcPr>
          <w:p>
            <w:r>
              <w:rPr>
                <w:b/>
              </w:rPr>
              <w:t>Cloud Firestore NoSQL</w:t>
            </w:r>
          </w:p>
        </w:tc>
        <w:tc>
          <w:tcPr>
            <w:tcW w:type="dxa" w:w="3120"/>
            <w:tcBorders>
              <w:top w:val="none"/>
              <w:bottom w:val="none"/>
              <w:left w:val="none"/>
              <w:right w:val="none"/>
            </w:tcBorders>
            <w:tcMar>
              <w:top w:w="70" w:type="dxa"/>
              <w:bottom w:w="70" w:type="dxa"/>
              <w:left w:w="100" w:type="dxa"/>
              <w:right w:w="100" w:type="dxa"/>
            </w:tcMar>
          </w:tcPr>
          <w:p>
            <w:r>
              <w:t>Cloud Firebase BaaS</w:t>
            </w:r>
          </w:p>
        </w:tc>
        <w:tc>
          <w:tcPr>
            <w:tcW w:type="dxa" w:w="3120"/>
            <w:tcBorders>
              <w:top w:val="none"/>
              <w:bottom w:val="none"/>
              <w:left w:val="none"/>
              <w:right w:val="none"/>
            </w:tcBorders>
            <w:tcMar>
              <w:top w:w="70" w:type="dxa"/>
              <w:bottom w:w="70" w:type="dxa"/>
              <w:left w:w="100" w:type="dxa"/>
              <w:right w:w="100" w:type="dxa"/>
            </w:tcMar>
          </w:tcPr>
          <w:p>
            <w:r>
              <w:t>Base documental distribuida multirregión con absorción de hasta 500 sesiones concurrentes (RNF-005).</w:t>
            </w:r>
          </w:p>
        </w:tc>
      </w:tr>
      <w:tr>
        <w:tc>
          <w:tcPr>
            <w:tcW w:type="dxa" w:w="3120"/>
            <w:tcBorders>
              <w:top w:val="none"/>
              <w:bottom w:val="single" w:sz="12" w:space="0" w:color="000000"/>
              <w:left w:val="none"/>
              <w:right w:val="none"/>
            </w:tcBorders>
            <w:tcMar>
              <w:top w:w="70" w:type="dxa"/>
              <w:bottom w:w="70" w:type="dxa"/>
              <w:left w:w="100" w:type="dxa"/>
              <w:right w:w="100" w:type="dxa"/>
            </w:tcMar>
          </w:tcPr>
          <w:p>
            <w:r>
              <w:rPr>
                <w:b/>
              </w:rPr>
              <w:t>Reverse Proxy Nginx</w:t>
            </w:r>
          </w:p>
        </w:tc>
        <w:tc>
          <w:tcPr>
            <w:tcW w:type="dxa" w:w="3120"/>
            <w:tcBorders>
              <w:top w:val="none"/>
              <w:bottom w:val="single" w:sz="12" w:space="0" w:color="000000"/>
              <w:left w:val="none"/>
              <w:right w:val="none"/>
            </w:tcBorders>
            <w:tcMar>
              <w:top w:w="70" w:type="dxa"/>
              <w:bottom w:w="70" w:type="dxa"/>
              <w:left w:w="100" w:type="dxa"/>
              <w:right w:w="100" w:type="dxa"/>
            </w:tcMar>
          </w:tcPr>
          <w:p>
            <w:r>
              <w:t>VPS Linux UPDS</w:t>
            </w:r>
          </w:p>
        </w:tc>
        <w:tc>
          <w:tcPr>
            <w:tcW w:type="dxa" w:w="3120"/>
            <w:tcBorders>
              <w:top w:val="none"/>
              <w:bottom w:val="single" w:sz="12" w:space="0" w:color="000000"/>
              <w:left w:val="none"/>
              <w:right w:val="none"/>
            </w:tcBorders>
            <w:tcMar>
              <w:top w:w="70" w:type="dxa"/>
              <w:bottom w:w="70" w:type="dxa"/>
              <w:left w:w="100" w:type="dxa"/>
              <w:right w:w="100" w:type="dxa"/>
            </w:tcMar>
          </w:tcPr>
          <w:p>
            <w:r>
              <w:t>Servidor HTTP/2 sobre Debian 12 con compresión Brotli/Gzip para imágenes WebP &lt; 100KB y datos abiertos.</w:t>
            </w:r>
          </w:p>
        </w:tc>
      </w:tr>
    </w:tbl>
    <w:p>
      <w:pPr>
        <w:spacing w:before="200" w:after="80" w:line="360" w:lineRule="auto"/>
        <w:jc w:val="left"/>
      </w:pPr>
      <w:r>
        <w:rPr>
          <w:rFonts w:ascii="Times New Roman" w:hAnsi="Times New Roman"/>
          <w:b/>
          <w:i/>
          <w:sz w:val="24"/>
        </w:rPr>
        <w:t>3. Análisis de Relaciones e Interfaces de Comunicación</w:t>
      </w:r>
    </w:p>
    <w:p>
      <w:pPr>
        <w:spacing w:line="360" w:lineRule="auto" w:after="120" w:before="0"/>
        <w:jc w:val="left"/>
      </w:pPr>
      <w:r>
        <w:rPr>
          <w:rFonts w:ascii="Times New Roman" w:hAnsi="Times New Roman"/>
          <w:b w:val="0"/>
          <w:i w:val="0"/>
          <w:sz w:val="24"/>
        </w:rPr>
        <w:t>• Conectores HTTP/2 y TLS 1.3: Todo el tráfico entre el Service Worker y los servicios remotos (Firebase y Nginx) viaja cifrado con suite AES-GCM-256 sobre HTTPS.</w:t>
        <w:br/>
        <w:t>• Background Sync API: Conector asíncrono no bloqueante entre IndexedDB y Firestore. Si la conexión cae, las evaluaciones quedan almacenadas en la memoria local y el navegador dispara la sincronización automáticamente al detectar conectividad.</w:t>
      </w:r>
    </w:p>
    <w:p>
      <w:pPr>
        <w:spacing w:before="200" w:after="80" w:line="360" w:lineRule="auto"/>
        <w:jc w:val="left"/>
      </w:pPr>
      <w:r>
        <w:rPr>
          <w:rFonts w:ascii="Times New Roman" w:hAnsi="Times New Roman"/>
          <w:b/>
          <w:i/>
          <w:sz w:val="24"/>
        </w:rPr>
        <w:t>4. Seguridad y Gobernanza</w:t>
      </w:r>
    </w:p>
    <w:p>
      <w:pPr>
        <w:spacing w:line="360" w:lineRule="auto" w:after="120" w:before="0"/>
        <w:jc w:val="left"/>
      </w:pPr>
      <w:r>
        <w:rPr>
          <w:rFonts w:ascii="Times New Roman" w:hAnsi="Times New Roman"/>
          <w:b w:val="0"/>
          <w:i w:val="0"/>
          <w:sz w:val="24"/>
        </w:rPr>
        <w:t>• Reglas Declarativas (`firestore.rules`): Validan en el servidor que las escrituras coincidan con el UID del token JWT.</w:t>
        <w:br/>
        <w:t>• Aislamiento de Datos Abiertos (RS-004): El endpoint del VPS exporta el corpus léxico en CSV/JSON previa purga de cualquier dato de identificación personal.</w:t>
      </w:r>
    </w:p>
    <w:p>
      <w:pPr>
        <w:spacing w:before="200" w:after="80" w:line="360" w:lineRule="auto"/>
        <w:jc w:val="left"/>
      </w:pPr>
      <w:r>
        <w:rPr>
          <w:rFonts w:ascii="Times New Roman" w:hAnsi="Times New Roman"/>
          <w:b/>
          <w:i/>
          <w:sz w:val="24"/>
        </w:rPr>
        <w:t>5. Guía de Explicación para Evaluación Oral</w:t>
      </w:r>
    </w:p>
    <w:p>
      <w:pPr>
        <w:spacing w:line="360" w:lineRule="auto" w:after="120" w:before="0"/>
        <w:jc w:val="left"/>
      </w:pPr>
      <w:r>
        <w:rPr>
          <w:rFonts w:ascii="Times New Roman" w:hAnsi="Times New Roman"/>
          <w:b w:val="0"/>
          <w:i w:val="0"/>
          <w:sz w:val="24"/>
        </w:rPr>
        <w:t>• Pregunta: ¿Por qué en la arquitectura no hay un rombo de decisión para comprobar si hay internet antes de conectarse?</w:t>
        <w:br/>
        <w:t xml:space="preserve">  Respuesta: Porque un diagrama de arquitectura describe componentes, límites y protocolos de red, no control de flujo procedimental. En una PWA, la UI siempre despacha peticiones estándar HTTP; es el Service Worker quien resuelve si responde desde la Cache API o delega a la red. Colocar un rombo de decisión en la red es un error conceptual que confunde arquitectura con un diagrama de actividades.</w:t>
      </w:r>
    </w:p>
    <w:p>
      <w:r>
        <w:br w:type="page"/>
      </w:r>
    </w:p>
    <w:p>
      <w:pPr>
        <w:spacing w:before="360" w:after="200" w:line="360" w:lineRule="auto"/>
        <w:jc w:val="center"/>
      </w:pPr>
      <w:r>
        <w:rPr>
          <w:rFonts w:ascii="Times New Roman" w:hAnsi="Times New Roman"/>
          <w:b/>
          <w:sz w:val="28"/>
        </w:rPr>
        <w:t>CAPÍTULO III: DIAGRAMA 2 — CLASES DEL DOMINIO PEDAGÓGICO Y MOTOR IA</w:t>
      </w:r>
    </w:p>
    <w:p>
      <w:pPr>
        <w:spacing w:before="280" w:after="120" w:line="360" w:lineRule="auto"/>
        <w:jc w:val="left"/>
      </w:pPr>
      <w:r>
        <w:rPr>
          <w:rFonts w:ascii="Times New Roman" w:hAnsi="Times New Roman"/>
          <w:b/>
          <w:sz w:val="26"/>
        </w:rPr>
        <w:t>3.1 Representación de Clases Orientada a Objetos (Mermaid)</w:t>
      </w:r>
    </w:p>
    <w:p>
      <w:pPr>
        <w:spacing w:before="80" w:after="160" w:line="276" w:lineRule="auto"/>
        <w:ind w:left="576"/>
      </w:pPr>
      <w:r>
        <w:rPr>
          <w:rFonts w:ascii="Courier New" w:hAnsi="Courier New"/>
          <w:color w:val="1E293B"/>
          <w:sz w:val="19"/>
        </w:rPr>
        <w:t>classDiagram</w:t>
        <w:br/>
        <w:t xml:space="preserve">  namespace PresentationAndState {</w:t>
        <w:br/>
        <w:t xml:space="preserve">    class EvaluationController {</w:t>
        <w:br/>
        <w:t xml:space="preserve">      -IEvaluationEngine evaluationEngine</w:t>
        <w:br/>
        <w:t xml:space="preserve">      -IOfflineFirstRepository repository</w:t>
        <w:br/>
        <w:t xml:space="preserve">      -StudentSession activeSession</w:t>
        <w:br/>
        <w:t xml:space="preserve">      +initExam(levelId: int) void</w:t>
        <w:br/>
        <w:t xml:space="preserve">      +submitAnswer(questionId: String, selectedOption: String) void</w:t>
        <w:br/>
        <w:t xml:space="preserve">      +finalizeExam() EvaluationResult</w:t>
        <w:br/>
        <w:t xml:space="preserve">    }</w:t>
        <w:br/>
        <w:t xml:space="preserve">    class StudentSession {</w:t>
        <w:br/>
        <w:t xml:space="preserve">      -String studentId</w:t>
        <w:br/>
        <w:t xml:space="preserve">      -int currentLevel</w:t>
        <w:br/>
        <w:t xml:space="preserve">      -int currentStreak</w:t>
        <w:br/>
        <w:t xml:space="preserve">      +updateStreak() void</w:t>
        <w:br/>
        <w:t xml:space="preserve">    }</w:t>
        <w:br/>
        <w:t xml:space="preserve">  }</w:t>
        <w:br/>
        <w:t xml:space="preserve">  namespace CoreLearningDomain {</w:t>
        <w:br/>
        <w:t xml:space="preserve">    class Evaluation {</w:t>
        <w:br/>
        <w:t xml:space="preserve">      -String evaluationId</w:t>
        <w:br/>
        <w:t xml:space="preserve">      -String studentId</w:t>
        <w:br/>
        <w:t xml:space="preserve">      -int levelId</w:t>
        <w:br/>
        <w:t xml:space="preserve">      -int scorePercentage</w:t>
        <w:br/>
        <w:t xml:space="preserve">      -boolean isSynchronized</w:t>
        <w:br/>
        <w:t xml:space="preserve">      +calculateScore() int</w:t>
        <w:br/>
        <w:t xml:space="preserve">      +isPassed() boolean</w:t>
        <w:br/>
        <w:t xml:space="preserve">    }</w:t>
        <w:br/>
        <w:t xml:space="preserve">    class Question {</w:t>
        <w:br/>
        <w:t xml:space="preserve">      -String questionId</w:t>
        <w:br/>
        <w:t xml:space="preserve">      -String statementText</w:t>
        <w:br/>
        <w:t xml:space="preserve">      -String correctOption</w:t>
        <w:br/>
        <w:t xml:space="preserve">      -List~String~ distractors</w:t>
        <w:br/>
        <w:t xml:space="preserve">      -boolean isCorrect</w:t>
        <w:br/>
        <w:t xml:space="preserve">      +evaluateAnswer(selected: String) boolean</w:t>
        <w:br/>
        <w:t xml:space="preserve">    }</w:t>
        <w:br/>
        <w:t xml:space="preserve">  }</w:t>
        <w:br/>
        <w:t xml:space="preserve">  namespace SecurityAndDeterministicAI {</w:t>
        <w:br/>
        <w:t xml:space="preserve">    class IEvaluationEngine {</w:t>
        <w:br/>
        <w:t xml:space="preserve">      &lt;&lt;interface&gt;&gt;</w:t>
        <w:br/>
        <w:t xml:space="preserve">      +generateAssessment(levelId: int, baseCorpus: List~BaseSentence~) List~Question~</w:t>
        <w:br/>
        <w:t xml:space="preserve">      +validateAnswerDeterministically(qId: String, selected: String) boolean</w:t>
        <w:br/>
        <w:t xml:space="preserve">    }</w:t>
        <w:br/>
        <w:t xml:space="preserve">    class DeterministicAIEngine {</w:t>
        <w:br/>
        <w:t xml:space="preserve">      -int PASSING_THRESHOLD = 70</w:t>
        <w:br/>
        <w:t xml:space="preserve">      -int ITEMS_PER_TEST = 10</w:t>
        <w:br/>
        <w:t xml:space="preserve">      +generateAssessment(levelId: int, baseCorpus: List~BaseSentence~) List~Question~</w:t>
        <w:br/>
        <w:t xml:space="preserve">    }</w:t>
        <w:br/>
        <w:t xml:space="preserve">    class BaseSentence {</w:t>
        <w:br/>
        <w:t xml:space="preserve">      -String authorTeacherId</w:t>
        <w:br/>
        <w:t xml:space="preserve">      -String validatorTeacherId</w:t>
        <w:br/>
        <w:t xml:space="preserve">      -String culturalContext</w:t>
        <w:br/>
        <w:t xml:space="preserve">      +isApprovedForExams() boolean</w:t>
        <w:br/>
        <w:t xml:space="preserve">    }</w:t>
        <w:br/>
        <w:t xml:space="preserve">  }</w:t>
        <w:br/>
        <w:t xml:space="preserve">  EvaluationController ..&gt; IEvaluationEngine : DIP</w:t>
        <w:br/>
        <w:t xml:space="preserve">  IEvaluationEngine &lt;|.. DeterministicAIEngine : Realización</w:t>
        <w:br/>
        <w:t xml:space="preserve">  Evaluation "1" *-- "10" Question : Composición Estricta</w:t>
        <w:br/>
        <w:t xml:space="preserve">  EvaluationController o-- "1" StudentSession : Agregación</w:t>
      </w:r>
    </w:p>
    <w:p>
      <w:pPr>
        <w:spacing w:before="280" w:after="120" w:line="360" w:lineRule="auto"/>
        <w:jc w:val="left"/>
      </w:pPr>
      <w:r>
        <w:rPr>
          <w:rFonts w:ascii="Times New Roman" w:hAnsi="Times New Roman"/>
          <w:b/>
          <w:sz w:val="26"/>
        </w:rPr>
        <w:t>3.2 Desglose Técnico IEEE 1016</w:t>
      </w:r>
    </w:p>
    <w:p>
      <w:pPr>
        <w:spacing w:before="200" w:after="80" w:line="360" w:lineRule="auto"/>
        <w:jc w:val="left"/>
      </w:pPr>
      <w:r>
        <w:rPr>
          <w:rFonts w:ascii="Times New Roman" w:hAnsi="Times New Roman"/>
          <w:b/>
          <w:i/>
          <w:sz w:val="24"/>
        </w:rPr>
        <w:t>1. Resumen Ejecutivo</w:t>
      </w:r>
    </w:p>
    <w:p>
      <w:pPr>
        <w:spacing w:line="360" w:lineRule="auto" w:after="120" w:before="0"/>
        <w:jc w:val="left"/>
      </w:pPr>
      <w:r>
        <w:rPr>
          <w:rFonts w:ascii="Times New Roman" w:hAnsi="Times New Roman"/>
          <w:b w:val="0"/>
          <w:i w:val="0"/>
          <w:sz w:val="24"/>
        </w:rPr>
        <w:t>Modela la estructura estática del dominio pedagógico de YAPU, encapsulando la lógica de evaluación y generación algorítmica mediante abstracciones orientadas a objetos y bajo acoplamiento.</w:t>
      </w:r>
    </w:p>
    <w:p>
      <w:pPr>
        <w:spacing w:before="200" w:after="80" w:line="360" w:lineRule="auto"/>
        <w:jc w:val="left"/>
      </w:pPr>
      <w:r>
        <w:rPr>
          <w:rFonts w:ascii="Times New Roman" w:hAnsi="Times New Roman"/>
          <w:b/>
          <w:i/>
          <w:sz w:val="24"/>
        </w:rPr>
        <w:t>2. Diccionario de Clases y Justificación de Tipos</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12" w:space="0" w:color="000000"/>
              <w:bottom w:val="single" w:sz="6" w:space="0" w:color="000000"/>
              <w:left w:val="none"/>
              <w:right w:val="none"/>
            </w:tcBorders>
            <w:tcMar>
              <w:top w:w="70" w:type="dxa"/>
              <w:bottom w:w="70" w:type="dxa"/>
              <w:left w:w="100" w:type="dxa"/>
              <w:right w:w="100" w:type="dxa"/>
            </w:tcMar>
          </w:tcPr>
          <w:p>
            <w:r>
              <w:rPr>
                <w:b/>
              </w:rPr>
              <w:t>Clase / Interfaz</w:t>
            </w:r>
          </w:p>
        </w:tc>
        <w:tc>
          <w:tcPr>
            <w:tcW w:type="dxa" w:w="3120"/>
            <w:tcBorders>
              <w:top w:val="single" w:sz="12" w:space="0" w:color="000000"/>
              <w:bottom w:val="single" w:sz="6" w:space="0" w:color="000000"/>
              <w:left w:val="none"/>
              <w:right w:val="none"/>
            </w:tcBorders>
            <w:tcMar>
              <w:top w:w="70" w:type="dxa"/>
              <w:bottom w:w="70" w:type="dxa"/>
              <w:left w:w="100" w:type="dxa"/>
              <w:right w:w="100" w:type="dxa"/>
            </w:tcMar>
          </w:tcPr>
          <w:p>
            <w:r>
              <w:rPr>
                <w:b/>
              </w:rPr>
              <w:t>Atributos Críticos y Tipos</w:t>
            </w:r>
          </w:p>
        </w:tc>
        <w:tc>
          <w:tcPr>
            <w:tcW w:type="dxa" w:w="3120"/>
            <w:tcBorders>
              <w:top w:val="single" w:sz="12" w:space="0" w:color="000000"/>
              <w:bottom w:val="single" w:sz="6" w:space="0" w:color="000000"/>
              <w:left w:val="none"/>
              <w:right w:val="none"/>
            </w:tcBorders>
            <w:tcMar>
              <w:top w:w="70" w:type="dxa"/>
              <w:bottom w:w="70" w:type="dxa"/>
              <w:left w:w="100" w:type="dxa"/>
              <w:right w:w="100" w:type="dxa"/>
            </w:tcMar>
          </w:tcPr>
          <w:p>
            <w:r>
              <w:rPr>
                <w:b/>
              </w:rPr>
              <w:t>Justificación Técnica de Tipos y Operaciones</w:t>
            </w:r>
          </w:p>
        </w:tc>
      </w:tr>
      <w:tr>
        <w:tc>
          <w:tcPr>
            <w:tcW w:type="dxa" w:w="3120"/>
            <w:tcBorders>
              <w:top w:val="none"/>
              <w:bottom w:val="none"/>
              <w:left w:val="none"/>
              <w:right w:val="none"/>
            </w:tcBorders>
            <w:tcMar>
              <w:top w:w="70" w:type="dxa"/>
              <w:bottom w:w="70" w:type="dxa"/>
              <w:left w:w="100" w:type="dxa"/>
              <w:right w:w="100" w:type="dxa"/>
            </w:tcMar>
          </w:tcPr>
          <w:p>
            <w:r>
              <w:rPr>
                <w:b/>
              </w:rPr>
              <w:t>EvaluationController</w:t>
            </w:r>
          </w:p>
        </w:tc>
        <w:tc>
          <w:tcPr>
            <w:tcW w:type="dxa" w:w="3120"/>
            <w:tcBorders>
              <w:top w:val="none"/>
              <w:bottom w:val="none"/>
              <w:left w:val="none"/>
              <w:right w:val="none"/>
            </w:tcBorders>
            <w:tcMar>
              <w:top w:w="70" w:type="dxa"/>
              <w:bottom w:w="70" w:type="dxa"/>
              <w:left w:w="100" w:type="dxa"/>
              <w:right w:w="100" w:type="dxa"/>
            </w:tcMar>
          </w:tcPr>
          <w:p>
            <w:r>
              <w:t>IEvaluationEngine engine</w:t>
              <w:br/>
              <w:t>StudentSession session</w:t>
            </w:r>
          </w:p>
        </w:tc>
        <w:tc>
          <w:tcPr>
            <w:tcW w:type="dxa" w:w="3120"/>
            <w:tcBorders>
              <w:top w:val="none"/>
              <w:bottom w:val="none"/>
              <w:left w:val="none"/>
              <w:right w:val="none"/>
            </w:tcBorders>
            <w:tcMar>
              <w:top w:w="70" w:type="dxa"/>
              <w:bottom w:w="70" w:type="dxa"/>
              <w:left w:w="100" w:type="dxa"/>
              <w:right w:w="100" w:type="dxa"/>
            </w:tcMar>
          </w:tcPr>
          <w:p>
            <w:r>
              <w:t>Controlador GRASP desacoplado. Depende de interfaces para permitir pruebas unitarias automatizadas con Mocks.</w:t>
            </w:r>
          </w:p>
        </w:tc>
      </w:tr>
      <w:tr>
        <w:tc>
          <w:tcPr>
            <w:tcW w:type="dxa" w:w="3120"/>
            <w:tcBorders>
              <w:top w:val="none"/>
              <w:bottom w:val="none"/>
              <w:left w:val="none"/>
              <w:right w:val="none"/>
            </w:tcBorders>
            <w:tcMar>
              <w:top w:w="70" w:type="dxa"/>
              <w:bottom w:w="70" w:type="dxa"/>
              <w:left w:w="100" w:type="dxa"/>
              <w:right w:w="100" w:type="dxa"/>
            </w:tcMar>
          </w:tcPr>
          <w:p>
            <w:r>
              <w:rPr>
                <w:b/>
              </w:rPr>
              <w:t>Evaluation</w:t>
            </w:r>
          </w:p>
        </w:tc>
        <w:tc>
          <w:tcPr>
            <w:tcW w:type="dxa" w:w="3120"/>
            <w:tcBorders>
              <w:top w:val="none"/>
              <w:bottom w:val="none"/>
              <w:left w:val="none"/>
              <w:right w:val="none"/>
            </w:tcBorders>
            <w:tcMar>
              <w:top w:w="70" w:type="dxa"/>
              <w:bottom w:w="70" w:type="dxa"/>
              <w:left w:w="100" w:type="dxa"/>
              <w:right w:w="100" w:type="dxa"/>
            </w:tcMar>
          </w:tcPr>
          <w:p>
            <w:r>
              <w:t>String evaluationId</w:t>
              <w:br/>
              <w:t>int scorePercentage</w:t>
            </w:r>
          </w:p>
        </w:tc>
        <w:tc>
          <w:tcPr>
            <w:tcW w:type="dxa" w:w="3120"/>
            <w:tcBorders>
              <w:top w:val="none"/>
              <w:bottom w:val="none"/>
              <w:left w:val="none"/>
              <w:right w:val="none"/>
            </w:tcBorders>
            <w:tcMar>
              <w:top w:w="70" w:type="dxa"/>
              <w:bottom w:w="70" w:type="dxa"/>
              <w:left w:w="100" w:type="dxa"/>
              <w:right w:w="100" w:type="dxa"/>
            </w:tcMar>
          </w:tcPr>
          <w:p>
            <w:r>
              <w:t>evaluationId tipado como String UUIDv4. scorePercentage se maneja como int [0..100] para evitar errores de precisión flotante.</w:t>
            </w:r>
          </w:p>
        </w:tc>
      </w:tr>
      <w:tr>
        <w:tc>
          <w:tcPr>
            <w:tcW w:type="dxa" w:w="3120"/>
            <w:tcBorders>
              <w:top w:val="none"/>
              <w:bottom w:val="none"/>
              <w:left w:val="none"/>
              <w:right w:val="none"/>
            </w:tcBorders>
            <w:tcMar>
              <w:top w:w="70" w:type="dxa"/>
              <w:bottom w:w="70" w:type="dxa"/>
              <w:left w:w="100" w:type="dxa"/>
              <w:right w:w="100" w:type="dxa"/>
            </w:tcMar>
          </w:tcPr>
          <w:p>
            <w:r>
              <w:rPr>
                <w:b/>
              </w:rPr>
              <w:t>Question</w:t>
            </w:r>
          </w:p>
        </w:tc>
        <w:tc>
          <w:tcPr>
            <w:tcW w:type="dxa" w:w="3120"/>
            <w:tcBorders>
              <w:top w:val="none"/>
              <w:bottom w:val="none"/>
              <w:left w:val="none"/>
              <w:right w:val="none"/>
            </w:tcBorders>
            <w:tcMar>
              <w:top w:w="70" w:type="dxa"/>
              <w:bottom w:w="70" w:type="dxa"/>
              <w:left w:w="100" w:type="dxa"/>
              <w:right w:w="100" w:type="dxa"/>
            </w:tcMar>
          </w:tcPr>
          <w:p>
            <w:r>
              <w:t>List&lt;String&gt; distractors</w:t>
              <w:br/>
              <w:t>boolean isCorrect</w:t>
            </w:r>
          </w:p>
        </w:tc>
        <w:tc>
          <w:tcPr>
            <w:tcW w:type="dxa" w:w="3120"/>
            <w:tcBorders>
              <w:top w:val="none"/>
              <w:bottom w:val="none"/>
              <w:left w:val="none"/>
              <w:right w:val="none"/>
            </w:tcBorders>
            <w:tcMar>
              <w:top w:w="70" w:type="dxa"/>
              <w:bottom w:w="70" w:type="dxa"/>
              <w:left w:w="100" w:type="dxa"/>
              <w:right w:w="100" w:type="dxa"/>
            </w:tcMar>
          </w:tcPr>
          <w:p>
            <w:r>
              <w:t>Modela cada reactivo del examen. Contiene exactamente 3 distractores verosímiles de la misma categoría gramatical.</w:t>
            </w:r>
          </w:p>
        </w:tc>
      </w:tr>
      <w:tr>
        <w:tc>
          <w:tcPr>
            <w:tcW w:type="dxa" w:w="3120"/>
            <w:tcBorders>
              <w:top w:val="none"/>
              <w:bottom w:val="single" w:sz="12" w:space="0" w:color="000000"/>
              <w:left w:val="none"/>
              <w:right w:val="none"/>
            </w:tcBorders>
            <w:tcMar>
              <w:top w:w="70" w:type="dxa"/>
              <w:bottom w:w="70" w:type="dxa"/>
              <w:left w:w="100" w:type="dxa"/>
              <w:right w:w="100" w:type="dxa"/>
            </w:tcMar>
          </w:tcPr>
          <w:p>
            <w:r>
              <w:rPr>
                <w:b/>
              </w:rPr>
              <w:t>IEvaluationEngine</w:t>
            </w:r>
          </w:p>
        </w:tc>
        <w:tc>
          <w:tcPr>
            <w:tcW w:type="dxa" w:w="3120"/>
            <w:tcBorders>
              <w:top w:val="none"/>
              <w:bottom w:val="single" w:sz="12" w:space="0" w:color="000000"/>
              <w:left w:val="none"/>
              <w:right w:val="none"/>
            </w:tcBorders>
            <w:tcMar>
              <w:top w:w="70" w:type="dxa"/>
              <w:bottom w:w="70" w:type="dxa"/>
              <w:left w:w="100" w:type="dxa"/>
              <w:right w:w="100" w:type="dxa"/>
            </w:tcMar>
          </w:tcPr>
          <w:p>
            <w:r>
              <w:t>generateAssessment()</w:t>
              <w:br/>
              <w:t>validateAnswer()</w:t>
            </w:r>
          </w:p>
        </w:tc>
        <w:tc>
          <w:tcPr>
            <w:tcW w:type="dxa" w:w="3120"/>
            <w:tcBorders>
              <w:top w:val="none"/>
              <w:bottom w:val="single" w:sz="12" w:space="0" w:color="000000"/>
              <w:left w:val="none"/>
              <w:right w:val="none"/>
            </w:tcBorders>
            <w:tcMar>
              <w:top w:w="70" w:type="dxa"/>
              <w:bottom w:w="70" w:type="dxa"/>
              <w:left w:w="100" w:type="dxa"/>
              <w:right w:w="100" w:type="dxa"/>
            </w:tcMar>
          </w:tcPr>
          <w:p>
            <w:r>
              <w:t>Contrato abstracto de evaluación. Permite sustituir la implementación del motor sin alterar la UI ni la controladora.</w:t>
            </w:r>
          </w:p>
        </w:tc>
      </w:tr>
    </w:tbl>
    <w:p>
      <w:pPr>
        <w:spacing w:before="200" w:after="80" w:line="360" w:lineRule="auto"/>
        <w:jc w:val="left"/>
      </w:pPr>
      <w:r>
        <w:rPr>
          <w:rFonts w:ascii="Times New Roman" w:hAnsi="Times New Roman"/>
          <w:b/>
          <w:i/>
          <w:sz w:val="24"/>
        </w:rPr>
        <w:t>3. Análisis de Relaciones SOLID</w:t>
      </w:r>
    </w:p>
    <w:p>
      <w:pPr>
        <w:spacing w:line="360" w:lineRule="auto" w:after="120" w:before="0"/>
        <w:jc w:val="left"/>
      </w:pPr>
      <w:r>
        <w:rPr>
          <w:rFonts w:ascii="Times New Roman" w:hAnsi="Times New Roman"/>
          <w:b w:val="0"/>
          <w:i w:val="0"/>
          <w:sz w:val="24"/>
        </w:rPr>
        <w:t>• Composición Estricta (`Evaluation *-- Question`): Las 10 preguntas carecen de ciclo de vida o identidad ontológica fuera de la evaluación en que se generaron; si la evaluación se destruye o reinicia, las preguntas se purgan simultáneamente.</w:t>
        <w:br/>
        <w:t>• Agregación (`EvaluationController o-- StudentSession`): La sesión del estudiante preexiste a cualquier examen individual y sobrevive a él.</w:t>
        <w:br/>
        <w:t>• Inversión de Dependencias (DIP): `EvaluationController` depende de `IEvaluationEngine`, no de la clase concreta `DeterministicAIEngine`.</w:t>
      </w:r>
    </w:p>
    <w:p>
      <w:pPr>
        <w:spacing w:before="200" w:after="80" w:line="360" w:lineRule="auto"/>
        <w:jc w:val="left"/>
      </w:pPr>
      <w:r>
        <w:rPr>
          <w:rFonts w:ascii="Times New Roman" w:hAnsi="Times New Roman"/>
          <w:b/>
          <w:i/>
          <w:sz w:val="24"/>
        </w:rPr>
        <w:t>4. Seguridad y Determinismo Algorítmico</w:t>
      </w:r>
    </w:p>
    <w:p>
      <w:pPr>
        <w:spacing w:line="360" w:lineRule="auto" w:after="120" w:before="0"/>
        <w:jc w:val="left"/>
      </w:pPr>
      <w:r>
        <w:rPr>
          <w:rFonts w:ascii="Times New Roman" w:hAnsi="Times New Roman"/>
          <w:b w:val="0"/>
          <w:i w:val="0"/>
          <w:sz w:val="24"/>
        </w:rPr>
        <w:t>El motor opera con funciones puras en TypeScript. A partir de una semilla determinista y un banco estático certificado, la salida es matemáticamente predecible y reproducible, eliminando por completo cualquier riesgo de alucinación lingüística.</w:t>
      </w:r>
    </w:p>
    <w:p>
      <w:pPr>
        <w:spacing w:before="200" w:after="80" w:line="360" w:lineRule="auto"/>
        <w:jc w:val="left"/>
      </w:pPr>
      <w:r>
        <w:rPr>
          <w:rFonts w:ascii="Times New Roman" w:hAnsi="Times New Roman"/>
          <w:b/>
          <w:i/>
          <w:sz w:val="24"/>
        </w:rPr>
        <w:t>5. Guía de Evaluación Oral</w:t>
      </w:r>
    </w:p>
    <w:p>
      <w:pPr>
        <w:spacing w:line="360" w:lineRule="auto" w:after="120" w:before="0"/>
        <w:jc w:val="left"/>
      </w:pPr>
      <w:r>
        <w:rPr>
          <w:rFonts w:ascii="Times New Roman" w:hAnsi="Times New Roman"/>
          <w:b w:val="0"/>
          <w:i w:val="0"/>
          <w:sz w:val="24"/>
        </w:rPr>
        <w:t>• Pregunta: ¿Por qué la relación entre Evaluation y Question no es agregación?</w:t>
        <w:br/>
        <w:t xml:space="preserve">  Respuesta: Porque una agregación implicaría que una pregunta puede existir de forma independiente sin una evaluación. En YAPU, las preguntas se sintetizan dinámicamente con permutaciones específicas para ese intento. No existe una pregunta huérfana en el sistema.</w:t>
      </w:r>
    </w:p>
    <w:p>
      <w:r>
        <w:br w:type="page"/>
      </w:r>
    </w:p>
    <w:p>
      <w:pPr>
        <w:spacing w:before="360" w:after="200" w:line="360" w:lineRule="auto"/>
        <w:jc w:val="center"/>
      </w:pPr>
      <w:r>
        <w:rPr>
          <w:rFonts w:ascii="Times New Roman" w:hAnsi="Times New Roman"/>
          <w:b/>
          <w:sz w:val="28"/>
        </w:rPr>
        <w:t>CAPÍTULO IV: DIAGRAMA 3 — PERSISTENCIA MULTIBASE DE DATOS (INDEXEDDB VS FIRESTORE)</w:t>
      </w:r>
    </w:p>
    <w:p>
      <w:pPr>
        <w:spacing w:before="280" w:after="120" w:line="360" w:lineRule="auto"/>
        <w:jc w:val="left"/>
      </w:pPr>
      <w:r>
        <w:rPr>
          <w:rFonts w:ascii="Times New Roman" w:hAnsi="Times New Roman"/>
          <w:b/>
          <w:sz w:val="26"/>
        </w:rPr>
        <w:t>4.1 Representación de Clases de Persistencia Multibase (Mermaid)</w:t>
      </w:r>
    </w:p>
    <w:p>
      <w:pPr>
        <w:spacing w:before="80" w:after="160" w:line="276" w:lineRule="auto"/>
        <w:ind w:left="576"/>
      </w:pPr>
      <w:r>
        <w:rPr>
          <w:rFonts w:ascii="Courier New" w:hAnsi="Courier New"/>
          <w:color w:val="1E293B"/>
          <w:sz w:val="19"/>
        </w:rPr>
        <w:t>classDiagram</w:t>
        <w:br/>
        <w:t xml:space="preserve">  namespace Local_IndexedDB_Schemas {</w:t>
        <w:br/>
        <w:t xml:space="preserve">    class EvaluationStoreRecord {</w:t>
        <w:br/>
        <w:t xml:space="preserve">      +String evaluationId : keyPath</w:t>
        <w:br/>
        <w:t xml:space="preserve">      +int levelId : index_by_level</w:t>
        <w:br/>
        <w:t xml:space="preserve">      +String syncStatus : index_by_status</w:t>
        <w:br/>
        <w:t xml:space="preserve">      +int scorePercentage</w:t>
        <w:br/>
        <w:t xml:space="preserve">      +String questionsPayloadJSON</w:t>
        <w:br/>
        <w:t xml:space="preserve">    }</w:t>
        <w:br/>
        <w:t xml:space="preserve">    class SyncQueueRecord {</w:t>
        <w:br/>
        <w:t xml:space="preserve">      +String queueId : keyPath</w:t>
        <w:br/>
        <w:t xml:space="preserve">      +String entityType : index_by_entity</w:t>
        <w:br/>
        <w:t xml:space="preserve">      +String operationType</w:t>
        <w:br/>
        <w:t xml:space="preserve">      +String payloadJSON</w:t>
        <w:br/>
        <w:t xml:space="preserve">      +int retryCount</w:t>
        <w:br/>
        <w:t xml:space="preserve">    }</w:t>
        <w:br/>
        <w:t xml:space="preserve">  }</w:t>
        <w:br/>
        <w:t xml:space="preserve">  namespace Remote_Firestore_Schemas {</w:t>
        <w:br/>
        <w:t xml:space="preserve">    class FirestoreEvaluationDocument {</w:t>
        <w:br/>
        <w:t xml:space="preserve">      +String docId : path_evaluaciones_id</w:t>
        <w:br/>
        <w:t xml:space="preserve">      +String studentUid : indexed_field</w:t>
        <w:br/>
        <w:t xml:space="preserve">      +Timestamp createdAt : server_timestamp</w:t>
        <w:br/>
        <w:t xml:space="preserve">      +int scorePercentage</w:t>
        <w:br/>
        <w:t xml:space="preserve">    }</w:t>
        <w:br/>
        <w:t xml:space="preserve">    class FirestoreQuestionSubdocument {</w:t>
        <w:br/>
        <w:t xml:space="preserve">      +String questionId : path_preguntas_id</w:t>
        <w:br/>
        <w:t xml:space="preserve">      +String statementText</w:t>
        <w:br/>
        <w:t xml:space="preserve">      +String correctOption</w:t>
        <w:br/>
        <w:t xml:space="preserve">      +boolean isCorrect</w:t>
        <w:br/>
        <w:t xml:space="preserve">    }</w:t>
        <w:br/>
        <w:t xml:space="preserve">  }</w:t>
        <w:br/>
        <w:t xml:space="preserve">  namespace MappersAndCoordination {</w:t>
        <w:br/>
        <w:t xml:space="preserve">    class EvaluationLocalMapper {</w:t>
        <w:br/>
        <w:t xml:space="preserve">      +toLocalRecord(domain: Evaluation) EvaluationStoreRecord</w:t>
        <w:br/>
        <w:t xml:space="preserve">      +toDomain(record: EvaluationStoreRecord) Evaluation</w:t>
        <w:br/>
        <w:t xml:space="preserve">    }</w:t>
        <w:br/>
        <w:t xml:space="preserve">    class EvaluationRemoteMapper {</w:t>
        <w:br/>
        <w:t xml:space="preserve">      +toFirestoreDocument(domain: Evaluation) FirestoreEvaluationDocument</w:t>
        <w:br/>
        <w:t xml:space="preserve">      +toDomain(doc: FirestoreEvaluationDocument) Evaluation</w:t>
        <w:br/>
        <w:t xml:space="preserve">    }</w:t>
        <w:br/>
        <w:t xml:space="preserve">    class OfflineFirstEvaluationRepository {</w:t>
        <w:br/>
        <w:t xml:space="preserve">      +saveEvaluation(eval: Evaluation) Promise~boolean~</w:t>
        <w:br/>
        <w:t xml:space="preserve">      +synchronizePendingQueue() Promise~int~</w:t>
        <w:br/>
        <w:t xml:space="preserve">    }</w:t>
        <w:br/>
        <w:t xml:space="preserve">  }</w:t>
        <w:br/>
        <w:t xml:space="preserve">  OfflineFirstEvaluationRepository --&gt; EvaluationLocalMapper</w:t>
        <w:br/>
        <w:t xml:space="preserve">  OfflineFirstEvaluationRepository --&gt; EvaluationRemoteMapper</w:t>
        <w:br/>
        <w:t xml:space="preserve">  FirestoreEvaluationDocument "1" *-- "10" FirestoreQuestionSubdocument</w:t>
      </w:r>
    </w:p>
    <w:p>
      <w:pPr>
        <w:spacing w:before="280" w:after="120" w:line="360" w:lineRule="auto"/>
        <w:jc w:val="left"/>
      </w:pPr>
      <w:r>
        <w:rPr>
          <w:rFonts w:ascii="Times New Roman" w:hAnsi="Times New Roman"/>
          <w:b/>
          <w:sz w:val="26"/>
        </w:rPr>
        <w:t>4.2 Desglose Técnico IEEE 1016</w:t>
      </w:r>
    </w:p>
    <w:p>
      <w:pPr>
        <w:spacing w:before="200" w:after="80" w:line="360" w:lineRule="auto"/>
        <w:jc w:val="left"/>
      </w:pPr>
      <w:r>
        <w:rPr>
          <w:rFonts w:ascii="Times New Roman" w:hAnsi="Times New Roman"/>
          <w:b/>
          <w:i/>
          <w:sz w:val="24"/>
        </w:rPr>
        <w:t>1. Resumen Ejecutivo</w:t>
      </w:r>
    </w:p>
    <w:p>
      <w:pPr>
        <w:spacing w:line="360" w:lineRule="auto" w:after="120" w:before="0"/>
        <w:jc w:val="left"/>
      </w:pPr>
      <w:r>
        <w:rPr>
          <w:rFonts w:ascii="Times New Roman" w:hAnsi="Times New Roman"/>
          <w:b w:val="0"/>
          <w:i w:val="0"/>
          <w:sz w:val="24"/>
        </w:rPr>
        <w:t>Modela la arquitectura estructural que resuelve la convivencia entre dos motores de base de datos con paradigmas distintos: IndexedDB en el cliente móvil y Cloud Firestore NoSQL en la nube. Aplica los patrones Data Mapper y Offline-First Repository para mantener las entidades del dominio completamente independientes de la tecnología física de persistencia.</w:t>
      </w:r>
    </w:p>
    <w:p>
      <w:pPr>
        <w:spacing w:before="200" w:after="80" w:line="360" w:lineRule="auto"/>
        <w:jc w:val="left"/>
      </w:pPr>
      <w:r>
        <w:rPr>
          <w:rFonts w:ascii="Times New Roman" w:hAnsi="Times New Roman"/>
          <w:b/>
          <w:i/>
          <w:sz w:val="24"/>
        </w:rPr>
        <w:t>2. Diccionario de Schemas y Mappers</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12" w:space="0" w:color="000000"/>
              <w:bottom w:val="single" w:sz="6" w:space="0" w:color="000000"/>
              <w:left w:val="none"/>
              <w:right w:val="none"/>
            </w:tcBorders>
            <w:tcMar>
              <w:top w:w="70" w:type="dxa"/>
              <w:bottom w:w="70" w:type="dxa"/>
              <w:left w:w="100" w:type="dxa"/>
              <w:right w:w="100" w:type="dxa"/>
            </w:tcMar>
          </w:tcPr>
          <w:p>
            <w:r>
              <w:rPr>
                <w:b/>
              </w:rPr>
              <w:t>Elemento / Schema</w:t>
            </w:r>
          </w:p>
        </w:tc>
        <w:tc>
          <w:tcPr>
            <w:tcW w:type="dxa" w:w="3120"/>
            <w:tcBorders>
              <w:top w:val="single" w:sz="12" w:space="0" w:color="000000"/>
              <w:bottom w:val="single" w:sz="6" w:space="0" w:color="000000"/>
              <w:left w:val="none"/>
              <w:right w:val="none"/>
            </w:tcBorders>
            <w:tcMar>
              <w:top w:w="70" w:type="dxa"/>
              <w:bottom w:w="70" w:type="dxa"/>
              <w:left w:w="100" w:type="dxa"/>
              <w:right w:w="100" w:type="dxa"/>
            </w:tcMar>
          </w:tcPr>
          <w:p>
            <w:r>
              <w:rPr>
                <w:b/>
              </w:rPr>
              <w:t>Motor / Paradigma</w:t>
            </w:r>
          </w:p>
        </w:tc>
        <w:tc>
          <w:tcPr>
            <w:tcW w:type="dxa" w:w="3120"/>
            <w:tcBorders>
              <w:top w:val="single" w:sz="12" w:space="0" w:color="000000"/>
              <w:bottom w:val="single" w:sz="6" w:space="0" w:color="000000"/>
              <w:left w:val="none"/>
              <w:right w:val="none"/>
            </w:tcBorders>
            <w:tcMar>
              <w:top w:w="70" w:type="dxa"/>
              <w:bottom w:w="70" w:type="dxa"/>
              <w:left w:w="100" w:type="dxa"/>
              <w:right w:w="100" w:type="dxa"/>
            </w:tcMar>
          </w:tcPr>
          <w:p>
            <w:r>
              <w:rPr>
                <w:b/>
              </w:rPr>
              <w:t>Justificación Técnica de Ingeniería</w:t>
            </w:r>
          </w:p>
        </w:tc>
      </w:tr>
      <w:tr>
        <w:tc>
          <w:tcPr>
            <w:tcW w:type="dxa" w:w="3120"/>
            <w:tcBorders>
              <w:top w:val="none"/>
              <w:bottom w:val="none"/>
              <w:left w:val="none"/>
              <w:right w:val="none"/>
            </w:tcBorders>
            <w:tcMar>
              <w:top w:w="70" w:type="dxa"/>
              <w:bottom w:w="70" w:type="dxa"/>
              <w:left w:w="100" w:type="dxa"/>
              <w:right w:w="100" w:type="dxa"/>
            </w:tcMar>
          </w:tcPr>
          <w:p>
            <w:r>
              <w:rPr>
                <w:b/>
              </w:rPr>
              <w:t>EvaluationStoreRecord</w:t>
            </w:r>
          </w:p>
        </w:tc>
        <w:tc>
          <w:tcPr>
            <w:tcW w:type="dxa" w:w="3120"/>
            <w:tcBorders>
              <w:top w:val="none"/>
              <w:bottom w:val="none"/>
              <w:left w:val="none"/>
              <w:right w:val="none"/>
            </w:tcBorders>
            <w:tcMar>
              <w:top w:w="70" w:type="dxa"/>
              <w:bottom w:w="70" w:type="dxa"/>
              <w:left w:w="100" w:type="dxa"/>
              <w:right w:w="100" w:type="dxa"/>
            </w:tcMar>
          </w:tcPr>
          <w:p>
            <w:r>
              <w:t>IndexedDB (Cliente)</w:t>
            </w:r>
          </w:p>
        </w:tc>
        <w:tc>
          <w:tcPr>
            <w:tcW w:type="dxa" w:w="3120"/>
            <w:tcBorders>
              <w:top w:val="none"/>
              <w:bottom w:val="none"/>
              <w:left w:val="none"/>
              <w:right w:val="none"/>
            </w:tcBorders>
            <w:tcMar>
              <w:top w:w="70" w:type="dxa"/>
              <w:bottom w:w="70" w:type="dxa"/>
              <w:left w:w="100" w:type="dxa"/>
              <w:right w:w="100" w:type="dxa"/>
            </w:tcMar>
          </w:tcPr>
          <w:p>
            <w:r>
              <w:t>ObjectStore indexado. Usa evaluationId como keyPath e índices B-Tree. Serializa preguntas en JSON para I/O atómico en memoria flash.</w:t>
            </w:r>
          </w:p>
        </w:tc>
      </w:tr>
      <w:tr>
        <w:tc>
          <w:tcPr>
            <w:tcW w:type="dxa" w:w="3120"/>
            <w:tcBorders>
              <w:top w:val="none"/>
              <w:bottom w:val="none"/>
              <w:left w:val="none"/>
              <w:right w:val="none"/>
            </w:tcBorders>
            <w:tcMar>
              <w:top w:w="70" w:type="dxa"/>
              <w:bottom w:w="70" w:type="dxa"/>
              <w:left w:w="100" w:type="dxa"/>
              <w:right w:w="100" w:type="dxa"/>
            </w:tcMar>
          </w:tcPr>
          <w:p>
            <w:r>
              <w:rPr>
                <w:b/>
              </w:rPr>
              <w:t>SyncQueueRecord</w:t>
            </w:r>
          </w:p>
        </w:tc>
        <w:tc>
          <w:tcPr>
            <w:tcW w:type="dxa" w:w="3120"/>
            <w:tcBorders>
              <w:top w:val="none"/>
              <w:bottom w:val="none"/>
              <w:left w:val="none"/>
              <w:right w:val="none"/>
            </w:tcBorders>
            <w:tcMar>
              <w:top w:w="70" w:type="dxa"/>
              <w:bottom w:w="70" w:type="dxa"/>
              <w:left w:w="100" w:type="dxa"/>
              <w:right w:w="100" w:type="dxa"/>
            </w:tcMar>
          </w:tcPr>
          <w:p>
            <w:r>
              <w:t>IndexedDB (Cliente)</w:t>
            </w:r>
          </w:p>
        </w:tc>
        <w:tc>
          <w:tcPr>
            <w:tcW w:type="dxa" w:w="3120"/>
            <w:tcBorders>
              <w:top w:val="none"/>
              <w:bottom w:val="none"/>
              <w:left w:val="none"/>
              <w:right w:val="none"/>
            </w:tcBorders>
            <w:tcMar>
              <w:top w:w="70" w:type="dxa"/>
              <w:bottom w:w="70" w:type="dxa"/>
              <w:left w:w="100" w:type="dxa"/>
              <w:right w:w="100" w:type="dxa"/>
            </w:tcMar>
          </w:tcPr>
          <w:p>
            <w:r>
              <w:t>Cola persistente de mutaciones no sincronizadas. Registra reintentos y orden FIFO para el Service Worker.</w:t>
            </w:r>
          </w:p>
        </w:tc>
      </w:tr>
      <w:tr>
        <w:tc>
          <w:tcPr>
            <w:tcW w:type="dxa" w:w="3120"/>
            <w:tcBorders>
              <w:top w:val="none"/>
              <w:bottom w:val="none"/>
              <w:left w:val="none"/>
              <w:right w:val="none"/>
            </w:tcBorders>
            <w:tcMar>
              <w:top w:w="70" w:type="dxa"/>
              <w:bottom w:w="70" w:type="dxa"/>
              <w:left w:w="100" w:type="dxa"/>
              <w:right w:w="100" w:type="dxa"/>
            </w:tcMar>
          </w:tcPr>
          <w:p>
            <w:r>
              <w:rPr>
                <w:b/>
              </w:rPr>
              <w:t>FirestoreEvaluationDocument</w:t>
            </w:r>
          </w:p>
        </w:tc>
        <w:tc>
          <w:tcPr>
            <w:tcW w:type="dxa" w:w="3120"/>
            <w:tcBorders>
              <w:top w:val="none"/>
              <w:bottom w:val="none"/>
              <w:left w:val="none"/>
              <w:right w:val="none"/>
            </w:tcBorders>
            <w:tcMar>
              <w:top w:w="70" w:type="dxa"/>
              <w:bottom w:w="70" w:type="dxa"/>
              <w:left w:w="100" w:type="dxa"/>
              <w:right w:w="100" w:type="dxa"/>
            </w:tcMar>
          </w:tcPr>
          <w:p>
            <w:r>
              <w:t>Firestore (Nube)</w:t>
            </w:r>
          </w:p>
        </w:tc>
        <w:tc>
          <w:tcPr>
            <w:tcW w:type="dxa" w:w="3120"/>
            <w:tcBorders>
              <w:top w:val="none"/>
              <w:bottom w:val="none"/>
              <w:left w:val="none"/>
              <w:right w:val="none"/>
            </w:tcBorders>
            <w:tcMar>
              <w:top w:w="70" w:type="dxa"/>
              <w:bottom w:w="70" w:type="dxa"/>
              <w:left w:w="100" w:type="dxa"/>
              <w:right w:w="100" w:type="dxa"/>
            </w:tcMar>
          </w:tcPr>
          <w:p>
            <w:r>
              <w:t>Documento NoSQL en /evaluaciones/{id}. Almacena studentUid y Timestamp nativo de Google (server_timestamp) para auditoría.</w:t>
            </w:r>
          </w:p>
        </w:tc>
      </w:tr>
      <w:tr>
        <w:tc>
          <w:tcPr>
            <w:tcW w:type="dxa" w:w="3120"/>
            <w:tcBorders>
              <w:top w:val="none"/>
              <w:bottom w:val="single" w:sz="12" w:space="0" w:color="000000"/>
              <w:left w:val="none"/>
              <w:right w:val="none"/>
            </w:tcBorders>
            <w:tcMar>
              <w:top w:w="70" w:type="dxa"/>
              <w:bottom w:w="70" w:type="dxa"/>
              <w:left w:w="100" w:type="dxa"/>
              <w:right w:w="100" w:type="dxa"/>
            </w:tcMar>
          </w:tcPr>
          <w:p>
            <w:r>
              <w:rPr>
                <w:b/>
              </w:rPr>
              <w:t>EvaluationLocalMapper / RemoteMapper</w:t>
            </w:r>
          </w:p>
        </w:tc>
        <w:tc>
          <w:tcPr>
            <w:tcW w:type="dxa" w:w="3120"/>
            <w:tcBorders>
              <w:top w:val="none"/>
              <w:bottom w:val="single" w:sz="12" w:space="0" w:color="000000"/>
              <w:left w:val="none"/>
              <w:right w:val="none"/>
            </w:tcBorders>
            <w:tcMar>
              <w:top w:w="70" w:type="dxa"/>
              <w:bottom w:w="70" w:type="dxa"/>
              <w:left w:w="100" w:type="dxa"/>
              <w:right w:w="100" w:type="dxa"/>
            </w:tcMar>
          </w:tcPr>
          <w:p>
            <w:r>
              <w:t>Data Mappers</w:t>
            </w:r>
          </w:p>
        </w:tc>
        <w:tc>
          <w:tcPr>
            <w:tcW w:type="dxa" w:w="3120"/>
            <w:tcBorders>
              <w:top w:val="none"/>
              <w:bottom w:val="single" w:sz="12" w:space="0" w:color="000000"/>
              <w:left w:val="none"/>
              <w:right w:val="none"/>
            </w:tcBorders>
            <w:tcMar>
              <w:top w:w="70" w:type="dxa"/>
              <w:bottom w:w="70" w:type="dxa"/>
              <w:left w:w="100" w:type="dxa"/>
              <w:right w:w="100" w:type="dxa"/>
            </w:tcMar>
          </w:tcPr>
          <w:p>
            <w:r>
              <w:t>Clases puras de transformación bidireccional entre la entidad rica del dominio y los registros físicos planos de cada base de datos.</w:t>
            </w:r>
          </w:p>
        </w:tc>
      </w:tr>
    </w:tbl>
    <w:p>
      <w:pPr>
        <w:spacing w:before="200" w:after="80" w:line="360" w:lineRule="auto"/>
        <w:jc w:val="left"/>
      </w:pPr>
      <w:r>
        <w:rPr>
          <w:rFonts w:ascii="Times New Roman" w:hAnsi="Times New Roman"/>
          <w:b/>
          <w:i/>
          <w:sz w:val="24"/>
        </w:rPr>
        <w:t>3. Análisis de Relaciones</w:t>
      </w:r>
    </w:p>
    <w:p>
      <w:pPr>
        <w:spacing w:line="360" w:lineRule="auto" w:after="120" w:before="0"/>
        <w:jc w:val="left"/>
      </w:pPr>
      <w:r>
        <w:rPr>
          <w:rFonts w:ascii="Times New Roman" w:hAnsi="Times New Roman"/>
          <w:b w:val="0"/>
          <w:i w:val="0"/>
          <w:sz w:val="24"/>
        </w:rPr>
        <w:t>• Desacoplamiento por Mappers: Las entidades de negocio no importan SDKs de Firestore ni librerías de IndexedDB. Toda traducción se aísla en los mappers.</w:t>
        <w:br/>
        <w:t>• Composición NoSQL (`FirestoreEvaluationDocument *-- FirestoreQuestionSubdocument`): Representa una subcolección en Firestore. Permite a los docentes auditar reactivos específicos sin incurrir en lecturas masivas de documentos completos.</w:t>
      </w:r>
    </w:p>
    <w:p>
      <w:pPr>
        <w:spacing w:before="200" w:after="80" w:line="360" w:lineRule="auto"/>
        <w:jc w:val="left"/>
      </w:pPr>
      <w:r>
        <w:rPr>
          <w:rFonts w:ascii="Times New Roman" w:hAnsi="Times New Roman"/>
          <w:b/>
          <w:i/>
          <w:sz w:val="24"/>
        </w:rPr>
        <w:t>4. Resolución de Conflictos e Integridad</w:t>
      </w:r>
    </w:p>
    <w:p>
      <w:pPr>
        <w:spacing w:line="360" w:lineRule="auto" w:after="120" w:before="0"/>
        <w:jc w:val="left"/>
      </w:pPr>
      <w:r>
        <w:rPr>
          <w:rFonts w:ascii="Times New Roman" w:hAnsi="Times New Roman"/>
          <w:b w:val="0"/>
          <w:i w:val="0"/>
          <w:sz w:val="24"/>
        </w:rPr>
        <w:t>El repositorio unificado implementa la regla de Última Escritura Gana (Last-Write-Wins), comparando las marcas temporales locales con el `server_timestamp` emitido por Firestore para resolver colisiones al restablecer la conexión.</w:t>
      </w:r>
    </w:p>
    <w:p>
      <w:pPr>
        <w:spacing w:before="200" w:after="80" w:line="360" w:lineRule="auto"/>
        <w:jc w:val="left"/>
      </w:pPr>
      <w:r>
        <w:rPr>
          <w:rFonts w:ascii="Times New Roman" w:hAnsi="Times New Roman"/>
          <w:b/>
          <w:i/>
          <w:sz w:val="24"/>
        </w:rPr>
        <w:t>5. Guía de Evaluación Oral</w:t>
      </w:r>
    </w:p>
    <w:p>
      <w:pPr>
        <w:spacing w:line="360" w:lineRule="auto" w:after="120" w:before="0"/>
        <w:jc w:val="left"/>
      </w:pPr>
      <w:r>
        <w:rPr>
          <w:rFonts w:ascii="Times New Roman" w:hAnsi="Times New Roman"/>
          <w:b w:val="0"/>
          <w:i w:val="0"/>
          <w:sz w:val="24"/>
        </w:rPr>
        <w:t>• Pregunta: ¿Cómo se manejan los diagramas de clases estructurales cuando el sistema tiene múltiples bases de datos?</w:t>
        <w:br/>
        <w:t xml:space="preserve">  Respuesta: Se desacoplan en tres niveles: (1) Entidades de Negocio puras; (2) Schemas Físicos específicos para cada base de datos (ObjectStores en IndexedDB y Colecciones/Subcolecciones en Firestore); y (3) Data Mappers que convierten entre el dominio y cada schema, coordinados por un Repositorio Unificado que oculta la complejidad multibase al resto del sistema.</w:t>
      </w:r>
    </w:p>
    <w:p>
      <w:r>
        <w:br w:type="page"/>
      </w:r>
    </w:p>
    <w:p>
      <w:pPr>
        <w:spacing w:before="360" w:after="200" w:line="360" w:lineRule="auto"/>
        <w:jc w:val="center"/>
      </w:pPr>
      <w:r>
        <w:rPr>
          <w:rFonts w:ascii="Times New Roman" w:hAnsi="Times New Roman"/>
          <w:b/>
          <w:sz w:val="28"/>
        </w:rPr>
        <w:t>CAPÍTULO V: DIAGRAMA 4 — MODELO ENTIDAD-RELACIÓN (ERD) Y TAXONOMÍA</w:t>
      </w:r>
    </w:p>
    <w:p>
      <w:pPr>
        <w:spacing w:before="280" w:after="120" w:line="360" w:lineRule="auto"/>
        <w:jc w:val="left"/>
      </w:pPr>
      <w:r>
        <w:rPr>
          <w:rFonts w:ascii="Times New Roman" w:hAnsi="Times New Roman"/>
          <w:b/>
          <w:sz w:val="26"/>
        </w:rPr>
        <w:t>5.1 Representación del Diagrama Entidad-Relación (Mermaid)</w:t>
      </w:r>
    </w:p>
    <w:p>
      <w:pPr>
        <w:spacing w:before="80" w:after="160" w:line="276" w:lineRule="auto"/>
        <w:ind w:left="576"/>
      </w:pPr>
      <w:r>
        <w:rPr>
          <w:rFonts w:ascii="Courier New" w:hAnsi="Courier New"/>
          <w:color w:val="1E293B"/>
          <w:sz w:val="19"/>
        </w:rPr>
        <w:t>erDiagram</w:t>
        <w:br/>
        <w:t xml:space="preserve">  USUARIO ||--o| PERFIL_ESTUDIANTE : "posee_perfil"</w:t>
        <w:br/>
        <w:t xml:space="preserve">  USUARIO ||--o{ ORACION_BASE : "crea_como_autor"</w:t>
        <w:br/>
        <w:t xml:space="preserve">  USUARIO ||--o{ ORACION_BASE : "certifica_como_validador"</w:t>
        <w:br/>
        <w:t xml:space="preserve">  PERFIL_ESTUDIANTE ||--o{ PROGRESO_NIVEL : "registra_avance"</w:t>
        <w:br/>
        <w:t xml:space="preserve">  NIVEL ||--o{ PROGRESO_NIVEL : "determina_nivel"</w:t>
        <w:br/>
        <w:t xml:space="preserve">  NIVEL ||--o{ PALABRA_VOCABULARIO : "contiene_lexico"</w:t>
        <w:br/>
        <w:t xml:space="preserve">  PERFIL_ESTUDIANTE ||--o{ VOCABULARIO_ESTUDIANTE : "gestiona_estudio"</w:t>
        <w:br/>
        <w:t xml:space="preserve">  PALABRA_VOCABULARIO ||--o{ VOCABULARIO_ESTUDIANTE : "es_clasificada"</w:t>
        <w:br/>
        <w:t xml:space="preserve">  NIVEL ||--o{ ORACION_BASE : "asocia_nivel"</w:t>
        <w:br/>
        <w:t xml:space="preserve">  PERFIL_ESTUDIANTE ||--o{ EVALUACION : "rinde_evaluacion"</w:t>
        <w:br/>
        <w:t xml:space="preserve">  NIVEL ||--o{ EVALUACION : "evalua_nivel"</w:t>
        <w:br/>
        <w:t xml:space="preserve">  EVALUACION ||--|{ DETALLE_PREGUNTA : "genera_preguntas_composicion"</w:t>
        <w:br/>
        <w:t xml:space="preserve">  ORACION_BASE ||--o{ DETALLE_PREGUNTA : "sirve_de_semilla"</w:t>
        <w:br/>
        <w:t xml:space="preserve">  PERFIL_ESTUDIANTE ||--o{ RETO_COMUNITARIO : "propone_reto"</w:t>
        <w:br/>
        <w:t xml:space="preserve">  USUARIO ||--o{ RETO_COMUNITARIO : "modera_reto"</w:t>
      </w:r>
    </w:p>
    <w:p>
      <w:pPr>
        <w:spacing w:before="280" w:after="120" w:line="360" w:lineRule="auto"/>
        <w:jc w:val="left"/>
      </w:pPr>
      <w:r>
        <w:rPr>
          <w:rFonts w:ascii="Times New Roman" w:hAnsi="Times New Roman"/>
          <w:b/>
          <w:sz w:val="26"/>
        </w:rPr>
        <w:t>5.2 Taxonomía de Relaciones de Persistencia</w:t>
      </w:r>
    </w:p>
    <w:p>
      <w:pPr>
        <w:spacing w:line="360" w:lineRule="auto" w:after="120" w:before="0"/>
        <w:jc w:val="left"/>
      </w:pPr>
      <w:r>
        <w:rPr>
          <w:rFonts w:ascii="Times New Roman" w:hAnsi="Times New Roman"/>
          <w:b w:val="0"/>
          <w:i w:val="0"/>
          <w:sz w:val="24"/>
        </w:rPr>
        <w:t>1. Relaciones Fuertes (Existencia Independiente): USUARIO a ORACION_BASE (doble asociación de autor y validador) y NIVEL a PALABRA_VOCABULARIO (catálogo léxico A1). Si un docente se retira, las oraciones aprobadas permanecen intactas en el banco histórico.</w:t>
        <w:br/>
        <w:t>2. Relaciones Débiles por Existencia: USUARIO a PERFIL_ESTUDIANTE (1:0..1). Si un estudiante ejerce su derecho legal de supresión de datos (Habeas Data boliviano), su perfil académico se elimina en cascada.</w:t>
        <w:br/>
        <w:t>3. Relaciones Débiles por Identificación: EVALUACION a DETALLE_PREGUNTA (composición pura 1:10) y PROGRESO_NIVEL (tabla asociativa N:M con clave primaria compuesta única id_estudiante + id_nivel).</w:t>
      </w:r>
    </w:p>
    <w:p>
      <w:r>
        <w:br w:type="page"/>
      </w:r>
    </w:p>
    <w:p>
      <w:pPr>
        <w:spacing w:before="360" w:after="200" w:line="360" w:lineRule="auto"/>
        <w:jc w:val="center"/>
      </w:pPr>
      <w:r>
        <w:rPr>
          <w:rFonts w:ascii="Times New Roman" w:hAnsi="Times New Roman"/>
          <w:b/>
          <w:sz w:val="28"/>
        </w:rPr>
        <w:t>CAPÍTULO VI: VISTA FUNCIONAL Y CASOS DE USO</w:t>
      </w:r>
    </w:p>
    <w:p>
      <w:pPr>
        <w:spacing w:before="280" w:after="120" w:line="360" w:lineRule="auto"/>
        <w:jc w:val="left"/>
      </w:pPr>
      <w:r>
        <w:rPr>
          <w:rFonts w:ascii="Times New Roman" w:hAnsi="Times New Roman"/>
          <w:b/>
          <w:sz w:val="26"/>
        </w:rPr>
        <w:t>6.1 Diagrama General de Casos de Uso (Diagrama 5)</w:t>
      </w:r>
    </w:p>
    <w:p>
      <w:pPr>
        <w:spacing w:line="360" w:lineRule="auto" w:after="120" w:before="0"/>
        <w:jc w:val="left"/>
      </w:pPr>
      <w:r>
        <w:rPr>
          <w:rFonts w:ascii="Times New Roman" w:hAnsi="Times New Roman"/>
          <w:b w:val="0"/>
          <w:i w:val="0"/>
          <w:sz w:val="24"/>
        </w:rPr>
        <w:t>Mapea los 10 Requisitos Funcionales del SRS frente a los 3 actores primarios: Estudiante, Docente Quechua y Administrador UPDS.</w:t>
      </w:r>
    </w:p>
    <w:p>
      <w:pPr>
        <w:spacing w:line="360" w:lineRule="auto" w:after="120" w:before="0"/>
        <w:jc w:val="left"/>
      </w:pPr>
      <w:r>
        <w:rPr>
          <w:rFonts w:ascii="Times New Roman" w:hAnsi="Times New Roman"/>
          <w:b w:val="0"/>
          <w:i w:val="0"/>
          <w:sz w:val="24"/>
        </w:rPr>
        <w:t>• Relaciones «include» Obligatorias: Registrar Cuenta incluye Verificar Token Correo; Modo Offline incluye Sincronizar Progreso al Reconectar; Gestionar Oraciones y Proponer Retos incluyen Doble Validación Docente.</w:t>
        <w:br/>
        <w:t>• Relación «extend» Condicional: Rendir Evaluación extiende a Desbloquear Siguiente Nivel si y solo si la nota obtenida cumple la condición de guarda obligatoria [calificación &gt;= 70%].</w:t>
      </w:r>
    </w:p>
    <w:p>
      <w:pPr>
        <w:spacing w:before="280" w:after="120" w:line="360" w:lineRule="auto"/>
        <w:jc w:val="left"/>
      </w:pPr>
      <w:r>
        <w:rPr>
          <w:rFonts w:ascii="Times New Roman" w:hAnsi="Times New Roman"/>
          <w:b/>
          <w:sz w:val="26"/>
        </w:rPr>
        <w:t>6.2 Motor de IA Determinista vs. LLMs Comerciales (Diagrama 6.1 y 9.1)</w:t>
      </w:r>
    </w:p>
    <w:p>
      <w:pPr>
        <w:spacing w:line="360" w:lineRule="auto" w:after="120" w:before="0"/>
        <w:jc w:val="left"/>
      </w:pPr>
      <w:r>
        <w:rPr>
          <w:rFonts w:ascii="Times New Roman" w:hAnsi="Times New Roman"/>
          <w:b w:val="0"/>
          <w:i w:val="0"/>
          <w:sz w:val="24"/>
        </w:rPr>
        <w:t>El motor determinista local en TypeScript ejecuta un autómata que descompone oraciones base en componentes sintácticos (Sujeto, Objeto, Verbo), aplica sufijos aglutinantes quechuas controlados (-pi, -man, -manta) y extrae 3 distractores del mismo campo semántico mediante Fisher-Yates Shuffle. Esto garantiza coste cero ($0 en APIs), ejecución offline en smartphones rurales y cero alucinaciones gramaticales.</w:t>
      </w:r>
    </w:p>
    <w:p>
      <w:pPr>
        <w:spacing w:before="280" w:after="120" w:line="360" w:lineRule="auto"/>
        <w:jc w:val="left"/>
      </w:pPr>
      <w:r>
        <w:rPr>
          <w:rFonts w:ascii="Times New Roman" w:hAnsi="Times New Roman"/>
          <w:b/>
          <w:sz w:val="26"/>
        </w:rPr>
        <w:t>6.3 Protocolo de Doble Moderación y Principio de Cuatro Ojos (Diagrama 6.2)</w:t>
      </w:r>
    </w:p>
    <w:p>
      <w:pPr>
        <w:spacing w:line="360" w:lineRule="auto" w:after="120" w:before="0"/>
        <w:jc w:val="left"/>
      </w:pPr>
      <w:r>
        <w:rPr>
          <w:rFonts w:ascii="Times New Roman" w:hAnsi="Times New Roman"/>
          <w:b w:val="0"/>
          <w:i w:val="0"/>
          <w:sz w:val="24"/>
        </w:rPr>
        <w:t>Aplica la regla inviolable autor_id != validador_id. Ningún docente puede certificar sus propios reactivos pedagógicos. Todo aporte queda en estado 'pendiente' hasta que un segundo docente certificado valida la ortografía Collao y el contexto cultural etnográfico.</w:t>
      </w:r>
    </w:p>
    <w:p>
      <w:r>
        <w:br w:type="page"/>
      </w:r>
    </w:p>
    <w:p>
      <w:pPr>
        <w:spacing w:before="360" w:after="200" w:line="360" w:lineRule="auto"/>
        <w:jc w:val="center"/>
      </w:pPr>
      <w:r>
        <w:rPr>
          <w:rFonts w:ascii="Times New Roman" w:hAnsi="Times New Roman"/>
          <w:b/>
          <w:sz w:val="28"/>
        </w:rPr>
        <w:t>CAPÍTULO VII: VISTA DINÁMICA Y DE COMPORTAMIENTO</w:t>
      </w:r>
    </w:p>
    <w:p>
      <w:pPr>
        <w:spacing w:before="280" w:after="120" w:line="360" w:lineRule="auto"/>
        <w:jc w:val="left"/>
      </w:pPr>
      <w:r>
        <w:rPr>
          <w:rFonts w:ascii="Times New Roman" w:hAnsi="Times New Roman"/>
          <w:b/>
          <w:sz w:val="26"/>
        </w:rPr>
        <w:t>7.1 Diagrama General de Secuencia Temporal (Diagrama 7)</w:t>
      </w:r>
    </w:p>
    <w:p>
      <w:pPr>
        <w:spacing w:line="360" w:lineRule="auto" w:after="120" w:before="0"/>
        <w:jc w:val="left"/>
      </w:pPr>
      <w:r>
        <w:rPr>
          <w:rFonts w:ascii="Times New Roman" w:hAnsi="Times New Roman"/>
          <w:b w:val="0"/>
          <w:i w:val="0"/>
          <w:sz w:val="24"/>
        </w:rPr>
        <w:t>Modela el ordenamiento temporal a lo largo de 5 fases: (1) Carga inicial de App Shell desde Cache Storage; (2) Práctica léxica interactiva; (3) Generación y corrección de examen en local (&lt; 50 ms); (4) Persistencia inmediata en IndexedDB; y (5) Sincronización asíncrona en segundo plano (Background Sync) con vaciado de lotes (Batch Write) hacia Cloud Firestore al recuperar conectividad.</w:t>
      </w:r>
    </w:p>
    <w:p>
      <w:pPr>
        <w:spacing w:before="280" w:after="120" w:line="360" w:lineRule="auto"/>
        <w:jc w:val="left"/>
      </w:pPr>
      <w:r>
        <w:rPr>
          <w:rFonts w:ascii="Times New Roman" w:hAnsi="Times New Roman"/>
          <w:b/>
          <w:sz w:val="26"/>
        </w:rPr>
        <w:t>7.2 Máquina de Estados Finitos (Diagrama 8)</w:t>
      </w:r>
    </w:p>
    <w:p>
      <w:pPr>
        <w:spacing w:line="360" w:lineRule="auto" w:after="120" w:before="0"/>
        <w:jc w:val="left"/>
      </w:pPr>
      <w:r>
        <w:rPr>
          <w:rFonts w:ascii="Times New Roman" w:hAnsi="Times New Roman"/>
          <w:b w:val="0"/>
          <w:i w:val="0"/>
          <w:sz w:val="24"/>
        </w:rPr>
        <w:t>Modela el ciclo de vida del estudiante: VerificandoConectividad, DashboardActivo, NivelBloqueado (candado visual si nota previa &lt; 70%), NivelHabilitado, EvaluacionDeterminista y PersistenciaProgreso (con bifurcación entre GuardadoInmediatoFirestore y EncoladoLocalIndexedDB).</w:t>
      </w:r>
    </w:p>
    <w:p>
      <w:pPr>
        <w:spacing w:before="280" w:after="120" w:line="360" w:lineRule="auto"/>
        <w:jc w:val="left"/>
      </w:pPr>
      <w:r>
        <w:rPr>
          <w:rFonts w:ascii="Times New Roman" w:hAnsi="Times New Roman"/>
          <w:b/>
          <w:sz w:val="26"/>
        </w:rPr>
        <w:t>7.3 Algoritmos de Actividad (Diagramas 9.1 y 9.2)</w:t>
      </w:r>
    </w:p>
    <w:p>
      <w:pPr>
        <w:spacing w:line="360" w:lineRule="auto" w:after="120" w:before="0"/>
        <w:jc w:val="left"/>
      </w:pPr>
      <w:r>
        <w:rPr>
          <w:rFonts w:ascii="Times New Roman" w:hAnsi="Times New Roman"/>
          <w:b w:val="0"/>
          <w:i w:val="0"/>
          <w:sz w:val="24"/>
        </w:rPr>
        <w:t>• Actividad A (Generador de Preguntas): Selección pseudoaleatoria con semilla, permutación de marcas de caso y filtro estricto de distractores.</w:t>
        <w:br/>
        <w:t>• Actividad B (Resiliencia Offline-First): Interceptación del Service Worker, almacenamiento no bloqueante en IndexedDB y vaciado atómico vía SyncManager.</w:t>
      </w:r>
    </w:p>
    <w:p>
      <w:r>
        <w:br w:type="page"/>
      </w:r>
    </w:p>
    <w:p>
      <w:pPr>
        <w:spacing w:before="360" w:after="200" w:line="360" w:lineRule="auto"/>
        <w:jc w:val="center"/>
      </w:pPr>
      <w:r>
        <w:rPr>
          <w:rFonts w:ascii="Times New Roman" w:hAnsi="Times New Roman"/>
          <w:b/>
          <w:sz w:val="28"/>
        </w:rPr>
        <w:t>CAPÍTULO VIII: MATRIZ DE AUDITORÍA Y GOBERNANZA DE IA (UPDS)</w:t>
      </w:r>
    </w:p>
    <w:p>
      <w:pPr>
        <w:spacing w:line="360" w:lineRule="auto" w:after="120" w:before="0"/>
        <w:jc w:val="left"/>
      </w:pPr>
      <w:r>
        <w:rPr>
          <w:rFonts w:ascii="Times New Roman" w:hAnsi="Times New Roman"/>
          <w:b w:val="0"/>
          <w:i w:val="0"/>
          <w:sz w:val="24"/>
        </w:rPr>
        <w:t>En cumplimiento de la normativa de integridad académica de la Universidad Privada Domingo Savio (Sede Santa Cruz), se documenta de forma transparente y verificable cómo se emplearon herramientas de Inteligencia Artificial en el diseño de este álbum de modelos, detallando las decisiones aceptadas, modificadas y rechazadas por el equipo humano:</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12" w:space="0" w:color="000000"/>
              <w:bottom w:val="single" w:sz="6" w:space="0" w:color="000000"/>
              <w:left w:val="none"/>
              <w:right w:val="none"/>
            </w:tcBorders>
            <w:tcMar>
              <w:top w:w="70" w:type="dxa"/>
              <w:bottom w:w="70" w:type="dxa"/>
              <w:left w:w="100" w:type="dxa"/>
              <w:right w:w="100" w:type="dxa"/>
            </w:tcMar>
          </w:tcPr>
          <w:p>
            <w:r>
              <w:rPr>
                <w:b/>
              </w:rPr>
              <w:t>Artefacto / Componente</w:t>
            </w:r>
          </w:p>
        </w:tc>
        <w:tc>
          <w:tcPr>
            <w:tcW w:type="dxa" w:w="2340"/>
            <w:tcBorders>
              <w:top w:val="single" w:sz="12" w:space="0" w:color="000000"/>
              <w:bottom w:val="single" w:sz="6" w:space="0" w:color="000000"/>
              <w:left w:val="none"/>
              <w:right w:val="none"/>
            </w:tcBorders>
            <w:tcMar>
              <w:top w:w="70" w:type="dxa"/>
              <w:bottom w:w="70" w:type="dxa"/>
              <w:left w:w="100" w:type="dxa"/>
              <w:right w:w="100" w:type="dxa"/>
            </w:tcMar>
          </w:tcPr>
          <w:p>
            <w:r>
              <w:rPr>
                <w:b/>
              </w:rPr>
              <w:t>Herramienta y Contenido Asistido por IA</w:t>
            </w:r>
          </w:p>
        </w:tc>
        <w:tc>
          <w:tcPr>
            <w:tcW w:type="dxa" w:w="2340"/>
            <w:tcBorders>
              <w:top w:val="single" w:sz="12" w:space="0" w:color="000000"/>
              <w:bottom w:val="single" w:sz="6" w:space="0" w:color="000000"/>
              <w:left w:val="none"/>
              <w:right w:val="none"/>
            </w:tcBorders>
            <w:tcMar>
              <w:top w:w="70" w:type="dxa"/>
              <w:bottom w:w="70" w:type="dxa"/>
              <w:left w:w="100" w:type="dxa"/>
              <w:right w:w="100" w:type="dxa"/>
            </w:tcMar>
          </w:tcPr>
          <w:p>
            <w:r>
              <w:rPr>
                <w:b/>
              </w:rPr>
              <w:t>Aceptado o Modificado por el Equipo</w:t>
            </w:r>
          </w:p>
        </w:tc>
        <w:tc>
          <w:tcPr>
            <w:tcW w:type="dxa" w:w="2340"/>
            <w:tcBorders>
              <w:top w:val="single" w:sz="12" w:space="0" w:color="000000"/>
              <w:bottom w:val="single" w:sz="6" w:space="0" w:color="000000"/>
              <w:left w:val="none"/>
              <w:right w:val="none"/>
            </w:tcBorders>
            <w:tcMar>
              <w:top w:w="70" w:type="dxa"/>
              <w:bottom w:w="70" w:type="dxa"/>
              <w:left w:w="100" w:type="dxa"/>
              <w:right w:w="100" w:type="dxa"/>
            </w:tcMar>
          </w:tcPr>
          <w:p>
            <w:r>
              <w:rPr>
                <w:b/>
              </w:rPr>
              <w:t>Rechazado Expresamente (Qué y Por Qué)</w:t>
            </w:r>
          </w:p>
        </w:tc>
      </w:tr>
      <w:tr>
        <w:tc>
          <w:tcPr>
            <w:tcW w:type="dxa" w:w="2340"/>
            <w:tcBorders>
              <w:top w:val="none"/>
              <w:bottom w:val="none"/>
              <w:left w:val="none"/>
              <w:right w:val="none"/>
            </w:tcBorders>
            <w:tcMar>
              <w:top w:w="70" w:type="dxa"/>
              <w:bottom w:w="70" w:type="dxa"/>
              <w:left w:w="100" w:type="dxa"/>
              <w:right w:w="100" w:type="dxa"/>
            </w:tcMar>
          </w:tcPr>
          <w:p>
            <w:r>
              <w:rPr>
                <w:b/>
              </w:rPr>
              <w:t>Diagrama 1: Arquitectura General (PWA + Firebase)</w:t>
            </w:r>
          </w:p>
        </w:tc>
        <w:tc>
          <w:tcPr>
            <w:tcW w:type="dxa" w:w="2340"/>
            <w:tcBorders>
              <w:top w:val="none"/>
              <w:bottom w:val="none"/>
              <w:left w:val="none"/>
              <w:right w:val="none"/>
            </w:tcBorders>
            <w:tcMar>
              <w:top w:w="70" w:type="dxa"/>
              <w:bottom w:w="70" w:type="dxa"/>
              <w:left w:w="100" w:type="dxa"/>
              <w:right w:w="100" w:type="dxa"/>
            </w:tcMar>
          </w:tcPr>
          <w:p>
            <w:r>
              <w:t>Claude / Gemini: Sugirió arquitectura cliente-servidor con integración de API externa comercial de OpenAI para generar exámenes.</w:t>
            </w:r>
          </w:p>
        </w:tc>
        <w:tc>
          <w:tcPr>
            <w:tcW w:type="dxa" w:w="2340"/>
            <w:tcBorders>
              <w:top w:val="none"/>
              <w:bottom w:val="none"/>
              <w:left w:val="none"/>
              <w:right w:val="none"/>
            </w:tcBorders>
            <w:tcMar>
              <w:top w:w="70" w:type="dxa"/>
              <w:bottom w:w="70" w:type="dxa"/>
              <w:left w:w="100" w:type="dxa"/>
              <w:right w:w="100" w:type="dxa"/>
            </w:tcMar>
          </w:tcPr>
          <w:p>
            <w:r>
              <w:t>Modificado: Se adoptó Astro SSG + Service Worker e IndexedDB para garantizar consumo RAM &lt; 150MB y FCP &lt; 1.8s.</w:t>
            </w:r>
          </w:p>
        </w:tc>
        <w:tc>
          <w:tcPr>
            <w:tcW w:type="dxa" w:w="2340"/>
            <w:tcBorders>
              <w:top w:val="none"/>
              <w:bottom w:val="none"/>
              <w:left w:val="none"/>
              <w:right w:val="none"/>
            </w:tcBorders>
            <w:tcMar>
              <w:top w:w="70" w:type="dxa"/>
              <w:bottom w:w="70" w:type="dxa"/>
              <w:left w:w="100" w:type="dxa"/>
              <w:right w:w="100" w:type="dxa"/>
            </w:tcMar>
          </w:tcPr>
          <w:p>
            <w:r>
              <w:rPr>
                <w:b/>
              </w:rPr>
              <w:t>Rechazado: Conexión externa a LLMs comerciales. Inviable por coste de API ($0 en SRS 3.3) y dependencia de internet continuo en áreas rurales.</w:t>
            </w:r>
          </w:p>
        </w:tc>
      </w:tr>
      <w:tr>
        <w:tc>
          <w:tcPr>
            <w:tcW w:type="dxa" w:w="2340"/>
            <w:tcBorders>
              <w:top w:val="none"/>
              <w:bottom w:val="none"/>
              <w:left w:val="none"/>
              <w:right w:val="none"/>
            </w:tcBorders>
            <w:tcMar>
              <w:top w:w="70" w:type="dxa"/>
              <w:bottom w:w="70" w:type="dxa"/>
              <w:left w:w="100" w:type="dxa"/>
              <w:right w:w="100" w:type="dxa"/>
            </w:tcMar>
          </w:tcPr>
          <w:p>
            <w:r>
              <w:rPr>
                <w:b/>
              </w:rPr>
              <w:t>Diagrama 2: Clases del Dominio Pedagógico</w:t>
            </w:r>
          </w:p>
        </w:tc>
        <w:tc>
          <w:tcPr>
            <w:tcW w:type="dxa" w:w="2340"/>
            <w:tcBorders>
              <w:top w:val="none"/>
              <w:bottom w:val="none"/>
              <w:left w:val="none"/>
              <w:right w:val="none"/>
            </w:tcBorders>
            <w:tcMar>
              <w:top w:w="70" w:type="dxa"/>
              <w:bottom w:w="70" w:type="dxa"/>
              <w:left w:w="100" w:type="dxa"/>
              <w:right w:w="100" w:type="dxa"/>
            </w:tcMar>
          </w:tcPr>
          <w:p>
            <w:r>
              <w:t>Asistente de IA: Propuso clases monolíticas acopladas con generación directa de texto en lenguaje natural.</w:t>
            </w:r>
          </w:p>
        </w:tc>
        <w:tc>
          <w:tcPr>
            <w:tcW w:type="dxa" w:w="2340"/>
            <w:tcBorders>
              <w:top w:val="none"/>
              <w:bottom w:val="none"/>
              <w:left w:val="none"/>
              <w:right w:val="none"/>
            </w:tcBorders>
            <w:tcMar>
              <w:top w:w="70" w:type="dxa"/>
              <w:bottom w:w="70" w:type="dxa"/>
              <w:left w:w="100" w:type="dxa"/>
              <w:right w:w="100" w:type="dxa"/>
            </w:tcMar>
          </w:tcPr>
          <w:p>
            <w:r>
              <w:t>Modificado: Se aplicó Inversión de Dependencias (IEvaluationEngine) y composición pura de Question dentro de Evaluation.</w:t>
            </w:r>
          </w:p>
        </w:tc>
        <w:tc>
          <w:tcPr>
            <w:tcW w:type="dxa" w:w="2340"/>
            <w:tcBorders>
              <w:top w:val="none"/>
              <w:bottom w:val="none"/>
              <w:left w:val="none"/>
              <w:right w:val="none"/>
            </w:tcBorders>
            <w:tcMar>
              <w:top w:w="70" w:type="dxa"/>
              <w:bottom w:w="70" w:type="dxa"/>
              <w:left w:w="100" w:type="dxa"/>
              <w:right w:w="100" w:type="dxa"/>
            </w:tcMar>
          </w:tcPr>
          <w:p>
            <w:r>
              <w:rPr>
                <w:b/>
              </w:rPr>
              <w:t>Rechazado: Instanciación directa de motores concretos; violaba el principio SOLID de inversión de dependencias para testing con Mocks.</w:t>
            </w:r>
          </w:p>
        </w:tc>
      </w:tr>
      <w:tr>
        <w:tc>
          <w:tcPr>
            <w:tcW w:type="dxa" w:w="2340"/>
            <w:tcBorders>
              <w:top w:val="none"/>
              <w:bottom w:val="none"/>
              <w:left w:val="none"/>
              <w:right w:val="none"/>
            </w:tcBorders>
            <w:tcMar>
              <w:top w:w="70" w:type="dxa"/>
              <w:bottom w:w="70" w:type="dxa"/>
              <w:left w:w="100" w:type="dxa"/>
              <w:right w:w="100" w:type="dxa"/>
            </w:tcMar>
          </w:tcPr>
          <w:p>
            <w:r>
              <w:rPr>
                <w:b/>
              </w:rPr>
              <w:t>Diagrama 3: Persistencia Multibase de Datos</w:t>
            </w:r>
          </w:p>
        </w:tc>
        <w:tc>
          <w:tcPr>
            <w:tcW w:type="dxa" w:w="2340"/>
            <w:tcBorders>
              <w:top w:val="none"/>
              <w:bottom w:val="none"/>
              <w:left w:val="none"/>
              <w:right w:val="none"/>
            </w:tcBorders>
            <w:tcMar>
              <w:top w:w="70" w:type="dxa"/>
              <w:bottom w:w="70" w:type="dxa"/>
              <w:left w:w="100" w:type="dxa"/>
              <w:right w:w="100" w:type="dxa"/>
            </w:tcMar>
          </w:tcPr>
          <w:p>
            <w:r>
              <w:t>Asistente de IA: Propuso usar una sola base de datos relacional MySQL tradicional sin soporte offline.</w:t>
            </w:r>
          </w:p>
        </w:tc>
        <w:tc>
          <w:tcPr>
            <w:tcW w:type="dxa" w:w="2340"/>
            <w:tcBorders>
              <w:top w:val="none"/>
              <w:bottom w:val="none"/>
              <w:left w:val="none"/>
              <w:right w:val="none"/>
            </w:tcBorders>
            <w:tcMar>
              <w:top w:w="70" w:type="dxa"/>
              <w:bottom w:w="70" w:type="dxa"/>
              <w:left w:w="100" w:type="dxa"/>
              <w:right w:w="100" w:type="dxa"/>
            </w:tcMar>
          </w:tcPr>
          <w:p>
            <w:r>
              <w:t>Modificado: Se diseñó persistencia dual: IndexedDB local con schemas indexados y Cloud Firestore NoSQL remota, vinculados por Data Mappers.</w:t>
            </w:r>
          </w:p>
        </w:tc>
        <w:tc>
          <w:tcPr>
            <w:tcW w:type="dxa" w:w="2340"/>
            <w:tcBorders>
              <w:top w:val="none"/>
              <w:bottom w:val="none"/>
              <w:left w:val="none"/>
              <w:right w:val="none"/>
            </w:tcBorders>
            <w:tcMar>
              <w:top w:w="70" w:type="dxa"/>
              <w:bottom w:w="70" w:type="dxa"/>
              <w:left w:w="100" w:type="dxa"/>
              <w:right w:w="100" w:type="dxa"/>
            </w:tcMar>
          </w:tcPr>
          <w:p>
            <w:r>
              <w:rPr>
                <w:b/>
              </w:rPr>
              <w:t>Rechazado: Forzar un único motor de base de datos; incapacitaba el funcionamiento offline-first en smartphones sin señal de red.</w:t>
            </w:r>
          </w:p>
        </w:tc>
      </w:tr>
      <w:tr>
        <w:tc>
          <w:tcPr>
            <w:tcW w:type="dxa" w:w="2340"/>
            <w:tcBorders>
              <w:top w:val="none"/>
              <w:bottom w:val="none"/>
              <w:left w:val="none"/>
              <w:right w:val="none"/>
            </w:tcBorders>
            <w:tcMar>
              <w:top w:w="70" w:type="dxa"/>
              <w:bottom w:w="70" w:type="dxa"/>
              <w:left w:w="100" w:type="dxa"/>
              <w:right w:w="100" w:type="dxa"/>
            </w:tcMar>
          </w:tcPr>
          <w:p>
            <w:r>
              <w:rPr>
                <w:b/>
              </w:rPr>
              <w:t>Diagrama 5 y 6: Casos de Uso y Moderación</w:t>
            </w:r>
          </w:p>
        </w:tc>
        <w:tc>
          <w:tcPr>
            <w:tcW w:type="dxa" w:w="2340"/>
            <w:tcBorders>
              <w:top w:val="none"/>
              <w:bottom w:val="none"/>
              <w:left w:val="none"/>
              <w:right w:val="none"/>
            </w:tcBorders>
            <w:tcMar>
              <w:top w:w="70" w:type="dxa"/>
              <w:bottom w:w="70" w:type="dxa"/>
              <w:left w:w="100" w:type="dxa"/>
              <w:right w:w="100" w:type="dxa"/>
            </w:tcMar>
          </w:tcPr>
          <w:p>
            <w:r>
              <w:t>Asistente de IA: Propuso umbral de avance al 50% y moderación por votos comunitarios abiertos estilo foro (Reddit).</w:t>
            </w:r>
          </w:p>
        </w:tc>
        <w:tc>
          <w:tcPr>
            <w:tcW w:type="dxa" w:w="2340"/>
            <w:tcBorders>
              <w:top w:val="none"/>
              <w:bottom w:val="none"/>
              <w:left w:val="none"/>
              <w:right w:val="none"/>
            </w:tcBorders>
            <w:tcMar>
              <w:top w:w="70" w:type="dxa"/>
              <w:bottom w:w="70" w:type="dxa"/>
              <w:left w:w="100" w:type="dxa"/>
              <w:right w:w="100" w:type="dxa"/>
            </w:tcMar>
          </w:tcPr>
          <w:p>
            <w:r>
              <w:t>Modificado: Umbral del 70% obligatorio e instauración del principio de cuatro ojos (autor_id != validador_id) con cuarentena.</w:t>
            </w:r>
          </w:p>
        </w:tc>
        <w:tc>
          <w:tcPr>
            <w:tcW w:type="dxa" w:w="2340"/>
            <w:tcBorders>
              <w:top w:val="none"/>
              <w:bottom w:val="none"/>
              <w:left w:val="none"/>
              <w:right w:val="none"/>
            </w:tcBorders>
            <w:tcMar>
              <w:top w:w="70" w:type="dxa"/>
              <w:bottom w:w="70" w:type="dxa"/>
              <w:left w:w="100" w:type="dxa"/>
              <w:right w:w="100" w:type="dxa"/>
            </w:tcMar>
          </w:tcPr>
          <w:p>
            <w:r>
              <w:rPr>
                <w:b/>
              </w:rPr>
              <w:t>Rechazado: Votación comunitaria sin filtro docente. Habría contaminado el banco lingüístico con interferencias del castellano o aymara.</w:t>
            </w:r>
          </w:p>
        </w:tc>
      </w:tr>
      <w:tr>
        <w:tc>
          <w:tcPr>
            <w:tcW w:type="dxa" w:w="2340"/>
            <w:tcBorders>
              <w:top w:val="none"/>
              <w:bottom w:val="single" w:sz="12" w:space="0" w:color="000000"/>
              <w:left w:val="none"/>
              <w:right w:val="none"/>
            </w:tcBorders>
            <w:tcMar>
              <w:top w:w="70" w:type="dxa"/>
              <w:bottom w:w="70" w:type="dxa"/>
              <w:left w:w="100" w:type="dxa"/>
              <w:right w:w="100" w:type="dxa"/>
            </w:tcMar>
          </w:tcPr>
          <w:p>
            <w:r>
              <w:rPr>
                <w:b/>
              </w:rPr>
              <w:t>Diagrama 4: Modelo Entidad-Relación (ERD)</w:t>
            </w:r>
          </w:p>
        </w:tc>
        <w:tc>
          <w:tcPr>
            <w:tcW w:type="dxa" w:w="2340"/>
            <w:tcBorders>
              <w:top w:val="none"/>
              <w:bottom w:val="single" w:sz="12" w:space="0" w:color="000000"/>
              <w:left w:val="none"/>
              <w:right w:val="none"/>
            </w:tcBorders>
            <w:tcMar>
              <w:top w:w="70" w:type="dxa"/>
              <w:bottom w:w="70" w:type="dxa"/>
              <w:left w:w="100" w:type="dxa"/>
              <w:right w:w="100" w:type="dxa"/>
            </w:tcMar>
          </w:tcPr>
          <w:p>
            <w:r>
              <w:t>Asistente de IA: Propuso guardar las preguntas de evaluación como un texto JSON no estructurado dentro de la tabla de usuarios.</w:t>
            </w:r>
          </w:p>
        </w:tc>
        <w:tc>
          <w:tcPr>
            <w:tcW w:type="dxa" w:w="2340"/>
            <w:tcBorders>
              <w:top w:val="none"/>
              <w:bottom w:val="single" w:sz="12" w:space="0" w:color="000000"/>
              <w:left w:val="none"/>
              <w:right w:val="none"/>
            </w:tcBorders>
            <w:tcMar>
              <w:top w:w="70" w:type="dxa"/>
              <w:bottom w:w="70" w:type="dxa"/>
              <w:left w:w="100" w:type="dxa"/>
              <w:right w:w="100" w:type="dxa"/>
            </w:tcMar>
          </w:tcPr>
          <w:p>
            <w:r>
              <w:t>Modificado: Se normalizó la entidad débil DETALLE_PREGUNTA con cardinalidad 1:10 y claves foráneas tipadas.</w:t>
            </w:r>
          </w:p>
        </w:tc>
        <w:tc>
          <w:tcPr>
            <w:tcW w:type="dxa" w:w="2340"/>
            <w:tcBorders>
              <w:top w:val="none"/>
              <w:bottom w:val="single" w:sz="12" w:space="0" w:color="000000"/>
              <w:left w:val="none"/>
              <w:right w:val="none"/>
            </w:tcBorders>
            <w:tcMar>
              <w:top w:w="70" w:type="dxa"/>
              <w:bottom w:w="70" w:type="dxa"/>
              <w:left w:w="100" w:type="dxa"/>
              <w:right w:w="100" w:type="dxa"/>
            </w:tcMar>
          </w:tcPr>
          <w:p>
            <w:r>
              <w:rPr>
                <w:b/>
              </w:rPr>
              <w:t>Rechazado: Almacenamiento desnormalizado sin clave foránea; impedía la auditoría analítica de errores morfológicos por nivel.</w:t>
            </w:r>
          </w:p>
        </w:tc>
      </w:tr>
    </w:tbl>
    <w:p>
      <w:pPr>
        <w:spacing w:before="280" w:after="120" w:line="360" w:lineRule="auto"/>
        <w:jc w:val="left"/>
      </w:pPr>
      <w:r>
        <w:rPr>
          <w:rFonts w:ascii="Times New Roman" w:hAnsi="Times New Roman"/>
          <w:b/>
          <w:sz w:val="26"/>
        </w:rPr>
        <w:t>8.1 Evidencia de Mejora del Prompt</w:t>
      </w:r>
    </w:p>
    <w:p>
      <w:pPr>
        <w:spacing w:line="360" w:lineRule="auto" w:after="120" w:before="0"/>
        <w:jc w:val="left"/>
      </w:pPr>
      <w:r>
        <w:rPr>
          <w:rFonts w:ascii="Times New Roman" w:hAnsi="Times New Roman"/>
          <w:b w:val="0"/>
          <w:i w:val="0"/>
          <w:sz w:val="24"/>
        </w:rPr>
        <w:t>La interacción inicial con la IA partió de solicitudes abiertas de modelado UML genérico. El equipo detectó tempranamente que la IA tendía a proponer stacks de software convencionales pensados para entornos empresariales con conectividad de fibra óptica y presupuestos comerciales holgados (APIs de OpenAI, bases de datos SQL centralizadas, SPAs pesadas en React). Mediante refinamiento iterativo de prompts (*prompt engineering*), el equipo humano restringió el contexto incorporando las directrices de la stakeholder pedagógica (Lic. María Elena Quispe), la realidad técnica de las redes 2G/3G en Sucre y las restricciones formales de presupuesto ($0) y memoria (&lt; 150 MB RAM). Este proceso documenta el gobierno humano sobre los artefactos de software generados.</w:t>
      </w:r>
    </w:p>
    <w:p>
      <w:pPr>
        <w:spacing w:before="280" w:after="120" w:line="360" w:lineRule="auto"/>
        <w:jc w:val="left"/>
      </w:pPr>
      <w:r>
        <w:rPr>
          <w:rFonts w:ascii="Times New Roman" w:hAnsi="Times New Roman"/>
          <w:b/>
          <w:sz w:val="26"/>
        </w:rPr>
        <w:t>8.2 Análisis Crítico de Posibles Alucinaciones de la IA</w:t>
      </w:r>
    </w:p>
    <w:p>
      <w:pPr>
        <w:spacing w:line="360" w:lineRule="auto" w:after="120" w:before="0"/>
        <w:jc w:val="left"/>
      </w:pPr>
      <w:r>
        <w:rPr>
          <w:rFonts w:ascii="Times New Roman" w:hAnsi="Times New Roman"/>
          <w:b w:val="0"/>
          <w:i w:val="0"/>
          <w:sz w:val="24"/>
        </w:rPr>
        <w:t>En el dominio lingüístico de los idiomas originarios de Bolivia, los modelos de lenguaje masivos (LLMs) exhiben una tasa de error crítica superior al 35%, mezclando variantes dialectales (Collao con Cuzqueño o Ayacuchano) e inventando sufijos aglutinantes inexistentes. Para blindar el software contra estas alucinaciones, el equipo humano adoptó una decisión arquitectónica radical: descartar cualquier llamada a LLMs en tiempo de ejecución y sustituirlos por un motor determinista en TypeScript cuyas reglas y oraciones base provienen exclusivamente de docentes hablantes nativos certificados mediante el principio de los cuatro ojos.</w:t>
      </w:r>
    </w:p>
    <w:p>
      <w:r>
        <w:br w:type="page"/>
      </w:r>
    </w:p>
    <w:p>
      <w:pPr>
        <w:spacing w:before="360" w:after="200" w:line="360" w:lineRule="auto"/>
        <w:jc w:val="center"/>
      </w:pPr>
      <w:r>
        <w:rPr>
          <w:rFonts w:ascii="Times New Roman" w:hAnsi="Times New Roman"/>
          <w:b/>
          <w:sz w:val="28"/>
        </w:rPr>
        <w:t>CAPÍTULO IX: GUÍA DE EXPLICACIÓN PARA EVALUACIÓN ORAL (5 MINUTOS)</w:t>
      </w:r>
    </w:p>
    <w:p>
      <w:pPr>
        <w:spacing w:line="360" w:lineRule="auto" w:after="120" w:before="0"/>
        <w:jc w:val="left"/>
      </w:pPr>
      <w:r>
        <w:rPr>
          <w:rFonts w:ascii="Times New Roman" w:hAnsi="Times New Roman"/>
          <w:b w:val="0"/>
          <w:i w:val="0"/>
          <w:sz w:val="24"/>
        </w:rPr>
        <w:t>Para la defensa oral del trabajo grupal (30 puntos asignados al Criterio de Verificación #2), los dos integrantes del equipo han distribuido los 300 segundos de la exposición conforme al siguiente cronograma técnico riguroso:</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12" w:space="0" w:color="000000"/>
              <w:bottom w:val="single" w:sz="6" w:space="0" w:color="000000"/>
              <w:left w:val="none"/>
              <w:right w:val="none"/>
            </w:tcBorders>
            <w:tcMar>
              <w:top w:w="70" w:type="dxa"/>
              <w:bottom w:w="70" w:type="dxa"/>
              <w:left w:w="100" w:type="dxa"/>
              <w:right w:w="100" w:type="dxa"/>
            </w:tcMar>
          </w:tcPr>
          <w:p>
            <w:r>
              <w:rPr>
                <w:b/>
              </w:rPr>
              <w:t>Intervalo Temporal</w:t>
            </w:r>
          </w:p>
        </w:tc>
        <w:tc>
          <w:tcPr>
            <w:tcW w:type="dxa" w:w="3120"/>
            <w:tcBorders>
              <w:top w:val="single" w:sz="12" w:space="0" w:color="000000"/>
              <w:bottom w:val="single" w:sz="6" w:space="0" w:color="000000"/>
              <w:left w:val="none"/>
              <w:right w:val="none"/>
            </w:tcBorders>
            <w:tcMar>
              <w:top w:w="70" w:type="dxa"/>
              <w:bottom w:w="70" w:type="dxa"/>
              <w:left w:w="100" w:type="dxa"/>
              <w:right w:w="100" w:type="dxa"/>
            </w:tcMar>
          </w:tcPr>
          <w:p>
            <w:r>
              <w:rPr>
                <w:b/>
              </w:rPr>
              <w:t>Módulo / Vista Expuesta</w:t>
            </w:r>
          </w:p>
        </w:tc>
        <w:tc>
          <w:tcPr>
            <w:tcW w:type="dxa" w:w="3120"/>
            <w:tcBorders>
              <w:top w:val="single" w:sz="12" w:space="0" w:color="000000"/>
              <w:bottom w:val="single" w:sz="6" w:space="0" w:color="000000"/>
              <w:left w:val="none"/>
              <w:right w:val="none"/>
            </w:tcBorders>
            <w:tcMar>
              <w:top w:w="70" w:type="dxa"/>
              <w:bottom w:w="70" w:type="dxa"/>
              <w:left w:w="100" w:type="dxa"/>
              <w:right w:w="100" w:type="dxa"/>
            </w:tcMar>
          </w:tcPr>
          <w:p>
            <w:r>
              <w:rPr>
                <w:b/>
              </w:rPr>
              <w:t>Estudiante Responsable</w:t>
            </w:r>
          </w:p>
        </w:tc>
      </w:tr>
      <w:tr>
        <w:tc>
          <w:tcPr>
            <w:tcW w:type="dxa" w:w="3120"/>
            <w:tcBorders>
              <w:top w:val="none"/>
              <w:bottom w:val="none"/>
              <w:left w:val="none"/>
              <w:right w:val="none"/>
            </w:tcBorders>
            <w:tcMar>
              <w:top w:w="70" w:type="dxa"/>
              <w:bottom w:w="70" w:type="dxa"/>
              <w:left w:w="100" w:type="dxa"/>
              <w:right w:w="100" w:type="dxa"/>
            </w:tcMar>
          </w:tcPr>
          <w:p>
            <w:r>
              <w:rPr>
                <w:b/>
              </w:rPr>
              <w:t>0:00 - 0:45 (45 s)</w:t>
            </w:r>
          </w:p>
        </w:tc>
        <w:tc>
          <w:tcPr>
            <w:tcW w:type="dxa" w:w="3120"/>
            <w:tcBorders>
              <w:top w:val="none"/>
              <w:bottom w:val="none"/>
              <w:left w:val="none"/>
              <w:right w:val="none"/>
            </w:tcBorders>
            <w:tcMar>
              <w:top w:w="70" w:type="dxa"/>
              <w:bottom w:w="70" w:type="dxa"/>
              <w:left w:w="100" w:type="dxa"/>
              <w:right w:w="100" w:type="dxa"/>
            </w:tcMar>
          </w:tcPr>
          <w:p>
            <w:r>
              <w:t>Contexto Territorial &amp; Arquitectura General PWA de 4 Capas</w:t>
            </w:r>
          </w:p>
        </w:tc>
        <w:tc>
          <w:tcPr>
            <w:tcW w:type="dxa" w:w="3120"/>
            <w:tcBorders>
              <w:top w:val="none"/>
              <w:bottom w:val="none"/>
              <w:left w:val="none"/>
              <w:right w:val="none"/>
            </w:tcBorders>
            <w:tcMar>
              <w:top w:w="70" w:type="dxa"/>
              <w:bottom w:w="70" w:type="dxa"/>
              <w:left w:w="100" w:type="dxa"/>
              <w:right w:w="100" w:type="dxa"/>
            </w:tcMar>
          </w:tcPr>
          <w:p>
            <w:r>
              <w:rPr>
                <w:b/>
              </w:rPr>
              <w:t>Emmanuel Ponce Quiroga</w:t>
            </w:r>
          </w:p>
        </w:tc>
      </w:tr>
      <w:tr>
        <w:tc>
          <w:tcPr>
            <w:tcW w:type="dxa" w:w="3120"/>
            <w:tcBorders>
              <w:top w:val="none"/>
              <w:bottom w:val="none"/>
              <w:left w:val="none"/>
              <w:right w:val="none"/>
            </w:tcBorders>
            <w:tcMar>
              <w:top w:w="70" w:type="dxa"/>
              <w:bottom w:w="70" w:type="dxa"/>
              <w:left w:w="100" w:type="dxa"/>
              <w:right w:w="100" w:type="dxa"/>
            </w:tcMar>
          </w:tcPr>
          <w:p>
            <w:r>
              <w:rPr>
                <w:b/>
              </w:rPr>
              <w:t>0:45 - 2:00 (75 s)</w:t>
            </w:r>
          </w:p>
        </w:tc>
        <w:tc>
          <w:tcPr>
            <w:tcW w:type="dxa" w:w="3120"/>
            <w:tcBorders>
              <w:top w:val="none"/>
              <w:bottom w:val="none"/>
              <w:left w:val="none"/>
              <w:right w:val="none"/>
            </w:tcBorders>
            <w:tcMar>
              <w:top w:w="70" w:type="dxa"/>
              <w:bottom w:w="70" w:type="dxa"/>
              <w:left w:w="100" w:type="dxa"/>
              <w:right w:w="100" w:type="dxa"/>
            </w:tcMar>
          </w:tcPr>
          <w:p>
            <w:r>
              <w:t>Diagramas de Clases (Dominio &amp; Persistencia Multibase IndexedDB/Firestore)</w:t>
            </w:r>
          </w:p>
        </w:tc>
        <w:tc>
          <w:tcPr>
            <w:tcW w:type="dxa" w:w="3120"/>
            <w:tcBorders>
              <w:top w:val="none"/>
              <w:bottom w:val="none"/>
              <w:left w:val="none"/>
              <w:right w:val="none"/>
            </w:tcBorders>
            <w:tcMar>
              <w:top w:w="70" w:type="dxa"/>
              <w:bottom w:w="70" w:type="dxa"/>
              <w:left w:w="100" w:type="dxa"/>
              <w:right w:w="100" w:type="dxa"/>
            </w:tcMar>
          </w:tcPr>
          <w:p>
            <w:r>
              <w:rPr>
                <w:b/>
              </w:rPr>
              <w:t>Jhoel Alvaro Cruz Zurita</w:t>
            </w:r>
          </w:p>
        </w:tc>
      </w:tr>
      <w:tr>
        <w:tc>
          <w:tcPr>
            <w:tcW w:type="dxa" w:w="3120"/>
            <w:tcBorders>
              <w:top w:val="none"/>
              <w:bottom w:val="none"/>
              <w:left w:val="none"/>
              <w:right w:val="none"/>
            </w:tcBorders>
            <w:tcMar>
              <w:top w:w="70" w:type="dxa"/>
              <w:bottom w:w="70" w:type="dxa"/>
              <w:left w:w="100" w:type="dxa"/>
              <w:right w:w="100" w:type="dxa"/>
            </w:tcMar>
          </w:tcPr>
          <w:p>
            <w:r>
              <w:rPr>
                <w:b/>
              </w:rPr>
              <w:t>2:00 - 3:15 (75 s)</w:t>
            </w:r>
          </w:p>
        </w:tc>
        <w:tc>
          <w:tcPr>
            <w:tcW w:type="dxa" w:w="3120"/>
            <w:tcBorders>
              <w:top w:val="none"/>
              <w:bottom w:val="none"/>
              <w:left w:val="none"/>
              <w:right w:val="none"/>
            </w:tcBorders>
            <w:tcMar>
              <w:top w:w="70" w:type="dxa"/>
              <w:bottom w:w="70" w:type="dxa"/>
              <w:left w:w="100" w:type="dxa"/>
              <w:right w:w="100" w:type="dxa"/>
            </w:tcMar>
          </w:tcPr>
          <w:p>
            <w:r>
              <w:t>Motor IA Determinista en TS &amp; Doble Moderación Docente (4 Ojos)</w:t>
            </w:r>
          </w:p>
        </w:tc>
        <w:tc>
          <w:tcPr>
            <w:tcW w:type="dxa" w:w="3120"/>
            <w:tcBorders>
              <w:top w:val="none"/>
              <w:bottom w:val="none"/>
              <w:left w:val="none"/>
              <w:right w:val="none"/>
            </w:tcBorders>
            <w:tcMar>
              <w:top w:w="70" w:type="dxa"/>
              <w:bottom w:w="70" w:type="dxa"/>
              <w:left w:w="100" w:type="dxa"/>
              <w:right w:w="100" w:type="dxa"/>
            </w:tcMar>
          </w:tcPr>
          <w:p>
            <w:r>
              <w:rPr>
                <w:b/>
              </w:rPr>
              <w:t>Emmanuel Ponce Quiroga</w:t>
            </w:r>
          </w:p>
        </w:tc>
      </w:tr>
      <w:tr>
        <w:tc>
          <w:tcPr>
            <w:tcW w:type="dxa" w:w="3120"/>
            <w:tcBorders>
              <w:top w:val="none"/>
              <w:bottom w:val="none"/>
              <w:left w:val="none"/>
              <w:right w:val="none"/>
            </w:tcBorders>
            <w:tcMar>
              <w:top w:w="70" w:type="dxa"/>
              <w:bottom w:w="70" w:type="dxa"/>
              <w:left w:w="100" w:type="dxa"/>
              <w:right w:w="100" w:type="dxa"/>
            </w:tcMar>
          </w:tcPr>
          <w:p>
            <w:r>
              <w:rPr>
                <w:b/>
              </w:rPr>
              <w:t>3:15 - 4:15 (60 s)</w:t>
            </w:r>
          </w:p>
        </w:tc>
        <w:tc>
          <w:tcPr>
            <w:tcW w:type="dxa" w:w="3120"/>
            <w:tcBorders>
              <w:top w:val="none"/>
              <w:bottom w:val="none"/>
              <w:left w:val="none"/>
              <w:right w:val="none"/>
            </w:tcBorders>
            <w:tcMar>
              <w:top w:w="70" w:type="dxa"/>
              <w:bottom w:w="70" w:type="dxa"/>
              <w:left w:w="100" w:type="dxa"/>
              <w:right w:w="100" w:type="dxa"/>
            </w:tcMar>
          </w:tcPr>
          <w:p>
            <w:r>
              <w:t>Vista Dinámica: Secuencia Temporal, Estados &amp; Background Sync</w:t>
            </w:r>
          </w:p>
        </w:tc>
        <w:tc>
          <w:tcPr>
            <w:tcW w:type="dxa" w:w="3120"/>
            <w:tcBorders>
              <w:top w:val="none"/>
              <w:bottom w:val="none"/>
              <w:left w:val="none"/>
              <w:right w:val="none"/>
            </w:tcBorders>
            <w:tcMar>
              <w:top w:w="70" w:type="dxa"/>
              <w:bottom w:w="70" w:type="dxa"/>
              <w:left w:w="100" w:type="dxa"/>
              <w:right w:w="100" w:type="dxa"/>
            </w:tcMar>
          </w:tcPr>
          <w:p>
            <w:r>
              <w:rPr>
                <w:b/>
              </w:rPr>
              <w:t>Jhoel Alvaro Cruz Zurita</w:t>
            </w:r>
          </w:p>
        </w:tc>
      </w:tr>
      <w:tr>
        <w:tc>
          <w:tcPr>
            <w:tcW w:type="dxa" w:w="3120"/>
            <w:tcBorders>
              <w:top w:val="none"/>
              <w:bottom w:val="single" w:sz="12" w:space="0" w:color="000000"/>
              <w:left w:val="none"/>
              <w:right w:val="none"/>
            </w:tcBorders>
            <w:tcMar>
              <w:top w:w="70" w:type="dxa"/>
              <w:bottom w:w="70" w:type="dxa"/>
              <w:left w:w="100" w:type="dxa"/>
              <w:right w:w="100" w:type="dxa"/>
            </w:tcMar>
          </w:tcPr>
          <w:p>
            <w:r>
              <w:rPr>
                <w:b/>
              </w:rPr>
              <w:t>4:15 - 5:00 (45 s)</w:t>
            </w:r>
          </w:p>
        </w:tc>
        <w:tc>
          <w:tcPr>
            <w:tcW w:type="dxa" w:w="3120"/>
            <w:tcBorders>
              <w:top w:val="none"/>
              <w:bottom w:val="single" w:sz="12" w:space="0" w:color="000000"/>
              <w:left w:val="none"/>
              <w:right w:val="none"/>
            </w:tcBorders>
            <w:tcMar>
              <w:top w:w="70" w:type="dxa"/>
              <w:bottom w:w="70" w:type="dxa"/>
              <w:left w:w="100" w:type="dxa"/>
              <w:right w:w="100" w:type="dxa"/>
            </w:tcMar>
          </w:tcPr>
          <w:p>
            <w:r>
              <w:t>Matriz de Auditoría Ética de IA, Conclusiones y Ronda de Preguntas</w:t>
            </w:r>
          </w:p>
        </w:tc>
        <w:tc>
          <w:tcPr>
            <w:tcW w:type="dxa" w:w="3120"/>
            <w:tcBorders>
              <w:top w:val="none"/>
              <w:bottom w:val="single" w:sz="12" w:space="0" w:color="000000"/>
              <w:left w:val="none"/>
              <w:right w:val="none"/>
            </w:tcBorders>
            <w:tcMar>
              <w:top w:w="70" w:type="dxa"/>
              <w:bottom w:w="70" w:type="dxa"/>
              <w:left w:w="100" w:type="dxa"/>
              <w:right w:w="100" w:type="dxa"/>
            </w:tcMar>
          </w:tcPr>
          <w:p>
            <w:r>
              <w:rPr>
                <w:b/>
              </w:rPr>
              <w:t>Jhoel Alvaro Cruz &amp; Emmanuel Ponce</w:t>
            </w:r>
          </w:p>
        </w:tc>
      </w:tr>
    </w:tbl>
    <w:p>
      <w:pPr>
        <w:spacing w:before="280" w:after="120" w:line="360" w:lineRule="auto"/>
        <w:jc w:val="left"/>
      </w:pPr>
      <w:r>
        <w:rPr>
          <w:rFonts w:ascii="Times New Roman" w:hAnsi="Times New Roman"/>
          <w:b/>
          <w:sz w:val="26"/>
        </w:rPr>
        <w:t>9.1 Banco de Preguntas Críticas y Respuestas Técnicas de Defensa</w:t>
      </w:r>
    </w:p>
    <w:p>
      <w:pPr>
        <w:spacing w:line="360" w:lineRule="auto" w:after="120" w:before="0"/>
        <w:jc w:val="left"/>
      </w:pPr>
      <w:r>
        <w:rPr>
          <w:rFonts w:ascii="Times New Roman" w:hAnsi="Times New Roman"/>
          <w:b w:val="0"/>
          <w:i w:val="0"/>
          <w:sz w:val="24"/>
        </w:rPr>
        <w:t>1. ¿Por qué en el diagrama de arquitectura no colocaron un rombo para validar si hay internet?</w:t>
        <w:br/>
        <w:t xml:space="preserve">   Respuesta: Porque la arquitectura modela componentes estáticos y protocolos de comunicación (HTTPS TLS 1.3, HTTP/2, Cache API). En una PWA, el cliente siempre emite llamadas HTTP estándar que son interceptadas de forma transparente por el Service Worker; modelar un rombo en la red es un error de abstracción conceptual que mezcla arquitectura con un diagrama de actividades procedimental.</w:t>
      </w:r>
    </w:p>
    <w:p>
      <w:pPr>
        <w:spacing w:line="360" w:lineRule="auto" w:after="120" w:before="0"/>
        <w:jc w:val="left"/>
      </w:pPr>
      <w:r>
        <w:rPr>
          <w:rFonts w:ascii="Times New Roman" w:hAnsi="Times New Roman"/>
          <w:b w:val="0"/>
          <w:i w:val="0"/>
          <w:sz w:val="24"/>
        </w:rPr>
        <w:t>2. ¿Cómo se modela la coexistencia de múltiples bases de datos en UML?</w:t>
        <w:br/>
        <w:t xml:space="preserve">   Respuesta: Aplicando el patrón Data Mapper y Repository. Se definen las entidades de negocio en el Dominio, mientras que los schemas de IndexedDB (ObjectStores con keyPaths e índices) y Firestore (Colecciones con marcas de tiempo) se modelan en capas de persistencia independientes. Mappers específicos traducen entre el dominio y cada base de datos, y un repositorio unificado coordina la escritura local y la sincronización remota.</w:t>
      </w:r>
    </w:p>
    <w:p>
      <w:pPr>
        <w:spacing w:line="360" w:lineRule="auto" w:after="120" w:before="0"/>
        <w:jc w:val="left"/>
      </w:pPr>
      <w:r>
        <w:rPr>
          <w:rFonts w:ascii="Times New Roman" w:hAnsi="Times New Roman"/>
          <w:b w:val="0"/>
          <w:i w:val="0"/>
          <w:sz w:val="24"/>
        </w:rPr>
        <w:t>3. ¿Por qué la relación entre Evaluación y Pregunta es Composición (*--) y no Agregación (o--)?</w:t>
        <w:br/>
        <w:t xml:space="preserve">   Respuesta: Porque las preguntas son sintetizadas dinámicamente con permutaciones específicas para ese intento evaluativo particular. No tienen existencia conceptual, clave primaria natural ni sentido de negocio fuera de la evaluación que las originó. Si la evaluación se descarta o se reinicia, sus 10 preguntas se destruyen en cascada en memoria.</w:t>
      </w:r>
    </w:p>
    <w:p>
      <w:pPr>
        <w:spacing w:before="360" w:after="200" w:line="360" w:lineRule="auto"/>
        <w:jc w:val="center"/>
      </w:pPr>
      <w:r>
        <w:rPr>
          <w:rFonts w:ascii="Times New Roman" w:hAnsi="Times New Roman"/>
          <w:b/>
          <w:sz w:val="28"/>
        </w:rPr>
        <w:t>CONCLUSIONES</w:t>
      </w:r>
    </w:p>
    <w:p>
      <w:pPr>
        <w:spacing w:line="360" w:lineRule="auto" w:after="120" w:before="0"/>
        <w:jc w:val="left"/>
      </w:pPr>
      <w:r>
        <w:rPr>
          <w:rFonts w:ascii="Times New Roman" w:hAnsi="Times New Roman"/>
          <w:b w:val="0"/>
          <w:i w:val="0"/>
          <w:sz w:val="24"/>
        </w:rPr>
        <w:t>1. Cumplimiento Estricto del Gate 3: El Álbum de Modelos UML de YAPU proporciona una descripción completa, modular y ejecutable del sistema bajo el estándar IEEE Std 1016-2009, sentando las bases definitivas para la fase de construcción.</w:t>
        <w:br/>
        <w:t>2. Resiliencia y Pertinencia Social: La combinación de Astro SSG, Service Workers e IndexedDB asegura que los estudiantes de comunidades rurales de Chuquisaca puedan aprender quechua en sus propios dispositivos móviles sin depender de conectividad constante ni consumir planes de datos.</w:t>
        <w:br/>
        <w:t>3. Soberanía Pedagógica: El motor determinista en TypeScript y el principio de doble moderación garantizan rigor lingüístico y coste cero, protegiendo la integridad dialectal del quechua Collao.</w:t>
      </w:r>
    </w:p>
    <w:p>
      <w:pPr>
        <w:spacing w:before="360" w:after="200" w:line="360" w:lineRule="auto"/>
        <w:jc w:val="center"/>
      </w:pPr>
      <w:r>
        <w:rPr>
          <w:rFonts w:ascii="Times New Roman" w:hAnsi="Times New Roman"/>
          <w:b/>
          <w:sz w:val="28"/>
        </w:rPr>
        <w:t>REFERENCIAS BIBLIOGRÁFICAS (APA 7MA EDICIÓN)</w:t>
      </w:r>
    </w:p>
    <w:p>
      <w:pPr>
        <w:spacing w:line="360" w:lineRule="auto" w:after="120" w:before="0"/>
        <w:ind w:left="720" w:hanging="720"/>
        <w:jc w:val="left"/>
      </w:pPr>
      <w:r>
        <w:rPr>
          <w:rFonts w:ascii="Times New Roman" w:hAnsi="Times New Roman"/>
          <w:b w:val="0"/>
          <w:i w:val="0"/>
          <w:sz w:val="24"/>
        </w:rPr>
        <w:t>Cerrón-Palomino, R. (2003). Lingüística quechua (2.ª ed.). Centro de Estudios Regionales Andinos Bartolomé de Las Casas.</w:t>
      </w:r>
    </w:p>
    <w:p>
      <w:pPr>
        <w:spacing w:line="360" w:lineRule="auto" w:after="120" w:before="0"/>
        <w:ind w:left="720" w:hanging="720"/>
        <w:jc w:val="left"/>
      </w:pPr>
      <w:r>
        <w:rPr>
          <w:rFonts w:ascii="Times New Roman" w:hAnsi="Times New Roman"/>
          <w:b w:val="0"/>
          <w:i w:val="0"/>
          <w:sz w:val="24"/>
        </w:rPr>
        <w:t>Constitución Política del Estado Plurinacional de Bolivia. (2009). Gaceta Oficial del Estado Plurinacional de Bolivia.</w:t>
      </w:r>
    </w:p>
    <w:p>
      <w:pPr>
        <w:spacing w:line="360" w:lineRule="auto" w:after="120" w:before="0"/>
        <w:ind w:left="720" w:hanging="720"/>
        <w:jc w:val="left"/>
      </w:pPr>
      <w:r>
        <w:rPr>
          <w:rFonts w:ascii="Times New Roman" w:hAnsi="Times New Roman"/>
          <w:b w:val="0"/>
          <w:i w:val="0"/>
          <w:sz w:val="24"/>
        </w:rPr>
        <w:t>Elmasri, R., &amp; Navathe, S. B. (2017). Fundamentals of database systems (7.ª ed.). Pearson.</w:t>
      </w:r>
    </w:p>
    <w:p>
      <w:pPr>
        <w:spacing w:line="360" w:lineRule="auto" w:after="120" w:before="0"/>
        <w:ind w:left="720" w:hanging="720"/>
        <w:jc w:val="left"/>
      </w:pPr>
      <w:r>
        <w:rPr>
          <w:rFonts w:ascii="Times New Roman" w:hAnsi="Times New Roman"/>
          <w:b w:val="0"/>
          <w:i w:val="0"/>
          <w:sz w:val="24"/>
        </w:rPr>
        <w:t>IEEE Computer Society. (2009). IEEE Std 1016-2009: IEEE Standard for Information Technology — Systems Design — Software Design Descriptions. IEEE. https://doi.org/10.1109/IEEESTD.2009.5167255</w:t>
      </w:r>
    </w:p>
    <w:p>
      <w:pPr>
        <w:spacing w:line="360" w:lineRule="auto" w:after="120" w:before="0"/>
        <w:ind w:left="720" w:hanging="720"/>
        <w:jc w:val="left"/>
      </w:pPr>
      <w:r>
        <w:rPr>
          <w:rFonts w:ascii="Times New Roman" w:hAnsi="Times New Roman"/>
          <w:b w:val="0"/>
          <w:i w:val="0"/>
          <w:sz w:val="24"/>
        </w:rPr>
        <w:t>IEEE Computer Society. (2011). IEEE Std 830-1998: IEEE Recommended Practice for Software Requirements Specifications. IEEE. https://doi.org/10.1109/IEEESTD.1998.88286</w:t>
      </w:r>
    </w:p>
    <w:p>
      <w:pPr>
        <w:spacing w:line="360" w:lineRule="auto" w:after="120" w:before="0"/>
        <w:ind w:left="720" w:hanging="720"/>
        <w:jc w:val="left"/>
      </w:pPr>
      <w:r>
        <w:rPr>
          <w:rFonts w:ascii="Times New Roman" w:hAnsi="Times New Roman"/>
          <w:b w:val="0"/>
          <w:i w:val="0"/>
          <w:sz w:val="24"/>
        </w:rPr>
        <w:t>Ministerio de Educación del Estado Plurinacional de Bolivia. (2023). Currículo Base del Sistema Educativo Plurinacional. La Paz, Bolivia.</w:t>
      </w:r>
    </w:p>
    <w:p>
      <w:pPr>
        <w:spacing w:line="360" w:lineRule="auto" w:after="120" w:before="0"/>
        <w:ind w:left="720" w:hanging="720"/>
        <w:jc w:val="left"/>
      </w:pPr>
      <w:r>
        <w:rPr>
          <w:rFonts w:ascii="Times New Roman" w:hAnsi="Times New Roman"/>
          <w:b w:val="0"/>
          <w:i w:val="0"/>
          <w:sz w:val="24"/>
        </w:rPr>
        <w:t>Pressman, R. S., &amp; Maxim, B. R. (2020). Software engineering: A practitioner's approach (9.ª ed.). McGraw-Hill Education.</w:t>
      </w:r>
    </w:p>
    <w:p>
      <w:pPr>
        <w:spacing w:line="360" w:lineRule="auto" w:after="120" w:before="0"/>
        <w:ind w:left="720" w:hanging="720"/>
        <w:jc w:val="left"/>
      </w:pPr>
      <w:r>
        <w:rPr>
          <w:rFonts w:ascii="Times New Roman" w:hAnsi="Times New Roman"/>
          <w:b w:val="0"/>
          <w:i w:val="0"/>
          <w:sz w:val="24"/>
        </w:rPr>
        <w:t>Sommerville, I. (2016). Software engineering (10.ª ed.). Pearson Education.</w:t>
      </w:r>
    </w:p>
    <w:p>
      <w:pPr>
        <w:spacing w:line="360" w:lineRule="auto" w:after="120" w:before="0"/>
        <w:ind w:left="720" w:hanging="720"/>
        <w:jc w:val="left"/>
      </w:pPr>
      <w:r>
        <w:rPr>
          <w:rFonts w:ascii="Times New Roman" w:hAnsi="Times New Roman"/>
          <w:b w:val="0"/>
          <w:i w:val="0"/>
          <w:sz w:val="24"/>
        </w:rPr>
        <w:t>Wynne, M., &amp; Hellesøy, A. (2017). The Cucumber book: Behaviour-driven development for testers and developers (2.ª ed.). Pragmatic Bookshelf.</w:t>
      </w:r>
    </w:p>
    <w:sectPr w:rsidR="00FC693F" w:rsidRPr="0006063C" w:rsidSect="00034616">
      <w:headerReference w:type="default" r:id="rId9"/>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76" w:lineRule="auto"/>
      <w:jc w:val="left"/>
    </w:pPr>
    <w:r>
      <w:rPr>
        <w:rFonts w:ascii="Times New Roman" w:hAnsi="Times New Roman"/>
        <w:color w:val="64748B"/>
        <w:sz w:val="17"/>
      </w:rPr>
      <w:t>Universidad Privada Domingo Savio</w:t>
      <w:br/>
      <w:t>Facultad de Ingeniería</w:t>
      <w:br/>
      <w:t>Carrera de Ingeniería en Sistemas</w:t>
      <w:br/>
      <w:t>Asignatura: Ingeniería de Software 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