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Aptos" w:hAnsi="Aptos"/>
          <w:b/>
          <w:color w:val="D62027"/>
          <w:sz w:val="24"/>
        </w:rPr>
        <w:t>DATA ANALYTICS PROJECT</w:t>
      </w:r>
    </w:p>
    <w:p>
      <w:pPr>
        <w:spacing w:before="80"/>
      </w:pPr>
      <w:r>
        <w:rPr>
          <w:rFonts w:ascii="Aptos Display" w:hAnsi="Aptos Display"/>
          <w:b/>
          <w:color w:val="15253D"/>
          <w:sz w:val="68"/>
        </w:rPr>
        <w:t>Tesla Stock Market</w:t>
        <w:br/>
        <w:t>Performance Analysis</w:t>
      </w:r>
    </w:p>
    <w:p>
      <w:r>
        <w:rPr>
          <w:rFonts w:ascii="Aptos" w:hAnsi="Aptos"/>
          <w:b/>
          <w:color w:val="374151"/>
          <w:sz w:val="34"/>
        </w:rPr>
        <w:t>EDA &amp; Unsupervised Learning</w:t>
      </w:r>
    </w:p>
    <w:p>
      <w:pPr>
        <w:spacing w:before="240"/>
      </w:pPr>
      <w:r>
        <w:rPr>
          <w:rFonts w:ascii="Aptos" w:hAnsi="Aptos"/>
          <w:color w:val="64748B"/>
          <w:sz w:val="23"/>
        </w:rPr>
        <w:t>K-Means  •  Gaussian Mixture Model  •  DBSCAN</w:t>
      </w:r>
    </w:p>
    <w:tbl>
      <w:tblPr>
        <w:tblW w:type="auto" w:w="0"/>
        <w:tblLook w:firstColumn="1" w:firstRow="1" w:lastColumn="0" w:lastRow="0" w:noHBand="0" w:noVBand="1" w:val="04A0"/>
      </w:tblPr>
      <w:tblGrid>
        <w:gridCol w:w="9994"/>
      </w:tblGrid>
      <w:tr>
        <w:tc>
          <w:tcPr>
            <w:tcW w:type="dxa" w:w="9994"/>
            <w:shd w:fill="F1F5F9"/>
          </w:tcPr>
          <w:p>
            <w:pPr>
              <w:spacing w:after="0"/>
            </w:pPr>
            <w:r>
              <w:rPr>
                <w:rFonts w:ascii="Aptos" w:hAnsi="Aptos"/>
                <w:b/>
                <w:color w:val="15253D"/>
                <w:sz w:val="20"/>
              </w:rPr>
              <w:t xml:space="preserve">Prepared by: </w:t>
            </w:r>
            <w:r>
              <w:rPr>
                <w:rFonts w:ascii="Aptos" w:hAnsi="Aptos"/>
                <w:color w:val="374151"/>
                <w:sz w:val="20"/>
              </w:rPr>
              <w:t>Prince Kumar Singh</w:t>
              <w:br/>
            </w:r>
            <w:r>
              <w:rPr>
                <w:rFonts w:ascii="Aptos" w:hAnsi="Aptos"/>
                <w:b/>
                <w:color w:val="15253D"/>
                <w:sz w:val="20"/>
              </w:rPr>
              <w:t xml:space="preserve">Role: </w:t>
            </w:r>
            <w:r>
              <w:rPr>
                <w:rFonts w:ascii="Aptos" w:hAnsi="Aptos"/>
                <w:color w:val="374151"/>
                <w:sz w:val="20"/>
              </w:rPr>
              <w:t>Data Analyst</w:t>
              <w:br/>
            </w:r>
            <w:r>
              <w:rPr>
                <w:rFonts w:ascii="Aptos" w:hAnsi="Aptos"/>
                <w:b/>
                <w:color w:val="15253D"/>
                <w:sz w:val="20"/>
              </w:rPr>
              <w:t xml:space="preserve">Analysis period: </w:t>
            </w:r>
            <w:r>
              <w:rPr>
                <w:rFonts w:ascii="Aptos" w:hAnsi="Aptos"/>
                <w:color w:val="374151"/>
                <w:sz w:val="20"/>
              </w:rPr>
              <w:t>2010-06-30 to 2022-09-19</w:t>
              <w:br/>
            </w:r>
            <w:r>
              <w:rPr>
                <w:rFonts w:ascii="Aptos" w:hAnsi="Aptos"/>
                <w:b/>
                <w:color w:val="15253D"/>
                <w:sz w:val="20"/>
              </w:rPr>
              <w:t xml:space="preserve">Observations: </w:t>
            </w:r>
            <w:r>
              <w:rPr>
                <w:rFonts w:ascii="Aptos" w:hAnsi="Aptos"/>
                <w:color w:val="374151"/>
                <w:sz w:val="20"/>
              </w:rPr>
              <w:t>3,077 daily records</w:t>
              <w:br/>
            </w:r>
          </w:p>
        </w:tc>
      </w:tr>
    </w:tbl>
    <w:p>
      <w:pPr>
        <w:spacing w:before="240"/>
      </w:pPr>
      <w:r>
        <w:rPr>
          <w:rFonts w:ascii="Aptos" w:hAnsi="Aptos"/>
          <w:color w:val="64748B"/>
          <w:sz w:val="18"/>
        </w:rPr>
        <w:t>Project Report | EDA, Feature Engineering, Clustering &amp; Statistical Validation</w:t>
      </w:r>
    </w:p>
    <w:p>
      <w:r>
        <w:br w:type="page"/>
      </w:r>
    </w:p>
    <w:p>
      <w:pPr>
        <w:pStyle w:val="Heading1"/>
      </w:pPr>
      <w:r>
        <w:t>Document Overview</w:t>
      </w:r>
    </w:p>
    <w:p>
      <w:r>
        <w:t>This report documents the complete Tesla stock analysis workflow performed in the supplied Jupyter Notebook and presentation. It follows the project task sheet, covering data understanding, cleaning, feature engineering, exploratory analysis, time-series analysis, feature scaling, K-Means, GMM, DBSCAN, cluster interpretation, model evaluation and statistical validation.</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Item</w:t>
            </w:r>
          </w:p>
        </w:tc>
        <w:tc>
          <w:tcPr>
            <w:tcW w:type="dxa" w:w="4997"/>
            <w:shd w:fill="15253D"/>
            <w:vAlign w:val="center"/>
          </w:tcPr>
          <w:p>
            <w:pPr>
              <w:spacing w:after="0"/>
            </w:pPr>
            <w:r/>
            <w:r>
              <w:rPr>
                <w:rFonts w:ascii="Aptos" w:hAnsi="Aptos"/>
                <w:b/>
                <w:color w:val="FFFFFF"/>
                <w:sz w:val="18"/>
              </w:rPr>
              <w:t>Details</w:t>
            </w:r>
          </w:p>
        </w:tc>
      </w:tr>
      <w:tr>
        <w:tc>
          <w:tcPr>
            <w:tcW w:type="dxa" w:w="4997"/>
            <w:shd w:fill="F8FAFC"/>
            <w:vAlign w:val="center"/>
          </w:tcPr>
          <w:p>
            <w:pPr>
              <w:spacing w:after="0"/>
            </w:pPr>
            <w:r/>
            <w:r>
              <w:rPr>
                <w:rFonts w:ascii="Aptos" w:hAnsi="Aptos"/>
                <w:b w:val="0"/>
                <w:color w:val="374151"/>
                <w:sz w:val="18"/>
              </w:rPr>
              <w:t>Project</w:t>
            </w:r>
          </w:p>
        </w:tc>
        <w:tc>
          <w:tcPr>
            <w:tcW w:type="dxa" w:w="4997"/>
            <w:shd w:fill="F8FAFC"/>
            <w:vAlign w:val="center"/>
          </w:tcPr>
          <w:p>
            <w:pPr>
              <w:spacing w:after="0"/>
            </w:pPr>
            <w:r/>
            <w:r>
              <w:rPr>
                <w:rFonts w:ascii="Aptos" w:hAnsi="Aptos"/>
                <w:b w:val="0"/>
                <w:color w:val="374151"/>
                <w:sz w:val="18"/>
              </w:rPr>
              <w:t>Tesla Stock Market Performance Analysis</w:t>
            </w:r>
          </w:p>
        </w:tc>
      </w:tr>
      <w:tr>
        <w:tc>
          <w:tcPr>
            <w:tcW w:type="dxa" w:w="4997"/>
            <w:shd w:fill="FFFFFF"/>
            <w:vAlign w:val="center"/>
          </w:tcPr>
          <w:p>
            <w:pPr>
              <w:spacing w:after="0"/>
            </w:pPr>
            <w:r/>
            <w:r>
              <w:rPr>
                <w:rFonts w:ascii="Aptos" w:hAnsi="Aptos"/>
                <w:b w:val="0"/>
                <w:color w:val="374151"/>
                <w:sz w:val="18"/>
              </w:rPr>
              <w:t>Approach</w:t>
            </w:r>
          </w:p>
        </w:tc>
        <w:tc>
          <w:tcPr>
            <w:tcW w:type="dxa" w:w="4997"/>
            <w:shd w:fill="FFFFFF"/>
            <w:vAlign w:val="center"/>
          </w:tcPr>
          <w:p>
            <w:pPr>
              <w:spacing w:after="0"/>
            </w:pPr>
            <w:r/>
            <w:r>
              <w:rPr>
                <w:rFonts w:ascii="Aptos" w:hAnsi="Aptos"/>
                <w:b w:val="0"/>
                <w:color w:val="374151"/>
                <w:sz w:val="18"/>
              </w:rPr>
              <w:t>Exploratory Data Analysis + Unsupervised Learning</w:t>
            </w:r>
          </w:p>
        </w:tc>
      </w:tr>
      <w:tr>
        <w:tc>
          <w:tcPr>
            <w:tcW w:type="dxa" w:w="4997"/>
            <w:shd w:fill="F8FAFC"/>
            <w:vAlign w:val="center"/>
          </w:tcPr>
          <w:p>
            <w:pPr>
              <w:spacing w:after="0"/>
            </w:pPr>
            <w:r/>
            <w:r>
              <w:rPr>
                <w:rFonts w:ascii="Aptos" w:hAnsi="Aptos"/>
                <w:b w:val="0"/>
                <w:color w:val="374151"/>
                <w:sz w:val="18"/>
              </w:rPr>
              <w:t>Dataset</w:t>
            </w:r>
          </w:p>
        </w:tc>
        <w:tc>
          <w:tcPr>
            <w:tcW w:type="dxa" w:w="4997"/>
            <w:shd w:fill="F8FAFC"/>
            <w:vAlign w:val="center"/>
          </w:tcPr>
          <w:p>
            <w:pPr>
              <w:spacing w:after="0"/>
            </w:pPr>
            <w:r/>
            <w:r>
              <w:rPr>
                <w:rFonts w:ascii="Aptos" w:hAnsi="Aptos"/>
                <w:b w:val="0"/>
                <w:color w:val="374151"/>
                <w:sz w:val="18"/>
              </w:rPr>
              <w:t>Daily Tesla OHLCV market data</w:t>
            </w:r>
          </w:p>
        </w:tc>
      </w:tr>
      <w:tr>
        <w:tc>
          <w:tcPr>
            <w:tcW w:type="dxa" w:w="4997"/>
            <w:shd w:fill="FFFFFF"/>
            <w:vAlign w:val="center"/>
          </w:tcPr>
          <w:p>
            <w:pPr>
              <w:spacing w:after="0"/>
            </w:pPr>
            <w:r/>
            <w:r>
              <w:rPr>
                <w:rFonts w:ascii="Aptos" w:hAnsi="Aptos"/>
                <w:b w:val="0"/>
                <w:color w:val="374151"/>
                <w:sz w:val="18"/>
              </w:rPr>
              <w:t>Raw size</w:t>
            </w:r>
          </w:p>
        </w:tc>
        <w:tc>
          <w:tcPr>
            <w:tcW w:type="dxa" w:w="4997"/>
            <w:shd w:fill="FFFFFF"/>
            <w:vAlign w:val="center"/>
          </w:tcPr>
          <w:p>
            <w:pPr>
              <w:spacing w:after="0"/>
            </w:pPr>
            <w:r/>
            <w:r>
              <w:rPr>
                <w:rFonts w:ascii="Aptos" w:hAnsi="Aptos"/>
                <w:b w:val="0"/>
                <w:color w:val="374151"/>
                <w:sz w:val="18"/>
              </w:rPr>
              <w:t>3,077 rows × 7 columns</w:t>
            </w:r>
          </w:p>
        </w:tc>
      </w:tr>
      <w:tr>
        <w:tc>
          <w:tcPr>
            <w:tcW w:type="dxa" w:w="4997"/>
            <w:shd w:fill="F8FAFC"/>
            <w:vAlign w:val="center"/>
          </w:tcPr>
          <w:p>
            <w:pPr>
              <w:spacing w:after="0"/>
            </w:pPr>
            <w:r/>
            <w:r>
              <w:rPr>
                <w:rFonts w:ascii="Aptos" w:hAnsi="Aptos"/>
                <w:b w:val="0"/>
                <w:color w:val="374151"/>
                <w:sz w:val="18"/>
              </w:rPr>
              <w:t>Clustering sample</w:t>
            </w:r>
          </w:p>
        </w:tc>
        <w:tc>
          <w:tcPr>
            <w:tcW w:type="dxa" w:w="4997"/>
            <w:shd w:fill="F8FAFC"/>
            <w:vAlign w:val="center"/>
          </w:tcPr>
          <w:p>
            <w:pPr>
              <w:spacing w:after="0"/>
            </w:pPr>
            <w:r/>
            <w:r>
              <w:rPr>
                <w:rFonts w:ascii="Aptos" w:hAnsi="Aptos"/>
                <w:b w:val="0"/>
                <w:color w:val="374151"/>
                <w:sz w:val="18"/>
              </w:rPr>
              <w:t>3,047 rows after engineered-feature NaN removal</w:t>
            </w:r>
          </w:p>
        </w:tc>
      </w:tr>
      <w:tr>
        <w:tc>
          <w:tcPr>
            <w:tcW w:type="dxa" w:w="4997"/>
            <w:shd w:fill="FFFFFF"/>
            <w:vAlign w:val="center"/>
          </w:tcPr>
          <w:p>
            <w:pPr>
              <w:spacing w:after="0"/>
            </w:pPr>
            <w:r/>
            <w:r>
              <w:rPr>
                <w:rFonts w:ascii="Aptos" w:hAnsi="Aptos"/>
                <w:b w:val="0"/>
                <w:color w:val="374151"/>
                <w:sz w:val="18"/>
              </w:rPr>
              <w:t>Algorithms</w:t>
            </w:r>
          </w:p>
        </w:tc>
        <w:tc>
          <w:tcPr>
            <w:tcW w:type="dxa" w:w="4997"/>
            <w:shd w:fill="FFFFFF"/>
            <w:vAlign w:val="center"/>
          </w:tcPr>
          <w:p>
            <w:pPr>
              <w:spacing w:after="0"/>
            </w:pPr>
            <w:r/>
            <w:r>
              <w:rPr>
                <w:rFonts w:ascii="Aptos" w:hAnsi="Aptos"/>
                <w:b w:val="0"/>
                <w:color w:val="374151"/>
                <w:sz w:val="18"/>
              </w:rPr>
              <w:t>K-Means, Gaussian Mixture Model, DBSCAN</w:t>
            </w:r>
          </w:p>
        </w:tc>
      </w:tr>
      <w:tr>
        <w:tc>
          <w:tcPr>
            <w:tcW w:type="dxa" w:w="4997"/>
            <w:shd w:fill="F8FAFC"/>
            <w:vAlign w:val="center"/>
          </w:tcPr>
          <w:p>
            <w:pPr>
              <w:spacing w:after="0"/>
            </w:pPr>
            <w:r/>
            <w:r>
              <w:rPr>
                <w:rFonts w:ascii="Aptos" w:hAnsi="Aptos"/>
                <w:b w:val="0"/>
                <w:color w:val="374151"/>
                <w:sz w:val="18"/>
              </w:rPr>
              <w:t>Primary evaluation</w:t>
            </w:r>
          </w:p>
        </w:tc>
        <w:tc>
          <w:tcPr>
            <w:tcW w:type="dxa" w:w="4997"/>
            <w:shd w:fill="F8FAFC"/>
            <w:vAlign w:val="center"/>
          </w:tcPr>
          <w:p>
            <w:pPr>
              <w:spacing w:after="0"/>
            </w:pPr>
            <w:r/>
            <w:r>
              <w:rPr>
                <w:rFonts w:ascii="Aptos" w:hAnsi="Aptos"/>
                <w:b w:val="0"/>
                <w:color w:val="374151"/>
                <w:sz w:val="18"/>
              </w:rPr>
              <w:t>Silhouette Score</w:t>
            </w:r>
          </w:p>
        </w:tc>
      </w:tr>
      <w:tr>
        <w:tc>
          <w:tcPr>
            <w:tcW w:type="dxa" w:w="4997"/>
            <w:shd w:fill="FFFFFF"/>
            <w:vAlign w:val="center"/>
          </w:tcPr>
          <w:p>
            <w:pPr>
              <w:spacing w:after="0"/>
            </w:pPr>
            <w:r/>
            <w:r>
              <w:rPr>
                <w:rFonts w:ascii="Aptos" w:hAnsi="Aptos"/>
                <w:b w:val="0"/>
                <w:color w:val="374151"/>
                <w:sz w:val="18"/>
              </w:rPr>
              <w:t>Statistical test</w:t>
            </w:r>
          </w:p>
        </w:tc>
        <w:tc>
          <w:tcPr>
            <w:tcW w:type="dxa" w:w="4997"/>
            <w:shd w:fill="FFFFFF"/>
            <w:vAlign w:val="center"/>
          </w:tcPr>
          <w:p>
            <w:pPr>
              <w:spacing w:after="0"/>
            </w:pPr>
            <w:r/>
            <w:r>
              <w:rPr>
                <w:rFonts w:ascii="Aptos" w:hAnsi="Aptos"/>
                <w:b w:val="0"/>
                <w:color w:val="374151"/>
                <w:sz w:val="18"/>
              </w:rPr>
              <w:t>One-way ANOVA on Close price across K-Means clusters</w:t>
            </w:r>
          </w:p>
        </w:tc>
      </w:tr>
      <w:tr>
        <w:tc>
          <w:tcPr>
            <w:tcW w:type="dxa" w:w="4997"/>
            <w:shd w:fill="F8FAFC"/>
            <w:vAlign w:val="center"/>
          </w:tcPr>
          <w:p>
            <w:pPr>
              <w:spacing w:after="0"/>
            </w:pPr>
            <w:r/>
            <w:r>
              <w:rPr>
                <w:rFonts w:ascii="Aptos" w:hAnsi="Aptos"/>
                <w:b w:val="0"/>
                <w:color w:val="374151"/>
                <w:sz w:val="18"/>
              </w:rPr>
              <w:t>Prepared for</w:t>
            </w:r>
          </w:p>
        </w:tc>
        <w:tc>
          <w:tcPr>
            <w:tcW w:type="dxa" w:w="4997"/>
            <w:shd w:fill="F8FAFC"/>
            <w:vAlign w:val="center"/>
          </w:tcPr>
          <w:p>
            <w:pPr>
              <w:spacing w:after="0"/>
            </w:pPr>
            <w:r/>
            <w:r>
              <w:rPr>
                <w:rFonts w:ascii="Aptos" w:hAnsi="Aptos"/>
                <w:b w:val="0"/>
                <w:color w:val="374151"/>
                <w:sz w:val="18"/>
              </w:rPr>
              <w:t>Project / Academic Submission</w:t>
            </w:r>
          </w:p>
        </w:tc>
      </w:tr>
      <w:tr>
        <w:tc>
          <w:tcPr>
            <w:tcW w:type="dxa" w:w="4997"/>
            <w:shd w:fill="FFFFFF"/>
            <w:vAlign w:val="center"/>
          </w:tcPr>
          <w:p>
            <w:pPr>
              <w:spacing w:after="0"/>
            </w:pPr>
            <w:r/>
            <w:r>
              <w:rPr>
                <w:rFonts w:ascii="Aptos" w:hAnsi="Aptos"/>
                <w:b w:val="0"/>
                <w:color w:val="374151"/>
                <w:sz w:val="18"/>
              </w:rPr>
              <w:t>Author</w:t>
            </w:r>
          </w:p>
        </w:tc>
        <w:tc>
          <w:tcPr>
            <w:tcW w:type="dxa" w:w="4997"/>
            <w:shd w:fill="FFFFFF"/>
            <w:vAlign w:val="center"/>
          </w:tcPr>
          <w:p>
            <w:pPr>
              <w:spacing w:after="0"/>
            </w:pPr>
            <w:r/>
            <w:r>
              <w:rPr>
                <w:rFonts w:ascii="Aptos" w:hAnsi="Aptos"/>
                <w:b w:val="0"/>
                <w:color w:val="374151"/>
                <w:sz w:val="18"/>
              </w:rPr>
              <w:t>Prince Kumar Singh</w:t>
            </w:r>
          </w:p>
        </w:tc>
      </w:tr>
    </w:tbl>
    <w:p>
      <w:pPr>
        <w:spacing w:after="20"/>
      </w:pPr>
    </w:p>
    <w:p>
      <w:pPr>
        <w:pStyle w:val="Heading1"/>
      </w:pPr>
      <w:r>
        <w:t>Contents</w:t>
      </w:r>
    </w:p>
    <w:p>
      <w:pPr>
        <w:pStyle w:val="ListNumber"/>
        <w:spacing w:after="40"/>
      </w:pPr>
      <w:r>
        <w:rPr>
          <w:rFonts w:ascii="Aptos" w:hAnsi="Aptos"/>
          <w:color w:val="374151"/>
          <w:sz w:val="20"/>
        </w:rPr>
        <w:t>1. Executive Summary</w:t>
      </w:r>
    </w:p>
    <w:p>
      <w:pPr>
        <w:pStyle w:val="ListNumber"/>
        <w:spacing w:after="40"/>
      </w:pPr>
      <w:r>
        <w:rPr>
          <w:rFonts w:ascii="Aptos" w:hAnsi="Aptos"/>
          <w:color w:val="374151"/>
          <w:sz w:val="20"/>
        </w:rPr>
        <w:t>2. Project Objective &amp; Problem Statement</w:t>
      </w:r>
    </w:p>
    <w:p>
      <w:pPr>
        <w:pStyle w:val="ListNumber"/>
        <w:spacing w:after="40"/>
      </w:pPr>
      <w:r>
        <w:rPr>
          <w:rFonts w:ascii="Aptos" w:hAnsi="Aptos"/>
          <w:color w:val="374151"/>
          <w:sz w:val="20"/>
        </w:rPr>
        <w:t>3. Dataset Description &amp; Data Dictionary</w:t>
      </w:r>
    </w:p>
    <w:p>
      <w:pPr>
        <w:pStyle w:val="ListNumber"/>
        <w:spacing w:after="40"/>
      </w:pPr>
      <w:r>
        <w:rPr>
          <w:rFonts w:ascii="Aptos" w:hAnsi="Aptos"/>
          <w:color w:val="374151"/>
          <w:sz w:val="20"/>
        </w:rPr>
        <w:t>4. Data Understanding &amp; Quality Checks</w:t>
      </w:r>
    </w:p>
    <w:p>
      <w:pPr>
        <w:pStyle w:val="ListNumber"/>
        <w:spacing w:after="40"/>
      </w:pPr>
      <w:r>
        <w:rPr>
          <w:rFonts w:ascii="Aptos" w:hAnsi="Aptos"/>
          <w:color w:val="374151"/>
          <w:sz w:val="20"/>
        </w:rPr>
        <w:t>5. Data Cleaning &amp; Preparation</w:t>
      </w:r>
    </w:p>
    <w:p>
      <w:pPr>
        <w:pStyle w:val="ListNumber"/>
        <w:spacing w:after="40"/>
      </w:pPr>
      <w:r>
        <w:rPr>
          <w:rFonts w:ascii="Aptos" w:hAnsi="Aptos"/>
          <w:color w:val="374151"/>
          <w:sz w:val="20"/>
        </w:rPr>
        <w:t>6. Feature Engineering</w:t>
      </w:r>
    </w:p>
    <w:p>
      <w:pPr>
        <w:pStyle w:val="ListNumber"/>
        <w:spacing w:after="40"/>
      </w:pPr>
      <w:r>
        <w:rPr>
          <w:rFonts w:ascii="Aptos" w:hAnsi="Aptos"/>
          <w:color w:val="374151"/>
          <w:sz w:val="20"/>
        </w:rPr>
        <w:t>7. Distribution Analysis</w:t>
      </w:r>
    </w:p>
    <w:p>
      <w:pPr>
        <w:pStyle w:val="ListNumber"/>
        <w:spacing w:after="40"/>
      </w:pPr>
      <w:r>
        <w:rPr>
          <w:rFonts w:ascii="Aptos" w:hAnsi="Aptos"/>
          <w:color w:val="374151"/>
          <w:sz w:val="20"/>
        </w:rPr>
        <w:t>8. Time Trend Analysis</w:t>
      </w:r>
    </w:p>
    <w:p>
      <w:pPr>
        <w:pStyle w:val="ListNumber"/>
        <w:spacing w:after="40"/>
      </w:pPr>
      <w:r>
        <w:rPr>
          <w:rFonts w:ascii="Aptos" w:hAnsi="Aptos"/>
          <w:color w:val="374151"/>
          <w:sz w:val="20"/>
        </w:rPr>
        <w:t>9. Seasonal Decomposition</w:t>
      </w:r>
    </w:p>
    <w:p>
      <w:pPr>
        <w:pStyle w:val="ListNumber"/>
        <w:spacing w:after="40"/>
      </w:pPr>
      <w:r>
        <w:rPr>
          <w:rFonts w:ascii="Aptos" w:hAnsi="Aptos"/>
          <w:color w:val="374151"/>
          <w:sz w:val="20"/>
        </w:rPr>
        <w:t>10. Rolling Statistics &amp; Volatility</w:t>
      </w:r>
    </w:p>
    <w:p>
      <w:pPr>
        <w:pStyle w:val="ListNumber"/>
        <w:spacing w:after="40"/>
      </w:pPr>
      <w:r>
        <w:rPr>
          <w:rFonts w:ascii="Aptos" w:hAnsi="Aptos"/>
          <w:color w:val="374151"/>
          <w:sz w:val="20"/>
        </w:rPr>
        <w:t>11. Feature Scaling</w:t>
      </w:r>
    </w:p>
    <w:p>
      <w:pPr>
        <w:pStyle w:val="ListNumber"/>
        <w:spacing w:after="40"/>
      </w:pPr>
      <w:r>
        <w:rPr>
          <w:rFonts w:ascii="Aptos" w:hAnsi="Aptos"/>
          <w:color w:val="374151"/>
          <w:sz w:val="20"/>
        </w:rPr>
        <w:t>12. K-Means Clustering</w:t>
      </w:r>
    </w:p>
    <w:p>
      <w:pPr>
        <w:pStyle w:val="ListNumber"/>
        <w:spacing w:after="40"/>
      </w:pPr>
      <w:r>
        <w:rPr>
          <w:rFonts w:ascii="Aptos" w:hAnsi="Aptos"/>
          <w:color w:val="374151"/>
          <w:sz w:val="20"/>
        </w:rPr>
        <w:t>13. Gaussian Mixture Model</w:t>
      </w:r>
    </w:p>
    <w:p>
      <w:pPr>
        <w:pStyle w:val="ListNumber"/>
        <w:spacing w:after="40"/>
      </w:pPr>
      <w:r>
        <w:rPr>
          <w:rFonts w:ascii="Aptos" w:hAnsi="Aptos"/>
          <w:color w:val="374151"/>
          <w:sz w:val="20"/>
        </w:rPr>
        <w:t>14. DBSCAN Clustering &amp; Outlier Detection</w:t>
      </w:r>
    </w:p>
    <w:p>
      <w:pPr>
        <w:pStyle w:val="ListNumber"/>
        <w:spacing w:after="40"/>
      </w:pPr>
      <w:r>
        <w:rPr>
          <w:rFonts w:ascii="Aptos" w:hAnsi="Aptos"/>
          <w:color w:val="374151"/>
          <w:sz w:val="20"/>
        </w:rPr>
        <w:t>15. Model Comparison</w:t>
      </w:r>
    </w:p>
    <w:p>
      <w:pPr>
        <w:pStyle w:val="ListNumber"/>
        <w:spacing w:after="40"/>
      </w:pPr>
      <w:r>
        <w:rPr>
          <w:rFonts w:ascii="Aptos" w:hAnsi="Aptos"/>
          <w:color w:val="374151"/>
          <w:sz w:val="20"/>
        </w:rPr>
        <w:t>16. Statistical Validation — ANOVA</w:t>
      </w:r>
    </w:p>
    <w:p>
      <w:pPr>
        <w:pStyle w:val="ListNumber"/>
        <w:spacing w:after="40"/>
      </w:pPr>
      <w:r>
        <w:rPr>
          <w:rFonts w:ascii="Aptos" w:hAnsi="Aptos"/>
          <w:color w:val="374151"/>
          <w:sz w:val="20"/>
        </w:rPr>
        <w:t>17. Cluster Summary &amp; Interpretation</w:t>
      </w:r>
    </w:p>
    <w:p>
      <w:pPr>
        <w:pStyle w:val="ListNumber"/>
        <w:spacing w:after="40"/>
      </w:pPr>
      <w:r>
        <w:rPr>
          <w:rFonts w:ascii="Aptos" w:hAnsi="Aptos"/>
          <w:color w:val="374151"/>
          <w:sz w:val="20"/>
        </w:rPr>
        <w:t>18. Findings, Recommendations &amp; Business Interpretation</w:t>
      </w:r>
    </w:p>
    <w:p>
      <w:pPr>
        <w:pStyle w:val="ListNumber"/>
        <w:spacing w:after="40"/>
      </w:pPr>
      <w:r>
        <w:rPr>
          <w:rFonts w:ascii="Aptos" w:hAnsi="Aptos"/>
          <w:color w:val="374151"/>
          <w:sz w:val="20"/>
        </w:rPr>
        <w:t>19. Limitations</w:t>
      </w:r>
    </w:p>
    <w:p>
      <w:pPr>
        <w:pStyle w:val="ListNumber"/>
        <w:spacing w:after="40"/>
      </w:pPr>
      <w:r>
        <w:rPr>
          <w:rFonts w:ascii="Aptos" w:hAnsi="Aptos"/>
          <w:color w:val="374151"/>
          <w:sz w:val="20"/>
        </w:rPr>
        <w:t>20. Conclusion</w:t>
      </w:r>
    </w:p>
    <w:p>
      <w:pPr>
        <w:pStyle w:val="ListNumber"/>
        <w:spacing w:after="40"/>
      </w:pPr>
      <w:r>
        <w:rPr>
          <w:rFonts w:ascii="Aptos" w:hAnsi="Aptos"/>
          <w:color w:val="374151"/>
          <w:sz w:val="20"/>
        </w:rPr>
        <w:t>Appendix A — Task-by-Task Answers</w:t>
      </w:r>
    </w:p>
    <w:p>
      <w:pPr>
        <w:pStyle w:val="ListNumber"/>
        <w:spacing w:after="40"/>
      </w:pPr>
      <w:r>
        <w:rPr>
          <w:rFonts w:ascii="Aptos" w:hAnsi="Aptos"/>
          <w:color w:val="374151"/>
          <w:sz w:val="20"/>
        </w:rPr>
        <w:t>Appendix B — Key Formulas &amp; Methodology</w:t>
      </w:r>
    </w:p>
    <w:p>
      <w:r>
        <w:br w:type="page"/>
      </w:r>
    </w:p>
    <w:p>
      <w:pPr>
        <w:pStyle w:val="Heading1"/>
      </w:pPr>
      <w:r>
        <w:t>1. Executive Summary</w:t>
      </w:r>
    </w:p>
    <w:p>
      <w:r>
        <w:t>The project analyzes Tesla's historical daily stock data using exploratory data analysis and unsupervised learning. The objective is not to predict a future stock price, but to identify historical periods that share similar combinations of price level, daily movement, trading range, percentage movement, volatility and trading volume.</w:t>
      </w:r>
    </w:p>
    <w:p>
      <w:r>
        <w:t>The raw dataset contains 3,077 daily observations and 7 original variables. The supplied notebook reports no missing values and no duplicate rows. Dates were converted to datetime and sorted chronologically, covering 2010-06-30 through 2022-09-19.</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Key model results</w:t>
              <w:br/>
            </w:r>
            <w:r>
              <w:rPr>
                <w:rFonts w:ascii="Aptos" w:hAnsi="Aptos"/>
                <w:color w:val="374151"/>
                <w:sz w:val="19"/>
              </w:rPr>
              <w:t>K-Means selected K=2 with a Silhouette Score of 0.501; GMM with 2 components achieved 0.465; DBSCAN achieved 0.576 when the Silhouette Score was calculated on non-noise observations. DBSCAN labeled 86 observations as noise (2.82% of the clustering sample).</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5253D"/>
            <w:vAlign w:val="center"/>
          </w:tcPr>
          <w:p>
            <w:pPr>
              <w:spacing w:after="0"/>
            </w:pPr>
            <w:r/>
            <w:r>
              <w:rPr>
                <w:rFonts w:ascii="Aptos" w:hAnsi="Aptos"/>
                <w:b/>
                <w:color w:val="FFFFFF"/>
                <w:sz w:val="17"/>
              </w:rPr>
              <w:t>Metric</w:t>
            </w:r>
          </w:p>
        </w:tc>
        <w:tc>
          <w:tcPr>
            <w:tcW w:type="dxa" w:w="3331"/>
            <w:shd w:fill="15253D"/>
            <w:vAlign w:val="center"/>
          </w:tcPr>
          <w:p>
            <w:pPr>
              <w:spacing w:after="0"/>
            </w:pPr>
            <w:r/>
            <w:r>
              <w:rPr>
                <w:rFonts w:ascii="Aptos" w:hAnsi="Aptos"/>
                <w:b/>
                <w:color w:val="FFFFFF"/>
                <w:sz w:val="17"/>
              </w:rPr>
              <w:t>Result</w:t>
            </w:r>
          </w:p>
        </w:tc>
        <w:tc>
          <w:tcPr>
            <w:tcW w:type="dxa" w:w="3331"/>
            <w:shd w:fill="15253D"/>
            <w:vAlign w:val="center"/>
          </w:tcPr>
          <w:p>
            <w:pPr>
              <w:spacing w:after="0"/>
            </w:pPr>
            <w:r/>
            <w:r>
              <w:rPr>
                <w:rFonts w:ascii="Aptos" w:hAnsi="Aptos"/>
                <w:b/>
                <w:color w:val="FFFFFF"/>
                <w:sz w:val="17"/>
              </w:rPr>
              <w:t>Interpretation</w:t>
            </w:r>
          </w:p>
        </w:tc>
      </w:tr>
      <w:tr>
        <w:tc>
          <w:tcPr>
            <w:tcW w:type="dxa" w:w="3331"/>
            <w:shd w:fill="F8FAFC"/>
            <w:vAlign w:val="center"/>
          </w:tcPr>
          <w:p>
            <w:pPr>
              <w:spacing w:after="0"/>
            </w:pPr>
            <w:r/>
            <w:r>
              <w:rPr>
                <w:rFonts w:ascii="Aptos" w:hAnsi="Aptos"/>
                <w:b w:val="0"/>
                <w:color w:val="374151"/>
                <w:sz w:val="17"/>
              </w:rPr>
              <w:t>Raw observations</w:t>
            </w:r>
          </w:p>
        </w:tc>
        <w:tc>
          <w:tcPr>
            <w:tcW w:type="dxa" w:w="3331"/>
            <w:shd w:fill="F8FAFC"/>
            <w:vAlign w:val="center"/>
          </w:tcPr>
          <w:p>
            <w:pPr>
              <w:spacing w:after="0"/>
            </w:pPr>
            <w:r/>
            <w:r>
              <w:rPr>
                <w:rFonts w:ascii="Aptos" w:hAnsi="Aptos"/>
                <w:b w:val="0"/>
                <w:color w:val="374151"/>
                <w:sz w:val="17"/>
              </w:rPr>
              <w:t>3,077</w:t>
            </w:r>
          </w:p>
        </w:tc>
        <w:tc>
          <w:tcPr>
            <w:tcW w:type="dxa" w:w="3331"/>
            <w:shd w:fill="F8FAFC"/>
            <w:vAlign w:val="center"/>
          </w:tcPr>
          <w:p>
            <w:pPr>
              <w:spacing w:after="0"/>
            </w:pPr>
            <w:r/>
            <w:r>
              <w:rPr>
                <w:rFonts w:ascii="Aptos" w:hAnsi="Aptos"/>
                <w:b w:val="0"/>
                <w:color w:val="374151"/>
                <w:sz w:val="17"/>
              </w:rPr>
              <w:t>Complete daily OHLCV sample</w:t>
            </w:r>
          </w:p>
        </w:tc>
      </w:tr>
      <w:tr>
        <w:tc>
          <w:tcPr>
            <w:tcW w:type="dxa" w:w="3331"/>
            <w:shd w:fill="FFFFFF"/>
            <w:vAlign w:val="center"/>
          </w:tcPr>
          <w:p>
            <w:pPr>
              <w:spacing w:after="0"/>
            </w:pPr>
            <w:r/>
            <w:r>
              <w:rPr>
                <w:rFonts w:ascii="Aptos" w:hAnsi="Aptos"/>
                <w:b w:val="0"/>
                <w:color w:val="374151"/>
                <w:sz w:val="17"/>
              </w:rPr>
              <w:t>Clustering observations</w:t>
            </w:r>
          </w:p>
        </w:tc>
        <w:tc>
          <w:tcPr>
            <w:tcW w:type="dxa" w:w="3331"/>
            <w:shd w:fill="FFFFFF"/>
            <w:vAlign w:val="center"/>
          </w:tcPr>
          <w:p>
            <w:pPr>
              <w:spacing w:after="0"/>
            </w:pPr>
            <w:r/>
            <w:r>
              <w:rPr>
                <w:rFonts w:ascii="Aptos" w:hAnsi="Aptos"/>
                <w:b w:val="0"/>
                <w:color w:val="374151"/>
                <w:sz w:val="17"/>
              </w:rPr>
              <w:t>3,047</w:t>
            </w:r>
          </w:p>
        </w:tc>
        <w:tc>
          <w:tcPr>
            <w:tcW w:type="dxa" w:w="3331"/>
            <w:shd w:fill="FFFFFF"/>
            <w:vAlign w:val="center"/>
          </w:tcPr>
          <w:p>
            <w:pPr>
              <w:spacing w:after="0"/>
            </w:pPr>
            <w:r/>
            <w:r>
              <w:rPr>
                <w:rFonts w:ascii="Aptos" w:hAnsi="Aptos"/>
                <w:b w:val="0"/>
                <w:color w:val="374151"/>
                <w:sz w:val="17"/>
              </w:rPr>
              <w:t>Rows remaining after difference/rolling NaNs</w:t>
            </w:r>
          </w:p>
        </w:tc>
      </w:tr>
      <w:tr>
        <w:tc>
          <w:tcPr>
            <w:tcW w:type="dxa" w:w="3331"/>
            <w:shd w:fill="F8FAFC"/>
            <w:vAlign w:val="center"/>
          </w:tcPr>
          <w:p>
            <w:pPr>
              <w:spacing w:after="0"/>
            </w:pPr>
            <w:r/>
            <w:r>
              <w:rPr>
                <w:rFonts w:ascii="Aptos" w:hAnsi="Aptos"/>
                <w:b w:val="0"/>
                <w:color w:val="374151"/>
                <w:sz w:val="17"/>
              </w:rPr>
              <w:t>Selected K</w:t>
            </w:r>
          </w:p>
        </w:tc>
        <w:tc>
          <w:tcPr>
            <w:tcW w:type="dxa" w:w="3331"/>
            <w:shd w:fill="F8FAFC"/>
            <w:vAlign w:val="center"/>
          </w:tcPr>
          <w:p>
            <w:pPr>
              <w:spacing w:after="0"/>
            </w:pPr>
            <w:r/>
            <w:r>
              <w:rPr>
                <w:rFonts w:ascii="Aptos" w:hAnsi="Aptos"/>
                <w:b w:val="0"/>
                <w:color w:val="374151"/>
                <w:sz w:val="17"/>
              </w:rPr>
              <w:t>2</w:t>
            </w:r>
          </w:p>
        </w:tc>
        <w:tc>
          <w:tcPr>
            <w:tcW w:type="dxa" w:w="3331"/>
            <w:shd w:fill="F8FAFC"/>
            <w:vAlign w:val="center"/>
          </w:tcPr>
          <w:p>
            <w:pPr>
              <w:spacing w:after="0"/>
            </w:pPr>
            <w:r/>
            <w:r>
              <w:rPr>
                <w:rFonts w:ascii="Aptos" w:hAnsi="Aptos"/>
                <w:b w:val="0"/>
                <w:color w:val="374151"/>
                <w:sz w:val="17"/>
              </w:rPr>
              <w:t>Highest tested K-Means Silhouette</w:t>
            </w:r>
          </w:p>
        </w:tc>
      </w:tr>
      <w:tr>
        <w:tc>
          <w:tcPr>
            <w:tcW w:type="dxa" w:w="3331"/>
            <w:shd w:fill="FFFFFF"/>
            <w:vAlign w:val="center"/>
          </w:tcPr>
          <w:p>
            <w:pPr>
              <w:spacing w:after="0"/>
            </w:pPr>
            <w:r/>
            <w:r>
              <w:rPr>
                <w:rFonts w:ascii="Aptos" w:hAnsi="Aptos"/>
                <w:b w:val="0"/>
                <w:color w:val="374151"/>
                <w:sz w:val="17"/>
              </w:rPr>
              <w:t>K-Means Silhouette</w:t>
            </w:r>
          </w:p>
        </w:tc>
        <w:tc>
          <w:tcPr>
            <w:tcW w:type="dxa" w:w="3331"/>
            <w:shd w:fill="FFFFFF"/>
            <w:vAlign w:val="center"/>
          </w:tcPr>
          <w:p>
            <w:pPr>
              <w:spacing w:after="0"/>
            </w:pPr>
            <w:r/>
            <w:r>
              <w:rPr>
                <w:rFonts w:ascii="Aptos" w:hAnsi="Aptos"/>
                <w:b w:val="0"/>
                <w:color w:val="374151"/>
                <w:sz w:val="17"/>
              </w:rPr>
              <w:t>0.501</w:t>
            </w:r>
          </w:p>
        </w:tc>
        <w:tc>
          <w:tcPr>
            <w:tcW w:type="dxa" w:w="3331"/>
            <w:shd w:fill="FFFFFF"/>
            <w:vAlign w:val="center"/>
          </w:tcPr>
          <w:p>
            <w:pPr>
              <w:spacing w:after="0"/>
            </w:pPr>
            <w:r/>
            <w:r>
              <w:rPr>
                <w:rFonts w:ascii="Aptos" w:hAnsi="Aptos"/>
                <w:b w:val="0"/>
                <w:color w:val="374151"/>
                <w:sz w:val="17"/>
              </w:rPr>
              <w:t>Moderate cluster separation</w:t>
            </w:r>
          </w:p>
        </w:tc>
      </w:tr>
      <w:tr>
        <w:tc>
          <w:tcPr>
            <w:tcW w:type="dxa" w:w="3331"/>
            <w:shd w:fill="F8FAFC"/>
            <w:vAlign w:val="center"/>
          </w:tcPr>
          <w:p>
            <w:pPr>
              <w:spacing w:after="0"/>
            </w:pPr>
            <w:r/>
            <w:r>
              <w:rPr>
                <w:rFonts w:ascii="Aptos" w:hAnsi="Aptos"/>
                <w:b w:val="0"/>
                <w:color w:val="374151"/>
                <w:sz w:val="17"/>
              </w:rPr>
              <w:t>GMM Silhouette</w:t>
            </w:r>
          </w:p>
        </w:tc>
        <w:tc>
          <w:tcPr>
            <w:tcW w:type="dxa" w:w="3331"/>
            <w:shd w:fill="F8FAFC"/>
            <w:vAlign w:val="center"/>
          </w:tcPr>
          <w:p>
            <w:pPr>
              <w:spacing w:after="0"/>
            </w:pPr>
            <w:r/>
            <w:r>
              <w:rPr>
                <w:rFonts w:ascii="Aptos" w:hAnsi="Aptos"/>
                <w:b w:val="0"/>
                <w:color w:val="374151"/>
                <w:sz w:val="17"/>
              </w:rPr>
              <w:t>0.465</w:t>
            </w:r>
          </w:p>
        </w:tc>
        <w:tc>
          <w:tcPr>
            <w:tcW w:type="dxa" w:w="3331"/>
            <w:shd w:fill="F8FAFC"/>
            <w:vAlign w:val="center"/>
          </w:tcPr>
          <w:p>
            <w:pPr>
              <w:spacing w:after="0"/>
            </w:pPr>
            <w:r/>
            <w:r>
              <w:rPr>
                <w:rFonts w:ascii="Aptos" w:hAnsi="Aptos"/>
                <w:b w:val="0"/>
                <w:color w:val="374151"/>
                <w:sz w:val="17"/>
              </w:rPr>
              <w:t>Alternative probabilistic segmentation</w:t>
            </w:r>
          </w:p>
        </w:tc>
      </w:tr>
      <w:tr>
        <w:tc>
          <w:tcPr>
            <w:tcW w:type="dxa" w:w="3331"/>
            <w:shd w:fill="FFFFFF"/>
            <w:vAlign w:val="center"/>
          </w:tcPr>
          <w:p>
            <w:pPr>
              <w:spacing w:after="0"/>
            </w:pPr>
            <w:r/>
            <w:r>
              <w:rPr>
                <w:rFonts w:ascii="Aptos" w:hAnsi="Aptos"/>
                <w:b w:val="0"/>
                <w:color w:val="374151"/>
                <w:sz w:val="17"/>
              </w:rPr>
              <w:t>DBSCAN Silhouette</w:t>
            </w:r>
          </w:p>
        </w:tc>
        <w:tc>
          <w:tcPr>
            <w:tcW w:type="dxa" w:w="3331"/>
            <w:shd w:fill="FFFFFF"/>
            <w:vAlign w:val="center"/>
          </w:tcPr>
          <w:p>
            <w:pPr>
              <w:spacing w:after="0"/>
            </w:pPr>
            <w:r/>
            <w:r>
              <w:rPr>
                <w:rFonts w:ascii="Aptos" w:hAnsi="Aptos"/>
                <w:b w:val="0"/>
                <w:color w:val="374151"/>
                <w:sz w:val="17"/>
              </w:rPr>
              <w:t>0.576*</w:t>
            </w:r>
          </w:p>
        </w:tc>
        <w:tc>
          <w:tcPr>
            <w:tcW w:type="dxa" w:w="3331"/>
            <w:shd w:fill="FFFFFF"/>
            <w:vAlign w:val="center"/>
          </w:tcPr>
          <w:p>
            <w:pPr>
              <w:spacing w:after="0"/>
            </w:pPr>
            <w:r/>
            <w:r>
              <w:rPr>
                <w:rFonts w:ascii="Aptos" w:hAnsi="Aptos"/>
                <w:b w:val="0"/>
                <w:color w:val="374151"/>
                <w:sz w:val="17"/>
              </w:rPr>
              <w:t>Calculated excluding DBSCAN noise</w:t>
            </w:r>
          </w:p>
        </w:tc>
      </w:tr>
      <w:tr>
        <w:tc>
          <w:tcPr>
            <w:tcW w:type="dxa" w:w="3331"/>
            <w:shd w:fill="F8FAFC"/>
            <w:vAlign w:val="center"/>
          </w:tcPr>
          <w:p>
            <w:pPr>
              <w:spacing w:after="0"/>
            </w:pPr>
            <w:r/>
            <w:r>
              <w:rPr>
                <w:rFonts w:ascii="Aptos" w:hAnsi="Aptos"/>
                <w:b w:val="0"/>
                <w:color w:val="374151"/>
                <w:sz w:val="17"/>
              </w:rPr>
              <w:t>DBSCAN noise</w:t>
            </w:r>
          </w:p>
        </w:tc>
        <w:tc>
          <w:tcPr>
            <w:tcW w:type="dxa" w:w="3331"/>
            <w:shd w:fill="F8FAFC"/>
            <w:vAlign w:val="center"/>
          </w:tcPr>
          <w:p>
            <w:pPr>
              <w:spacing w:after="0"/>
            </w:pPr>
            <w:r/>
            <w:r>
              <w:rPr>
                <w:rFonts w:ascii="Aptos" w:hAnsi="Aptos"/>
                <w:b w:val="0"/>
                <w:color w:val="374151"/>
                <w:sz w:val="17"/>
              </w:rPr>
              <w:t>86 (2.82%)</w:t>
            </w:r>
          </w:p>
        </w:tc>
        <w:tc>
          <w:tcPr>
            <w:tcW w:type="dxa" w:w="3331"/>
            <w:shd w:fill="F8FAFC"/>
            <w:vAlign w:val="center"/>
          </w:tcPr>
          <w:p>
            <w:pPr>
              <w:spacing w:after="0"/>
            </w:pPr>
            <w:r/>
            <w:r>
              <w:rPr>
                <w:rFonts w:ascii="Aptos" w:hAnsi="Aptos"/>
                <w:b w:val="0"/>
                <w:color w:val="374151"/>
                <w:sz w:val="17"/>
              </w:rPr>
              <w:t>Low-density observations</w:t>
            </w:r>
          </w:p>
        </w:tc>
      </w:tr>
      <w:tr>
        <w:tc>
          <w:tcPr>
            <w:tcW w:type="dxa" w:w="3331"/>
            <w:shd w:fill="FFFFFF"/>
            <w:vAlign w:val="center"/>
          </w:tcPr>
          <w:p>
            <w:pPr>
              <w:spacing w:after="0"/>
            </w:pPr>
            <w:r/>
            <w:r>
              <w:rPr>
                <w:rFonts w:ascii="Aptos" w:hAnsi="Aptos"/>
                <w:b w:val="0"/>
                <w:color w:val="374151"/>
                <w:sz w:val="17"/>
              </w:rPr>
              <w:t>ANOVA F-statistic</w:t>
            </w:r>
          </w:p>
        </w:tc>
        <w:tc>
          <w:tcPr>
            <w:tcW w:type="dxa" w:w="3331"/>
            <w:shd w:fill="FFFFFF"/>
            <w:vAlign w:val="center"/>
          </w:tcPr>
          <w:p>
            <w:pPr>
              <w:spacing w:after="0"/>
            </w:pPr>
            <w:r/>
            <w:r>
              <w:rPr>
                <w:rFonts w:ascii="Aptos" w:hAnsi="Aptos"/>
                <w:b w:val="0"/>
                <w:color w:val="374151"/>
                <w:sz w:val="17"/>
              </w:rPr>
              <w:t>12,947.665</w:t>
            </w:r>
          </w:p>
        </w:tc>
        <w:tc>
          <w:tcPr>
            <w:tcW w:type="dxa" w:w="3331"/>
            <w:shd w:fill="FFFFFF"/>
            <w:vAlign w:val="center"/>
          </w:tcPr>
          <w:p>
            <w:pPr>
              <w:spacing w:after="0"/>
            </w:pPr>
            <w:r/>
            <w:r>
              <w:rPr>
                <w:rFonts w:ascii="Aptos" w:hAnsi="Aptos"/>
                <w:b w:val="0"/>
                <w:color w:val="374151"/>
                <w:sz w:val="17"/>
              </w:rPr>
              <w:t>Large between-cluster difference in Close means</w:t>
            </w:r>
          </w:p>
        </w:tc>
      </w:tr>
      <w:tr>
        <w:tc>
          <w:tcPr>
            <w:tcW w:type="dxa" w:w="3331"/>
            <w:shd w:fill="F8FAFC"/>
            <w:vAlign w:val="center"/>
          </w:tcPr>
          <w:p>
            <w:pPr>
              <w:spacing w:after="0"/>
            </w:pPr>
            <w:r/>
            <w:r>
              <w:rPr>
                <w:rFonts w:ascii="Aptos" w:hAnsi="Aptos"/>
                <w:b w:val="0"/>
                <w:color w:val="374151"/>
                <w:sz w:val="17"/>
              </w:rPr>
              <w:t>ANOVA p-value</w:t>
            </w:r>
          </w:p>
        </w:tc>
        <w:tc>
          <w:tcPr>
            <w:tcW w:type="dxa" w:w="3331"/>
            <w:shd w:fill="F8FAFC"/>
            <w:vAlign w:val="center"/>
          </w:tcPr>
          <w:p>
            <w:pPr>
              <w:spacing w:after="0"/>
            </w:pPr>
            <w:r/>
            <w:r>
              <w:rPr>
                <w:rFonts w:ascii="Aptos" w:hAnsi="Aptos"/>
                <w:b w:val="0"/>
                <w:color w:val="374151"/>
                <w:sz w:val="17"/>
              </w:rPr>
              <w:t>&lt; 0.001</w:t>
            </w:r>
          </w:p>
        </w:tc>
        <w:tc>
          <w:tcPr>
            <w:tcW w:type="dxa" w:w="3331"/>
            <w:shd w:fill="F8FAFC"/>
            <w:vAlign w:val="center"/>
          </w:tcPr>
          <w:p>
            <w:pPr>
              <w:spacing w:after="0"/>
            </w:pPr>
            <w:r/>
            <w:r>
              <w:rPr>
                <w:rFonts w:ascii="Aptos" w:hAnsi="Aptos"/>
                <w:b w:val="0"/>
                <w:color w:val="374151"/>
                <w:sz w:val="17"/>
              </w:rPr>
              <w:t>Evidence against equal cluster mean Close</w:t>
            </w:r>
          </w:p>
        </w:tc>
      </w:tr>
    </w:tbl>
    <w:p>
      <w:pPr>
        <w:spacing w:after="20"/>
      </w:pPr>
    </w:p>
    <w:p>
      <w:pPr>
        <w:pStyle w:val="ReportCaption"/>
      </w:pPr>
      <w:r>
        <w:t>*The DBSCAN Silhouette value is not directly comparable to the other scores without considering that the noise observations were excluded from its calculation.</w:t>
      </w:r>
    </w:p>
    <w:p>
      <w:r>
        <w:br w:type="page"/>
      </w:r>
    </w:p>
    <w:p>
      <w:pPr>
        <w:pStyle w:val="Heading1"/>
      </w:pPr>
      <w:r>
        <w:t>2. Project Objective &amp; Problem Statement</w:t>
      </w:r>
    </w:p>
    <w:p>
      <w:pPr>
        <w:pStyle w:val="Heading2"/>
      </w:pPr>
      <w:r>
        <w:t>2.1 Problem Statement</w:t>
      </w:r>
    </w:p>
    <w:p>
      <w:r>
        <w:t>The project focuses on analyzing historical Tesla stock data to uncover meaningful patterns in stock price behavior. The supplied project brief defines the core data as daily trading information including Open, High, Low, Close, Adjusted Close and Volume. The intended outcome is to group similar historical periods using clustering techniques.</w:t>
      </w:r>
    </w:p>
    <w:p>
      <w:r>
        <w:t>Additional features such as daily Price Change and Price Range are created to represent short-term movement and volatility. K-Means, Gaussian Mixture Models and DBSCAN are then applied to create different views of market behavior.</w:t>
      </w:r>
    </w:p>
    <w:p>
      <w:pPr>
        <w:pStyle w:val="Heading2"/>
      </w:pPr>
      <w:r>
        <w:t>2.2 Objectives</w:t>
      </w:r>
    </w:p>
    <w:p>
      <w:pPr>
        <w:pStyle w:val="ListBullet"/>
        <w:spacing w:after="40"/>
        <w:ind w:left="259"/>
      </w:pPr>
      <w:r>
        <w:rPr>
          <w:rFonts w:ascii="Aptos" w:hAnsi="Aptos"/>
          <w:color w:val="374151"/>
          <w:sz w:val="20"/>
        </w:rPr>
        <w:t>Understand the structure, variables and statistical characteristics of the Tesla dataset.</w:t>
      </w:r>
    </w:p>
    <w:p>
      <w:pPr>
        <w:pStyle w:val="ListBullet"/>
        <w:spacing w:after="40"/>
        <w:ind w:left="259"/>
      </w:pPr>
      <w:r>
        <w:rPr>
          <w:rFonts w:ascii="Aptos" w:hAnsi="Aptos"/>
          <w:color w:val="374151"/>
          <w:sz w:val="20"/>
        </w:rPr>
        <w:t>Check and prepare the date and market fields for reliable analysis.</w:t>
      </w:r>
    </w:p>
    <w:p>
      <w:pPr>
        <w:pStyle w:val="ListBullet"/>
        <w:spacing w:after="40"/>
        <w:ind w:left="259"/>
      </w:pPr>
      <w:r>
        <w:rPr>
          <w:rFonts w:ascii="Aptos" w:hAnsi="Aptos"/>
          <w:color w:val="374151"/>
          <w:sz w:val="20"/>
        </w:rPr>
        <w:t>Engineer features that capture daily movement, intraday range and recent volatility.</w:t>
      </w:r>
    </w:p>
    <w:p>
      <w:pPr>
        <w:pStyle w:val="ListBullet"/>
        <w:spacing w:after="40"/>
        <w:ind w:left="259"/>
      </w:pPr>
      <w:r>
        <w:rPr>
          <w:rFonts w:ascii="Aptos" w:hAnsi="Aptos"/>
          <w:color w:val="374151"/>
          <w:sz w:val="20"/>
        </w:rPr>
        <w:t>Study distributions, skewness and potential outliers in price and volume.</w:t>
      </w:r>
    </w:p>
    <w:p>
      <w:pPr>
        <w:pStyle w:val="ListBullet"/>
        <w:spacing w:after="40"/>
        <w:ind w:left="259"/>
      </w:pPr>
      <w:r>
        <w:rPr>
          <w:rFonts w:ascii="Aptos" w:hAnsi="Aptos"/>
          <w:color w:val="374151"/>
          <w:sz w:val="20"/>
        </w:rPr>
        <w:t>Visualize the long-term closing-price trend.</w:t>
      </w:r>
    </w:p>
    <w:p>
      <w:pPr>
        <w:pStyle w:val="ListBullet"/>
        <w:spacing w:after="40"/>
        <w:ind w:left="259"/>
      </w:pPr>
      <w:r>
        <w:rPr>
          <w:rFonts w:ascii="Aptos" w:hAnsi="Aptos"/>
          <w:color w:val="374151"/>
          <w:sz w:val="20"/>
        </w:rPr>
        <w:t>Decompose the Close series into observed, trend, seasonal and residual components.</w:t>
      </w:r>
    </w:p>
    <w:p>
      <w:pPr>
        <w:pStyle w:val="ListBullet"/>
        <w:spacing w:after="40"/>
        <w:ind w:left="259"/>
      </w:pPr>
      <w:r>
        <w:rPr>
          <w:rFonts w:ascii="Aptos" w:hAnsi="Aptos"/>
          <w:color w:val="374151"/>
          <w:sz w:val="20"/>
        </w:rPr>
        <w:t>Use rolling statistics to understand changing short-term variability.</w:t>
      </w:r>
    </w:p>
    <w:p>
      <w:pPr>
        <w:pStyle w:val="ListBullet"/>
        <w:spacing w:after="40"/>
        <w:ind w:left="259"/>
      </w:pPr>
      <w:r>
        <w:rPr>
          <w:rFonts w:ascii="Aptos" w:hAnsi="Aptos"/>
          <w:color w:val="374151"/>
          <w:sz w:val="20"/>
        </w:rPr>
        <w:t>Standardize clustering features so scale differences do not dominate distance calculations.</w:t>
      </w:r>
    </w:p>
    <w:p>
      <w:pPr>
        <w:pStyle w:val="ListBullet"/>
        <w:spacing w:after="40"/>
        <w:ind w:left="259"/>
      </w:pPr>
      <w:r>
        <w:rPr>
          <w:rFonts w:ascii="Aptos" w:hAnsi="Aptos"/>
          <w:color w:val="374151"/>
          <w:sz w:val="20"/>
        </w:rPr>
        <w:t>Identify historical market segments using K-Means, GMM and DBSCAN.</w:t>
      </w:r>
    </w:p>
    <w:p>
      <w:pPr>
        <w:pStyle w:val="ListBullet"/>
        <w:spacing w:after="40"/>
        <w:ind w:left="259"/>
      </w:pPr>
      <w:r>
        <w:rPr>
          <w:rFonts w:ascii="Aptos" w:hAnsi="Aptos"/>
          <w:color w:val="374151"/>
          <w:sz w:val="20"/>
        </w:rPr>
        <w:t>Evaluate cluster separation using Silhouette Score and validate differences with ANOVA.</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Important methodological note</w:t>
              <w:br/>
            </w:r>
            <w:r>
              <w:rPr>
                <w:rFonts w:ascii="Aptos" w:hAnsi="Aptos"/>
                <w:color w:val="374151"/>
                <w:sz w:val="19"/>
              </w:rPr>
              <w:t>The supplied project brief asks for an accuracy above 85%, but the implemented task is unsupervised clustering and has no ground-truth class labels. Therefore, the notebook evaluates clustering with Silhouette Score, cluster summaries and ANOVA rather than inventing a classification-accuracy figure.</w:t>
            </w:r>
          </w:p>
        </w:tc>
      </w:tr>
    </w:tbl>
    <w:p>
      <w:pPr>
        <w:spacing w:after="20"/>
      </w:pPr>
    </w:p>
    <w:p>
      <w:r>
        <w:br w:type="page"/>
      </w:r>
    </w:p>
    <w:p>
      <w:pPr>
        <w:pStyle w:val="Heading1"/>
      </w:pPr>
      <w:r>
        <w:t>3. Dataset Description &amp; Data Dictionary</w:t>
      </w:r>
    </w:p>
    <w:p>
      <w:r>
        <w:t>The supplied dataset is a daily OHLCV series with 3,077 records and seven original variables. The notebook reports a date range from 2010-06-30 to 2022-09-19.</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5253D"/>
            <w:vAlign w:val="center"/>
          </w:tcPr>
          <w:p>
            <w:pPr>
              <w:spacing w:after="0"/>
            </w:pPr>
            <w:r/>
            <w:r>
              <w:rPr>
                <w:rFonts w:ascii="Aptos" w:hAnsi="Aptos"/>
                <w:b/>
                <w:color w:val="FFFFFF"/>
                <w:sz w:val="18"/>
              </w:rPr>
              <w:t>Field</w:t>
            </w:r>
          </w:p>
        </w:tc>
        <w:tc>
          <w:tcPr>
            <w:tcW w:type="dxa" w:w="3331"/>
            <w:shd w:fill="15253D"/>
            <w:vAlign w:val="center"/>
          </w:tcPr>
          <w:p>
            <w:pPr>
              <w:spacing w:after="0"/>
            </w:pPr>
            <w:r/>
            <w:r>
              <w:rPr>
                <w:rFonts w:ascii="Aptos" w:hAnsi="Aptos"/>
                <w:b/>
                <w:color w:val="FFFFFF"/>
                <w:sz w:val="18"/>
              </w:rPr>
              <w:t>Type / Role</w:t>
            </w:r>
          </w:p>
        </w:tc>
        <w:tc>
          <w:tcPr>
            <w:tcW w:type="dxa" w:w="3331"/>
            <w:shd w:fill="15253D"/>
            <w:vAlign w:val="center"/>
          </w:tcPr>
          <w:p>
            <w:pPr>
              <w:spacing w:after="0"/>
            </w:pPr>
            <w:r/>
            <w:r>
              <w:rPr>
                <w:rFonts w:ascii="Aptos" w:hAnsi="Aptos"/>
                <w:b/>
                <w:color w:val="FFFFFF"/>
                <w:sz w:val="18"/>
              </w:rPr>
              <w:t>Description</w:t>
            </w:r>
          </w:p>
        </w:tc>
      </w:tr>
      <w:tr>
        <w:tc>
          <w:tcPr>
            <w:tcW w:type="dxa" w:w="3331"/>
            <w:shd w:fill="F8FAFC"/>
            <w:vAlign w:val="center"/>
          </w:tcPr>
          <w:p>
            <w:pPr>
              <w:spacing w:after="0"/>
            </w:pPr>
            <w:r/>
            <w:r>
              <w:rPr>
                <w:rFonts w:ascii="Aptos" w:hAnsi="Aptos"/>
                <w:b w:val="0"/>
                <w:color w:val="374151"/>
                <w:sz w:val="18"/>
              </w:rPr>
              <w:t>Date</w:t>
            </w:r>
          </w:p>
        </w:tc>
        <w:tc>
          <w:tcPr>
            <w:tcW w:type="dxa" w:w="3331"/>
            <w:shd w:fill="F8FAFC"/>
            <w:vAlign w:val="center"/>
          </w:tcPr>
          <w:p>
            <w:pPr>
              <w:spacing w:after="0"/>
            </w:pPr>
            <w:r/>
            <w:r>
              <w:rPr>
                <w:rFonts w:ascii="Aptos" w:hAnsi="Aptos"/>
                <w:b w:val="0"/>
                <w:color w:val="374151"/>
                <w:sz w:val="18"/>
              </w:rPr>
              <w:t>Date</w:t>
            </w:r>
          </w:p>
        </w:tc>
        <w:tc>
          <w:tcPr>
            <w:tcW w:type="dxa" w:w="3331"/>
            <w:shd w:fill="F8FAFC"/>
            <w:vAlign w:val="center"/>
          </w:tcPr>
          <w:p>
            <w:pPr>
              <w:spacing w:after="0"/>
            </w:pPr>
            <w:r/>
            <w:r>
              <w:rPr>
                <w:rFonts w:ascii="Aptos" w:hAnsi="Aptos"/>
                <w:b w:val="0"/>
                <w:color w:val="374151"/>
                <w:sz w:val="18"/>
              </w:rPr>
              <w:t>Trading date of the observation.</w:t>
            </w:r>
          </w:p>
        </w:tc>
      </w:tr>
      <w:tr>
        <w:tc>
          <w:tcPr>
            <w:tcW w:type="dxa" w:w="3331"/>
            <w:shd w:fill="FFFFFF"/>
            <w:vAlign w:val="center"/>
          </w:tcPr>
          <w:p>
            <w:pPr>
              <w:spacing w:after="0"/>
            </w:pPr>
            <w:r/>
            <w:r>
              <w:rPr>
                <w:rFonts w:ascii="Aptos" w:hAnsi="Aptos"/>
                <w:b w:val="0"/>
                <w:color w:val="374151"/>
                <w:sz w:val="18"/>
              </w:rPr>
              <w:t>Open</w:t>
            </w:r>
          </w:p>
        </w:tc>
        <w:tc>
          <w:tcPr>
            <w:tcW w:type="dxa" w:w="3331"/>
            <w:shd w:fill="FFFFFF"/>
            <w:vAlign w:val="center"/>
          </w:tcPr>
          <w:p>
            <w:pPr>
              <w:spacing w:after="0"/>
            </w:pPr>
            <w:r/>
            <w:r>
              <w:rPr>
                <w:rFonts w:ascii="Aptos" w:hAnsi="Aptos"/>
                <w:b w:val="0"/>
                <w:color w:val="374151"/>
                <w:sz w:val="18"/>
              </w:rPr>
              <w:t>Numeric</w:t>
            </w:r>
          </w:p>
        </w:tc>
        <w:tc>
          <w:tcPr>
            <w:tcW w:type="dxa" w:w="3331"/>
            <w:shd w:fill="FFFFFF"/>
            <w:vAlign w:val="center"/>
          </w:tcPr>
          <w:p>
            <w:pPr>
              <w:spacing w:after="0"/>
            </w:pPr>
            <w:r/>
            <w:r>
              <w:rPr>
                <w:rFonts w:ascii="Aptos" w:hAnsi="Aptos"/>
                <w:b w:val="0"/>
                <w:color w:val="374151"/>
                <w:sz w:val="18"/>
              </w:rPr>
              <w:t>Opening stock price for the trading day.</w:t>
            </w:r>
          </w:p>
        </w:tc>
      </w:tr>
      <w:tr>
        <w:tc>
          <w:tcPr>
            <w:tcW w:type="dxa" w:w="3331"/>
            <w:shd w:fill="F8FAFC"/>
            <w:vAlign w:val="center"/>
          </w:tcPr>
          <w:p>
            <w:pPr>
              <w:spacing w:after="0"/>
            </w:pPr>
            <w:r/>
            <w:r>
              <w:rPr>
                <w:rFonts w:ascii="Aptos" w:hAnsi="Aptos"/>
                <w:b w:val="0"/>
                <w:color w:val="374151"/>
                <w:sz w:val="18"/>
              </w:rPr>
              <w:t>High</w:t>
            </w:r>
          </w:p>
        </w:tc>
        <w:tc>
          <w:tcPr>
            <w:tcW w:type="dxa" w:w="3331"/>
            <w:shd w:fill="F8FAFC"/>
            <w:vAlign w:val="center"/>
          </w:tcPr>
          <w:p>
            <w:pPr>
              <w:spacing w:after="0"/>
            </w:pPr>
            <w:r/>
            <w:r>
              <w:rPr>
                <w:rFonts w:ascii="Aptos" w:hAnsi="Aptos"/>
                <w:b w:val="0"/>
                <w:color w:val="374151"/>
                <w:sz w:val="18"/>
              </w:rPr>
              <w:t>Numeric</w:t>
            </w:r>
          </w:p>
        </w:tc>
        <w:tc>
          <w:tcPr>
            <w:tcW w:type="dxa" w:w="3331"/>
            <w:shd w:fill="F8FAFC"/>
            <w:vAlign w:val="center"/>
          </w:tcPr>
          <w:p>
            <w:pPr>
              <w:spacing w:after="0"/>
            </w:pPr>
            <w:r/>
            <w:r>
              <w:rPr>
                <w:rFonts w:ascii="Aptos" w:hAnsi="Aptos"/>
                <w:b w:val="0"/>
                <w:color w:val="374151"/>
                <w:sz w:val="18"/>
              </w:rPr>
              <w:t>Highest stock price reached during the day.</w:t>
            </w:r>
          </w:p>
        </w:tc>
      </w:tr>
      <w:tr>
        <w:tc>
          <w:tcPr>
            <w:tcW w:type="dxa" w:w="3331"/>
            <w:shd w:fill="FFFFFF"/>
            <w:vAlign w:val="center"/>
          </w:tcPr>
          <w:p>
            <w:pPr>
              <w:spacing w:after="0"/>
            </w:pPr>
            <w:r/>
            <w:r>
              <w:rPr>
                <w:rFonts w:ascii="Aptos" w:hAnsi="Aptos"/>
                <w:b w:val="0"/>
                <w:color w:val="374151"/>
                <w:sz w:val="18"/>
              </w:rPr>
              <w:t>Low</w:t>
            </w:r>
          </w:p>
        </w:tc>
        <w:tc>
          <w:tcPr>
            <w:tcW w:type="dxa" w:w="3331"/>
            <w:shd w:fill="FFFFFF"/>
            <w:vAlign w:val="center"/>
          </w:tcPr>
          <w:p>
            <w:pPr>
              <w:spacing w:after="0"/>
            </w:pPr>
            <w:r/>
            <w:r>
              <w:rPr>
                <w:rFonts w:ascii="Aptos" w:hAnsi="Aptos"/>
                <w:b w:val="0"/>
                <w:color w:val="374151"/>
                <w:sz w:val="18"/>
              </w:rPr>
              <w:t>Numeric</w:t>
            </w:r>
          </w:p>
        </w:tc>
        <w:tc>
          <w:tcPr>
            <w:tcW w:type="dxa" w:w="3331"/>
            <w:shd w:fill="FFFFFF"/>
            <w:vAlign w:val="center"/>
          </w:tcPr>
          <w:p>
            <w:pPr>
              <w:spacing w:after="0"/>
            </w:pPr>
            <w:r/>
            <w:r>
              <w:rPr>
                <w:rFonts w:ascii="Aptos" w:hAnsi="Aptos"/>
                <w:b w:val="0"/>
                <w:color w:val="374151"/>
                <w:sz w:val="18"/>
              </w:rPr>
              <w:t>Lowest stock price reached during the day.</w:t>
            </w:r>
          </w:p>
        </w:tc>
      </w:tr>
      <w:tr>
        <w:tc>
          <w:tcPr>
            <w:tcW w:type="dxa" w:w="3331"/>
            <w:shd w:fill="F8FAFC"/>
            <w:vAlign w:val="center"/>
          </w:tcPr>
          <w:p>
            <w:pPr>
              <w:spacing w:after="0"/>
            </w:pPr>
            <w:r/>
            <w:r>
              <w:rPr>
                <w:rFonts w:ascii="Aptos" w:hAnsi="Aptos"/>
                <w:b w:val="0"/>
                <w:color w:val="374151"/>
                <w:sz w:val="18"/>
              </w:rPr>
              <w:t>Close</w:t>
            </w:r>
          </w:p>
        </w:tc>
        <w:tc>
          <w:tcPr>
            <w:tcW w:type="dxa" w:w="3331"/>
            <w:shd w:fill="F8FAFC"/>
            <w:vAlign w:val="center"/>
          </w:tcPr>
          <w:p>
            <w:pPr>
              <w:spacing w:after="0"/>
            </w:pPr>
            <w:r/>
            <w:r>
              <w:rPr>
                <w:rFonts w:ascii="Aptos" w:hAnsi="Aptos"/>
                <w:b w:val="0"/>
                <w:color w:val="374151"/>
                <w:sz w:val="18"/>
              </w:rPr>
              <w:t>Numeric</w:t>
            </w:r>
          </w:p>
        </w:tc>
        <w:tc>
          <w:tcPr>
            <w:tcW w:type="dxa" w:w="3331"/>
            <w:shd w:fill="F8FAFC"/>
            <w:vAlign w:val="center"/>
          </w:tcPr>
          <w:p>
            <w:pPr>
              <w:spacing w:after="0"/>
            </w:pPr>
            <w:r/>
            <w:r>
              <w:rPr>
                <w:rFonts w:ascii="Aptos" w:hAnsi="Aptos"/>
                <w:b w:val="0"/>
                <w:color w:val="374151"/>
                <w:sz w:val="18"/>
              </w:rPr>
              <w:t>Closing stock price for the trading day.</w:t>
            </w:r>
          </w:p>
        </w:tc>
      </w:tr>
      <w:tr>
        <w:tc>
          <w:tcPr>
            <w:tcW w:type="dxa" w:w="3331"/>
            <w:shd w:fill="FFFFFF"/>
            <w:vAlign w:val="center"/>
          </w:tcPr>
          <w:p>
            <w:pPr>
              <w:spacing w:after="0"/>
            </w:pPr>
            <w:r/>
            <w:r>
              <w:rPr>
                <w:rFonts w:ascii="Aptos" w:hAnsi="Aptos"/>
                <w:b w:val="0"/>
                <w:color w:val="374151"/>
                <w:sz w:val="18"/>
              </w:rPr>
              <w:t>Adj Close</w:t>
            </w:r>
          </w:p>
        </w:tc>
        <w:tc>
          <w:tcPr>
            <w:tcW w:type="dxa" w:w="3331"/>
            <w:shd w:fill="FFFFFF"/>
            <w:vAlign w:val="center"/>
          </w:tcPr>
          <w:p>
            <w:pPr>
              <w:spacing w:after="0"/>
            </w:pPr>
            <w:r/>
            <w:r>
              <w:rPr>
                <w:rFonts w:ascii="Aptos" w:hAnsi="Aptos"/>
                <w:b w:val="0"/>
                <w:color w:val="374151"/>
                <w:sz w:val="18"/>
              </w:rPr>
              <w:t>Numeric</w:t>
            </w:r>
          </w:p>
        </w:tc>
        <w:tc>
          <w:tcPr>
            <w:tcW w:type="dxa" w:w="3331"/>
            <w:shd w:fill="FFFFFF"/>
            <w:vAlign w:val="center"/>
          </w:tcPr>
          <w:p>
            <w:pPr>
              <w:spacing w:after="0"/>
            </w:pPr>
            <w:r/>
            <w:r>
              <w:rPr>
                <w:rFonts w:ascii="Aptos" w:hAnsi="Aptos"/>
                <w:b w:val="0"/>
                <w:color w:val="374151"/>
                <w:sz w:val="18"/>
              </w:rPr>
              <w:t>Adjusted closing price in the supplied dataset.</w:t>
            </w:r>
          </w:p>
        </w:tc>
      </w:tr>
      <w:tr>
        <w:tc>
          <w:tcPr>
            <w:tcW w:type="dxa" w:w="3331"/>
            <w:shd w:fill="F8FAFC"/>
            <w:vAlign w:val="center"/>
          </w:tcPr>
          <w:p>
            <w:pPr>
              <w:spacing w:after="0"/>
            </w:pPr>
            <w:r/>
            <w:r>
              <w:rPr>
                <w:rFonts w:ascii="Aptos" w:hAnsi="Aptos"/>
                <w:b w:val="0"/>
                <w:color w:val="374151"/>
                <w:sz w:val="18"/>
              </w:rPr>
              <w:t>Volume</w:t>
            </w:r>
          </w:p>
        </w:tc>
        <w:tc>
          <w:tcPr>
            <w:tcW w:type="dxa" w:w="3331"/>
            <w:shd w:fill="F8FAFC"/>
            <w:vAlign w:val="center"/>
          </w:tcPr>
          <w:p>
            <w:pPr>
              <w:spacing w:after="0"/>
            </w:pPr>
            <w:r/>
            <w:r>
              <w:rPr>
                <w:rFonts w:ascii="Aptos" w:hAnsi="Aptos"/>
                <w:b w:val="0"/>
                <w:color w:val="374151"/>
                <w:sz w:val="18"/>
              </w:rPr>
              <w:t>Integer</w:t>
            </w:r>
          </w:p>
        </w:tc>
        <w:tc>
          <w:tcPr>
            <w:tcW w:type="dxa" w:w="3331"/>
            <w:shd w:fill="F8FAFC"/>
            <w:vAlign w:val="center"/>
          </w:tcPr>
          <w:p>
            <w:pPr>
              <w:spacing w:after="0"/>
            </w:pPr>
            <w:r/>
            <w:r>
              <w:rPr>
                <w:rFonts w:ascii="Aptos" w:hAnsi="Aptos"/>
                <w:b w:val="0"/>
                <w:color w:val="374151"/>
                <w:sz w:val="18"/>
              </w:rPr>
              <w:t>Number of shares traded during the day.</w:t>
            </w:r>
          </w:p>
        </w:tc>
      </w:tr>
    </w:tbl>
    <w:p>
      <w:pPr>
        <w:spacing w:after="20"/>
      </w:pPr>
    </w:p>
    <w:p>
      <w:pPr>
        <w:pStyle w:val="Heading2"/>
      </w:pPr>
      <w:r>
        <w:t>3.1 Original Dataset Summary Statistics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shd w:fill="15253D"/>
            <w:vAlign w:val="center"/>
          </w:tcPr>
          <w:p>
            <w:pPr>
              <w:spacing w:after="0"/>
            </w:pPr>
            <w:r/>
            <w:r>
              <w:rPr>
                <w:rFonts w:ascii="Aptos" w:hAnsi="Aptos"/>
                <w:b/>
                <w:color w:val="FFFFFF"/>
                <w:sz w:val="16"/>
              </w:rPr>
              <w:t>Variable</w:t>
            </w:r>
          </w:p>
        </w:tc>
        <w:tc>
          <w:tcPr>
            <w:tcW w:type="dxa" w:w="1428"/>
            <w:shd w:fill="15253D"/>
            <w:vAlign w:val="center"/>
          </w:tcPr>
          <w:p>
            <w:pPr>
              <w:spacing w:after="0"/>
            </w:pPr>
            <w:r/>
            <w:r>
              <w:rPr>
                <w:rFonts w:ascii="Aptos" w:hAnsi="Aptos"/>
                <w:b/>
                <w:color w:val="FFFFFF"/>
                <w:sz w:val="16"/>
              </w:rPr>
              <w:t>Mean</w:t>
            </w:r>
          </w:p>
        </w:tc>
        <w:tc>
          <w:tcPr>
            <w:tcW w:type="dxa" w:w="1428"/>
            <w:shd w:fill="15253D"/>
            <w:vAlign w:val="center"/>
          </w:tcPr>
          <w:p>
            <w:pPr>
              <w:spacing w:after="0"/>
            </w:pPr>
            <w:r/>
            <w:r>
              <w:rPr>
                <w:rFonts w:ascii="Aptos" w:hAnsi="Aptos"/>
                <w:b/>
                <w:color w:val="FFFFFF"/>
                <w:sz w:val="16"/>
              </w:rPr>
              <w:t>Std. Dev.</w:t>
            </w:r>
          </w:p>
        </w:tc>
        <w:tc>
          <w:tcPr>
            <w:tcW w:type="dxa" w:w="1428"/>
            <w:shd w:fill="15253D"/>
            <w:vAlign w:val="center"/>
          </w:tcPr>
          <w:p>
            <w:pPr>
              <w:spacing w:after="0"/>
            </w:pPr>
            <w:r/>
            <w:r>
              <w:rPr>
                <w:rFonts w:ascii="Aptos" w:hAnsi="Aptos"/>
                <w:b/>
                <w:color w:val="FFFFFF"/>
                <w:sz w:val="16"/>
              </w:rPr>
              <w:t>Min</w:t>
            </w:r>
          </w:p>
        </w:tc>
        <w:tc>
          <w:tcPr>
            <w:tcW w:type="dxa" w:w="1428"/>
            <w:shd w:fill="15253D"/>
            <w:vAlign w:val="center"/>
          </w:tcPr>
          <w:p>
            <w:pPr>
              <w:spacing w:after="0"/>
            </w:pPr>
            <w:r/>
            <w:r>
              <w:rPr>
                <w:rFonts w:ascii="Aptos" w:hAnsi="Aptos"/>
                <w:b/>
                <w:color w:val="FFFFFF"/>
                <w:sz w:val="16"/>
              </w:rPr>
              <w:t>Median</w:t>
            </w:r>
          </w:p>
        </w:tc>
        <w:tc>
          <w:tcPr>
            <w:tcW w:type="dxa" w:w="1428"/>
            <w:shd w:fill="15253D"/>
            <w:vAlign w:val="center"/>
          </w:tcPr>
          <w:p>
            <w:pPr>
              <w:spacing w:after="0"/>
            </w:pPr>
            <w:r/>
            <w:r>
              <w:rPr>
                <w:rFonts w:ascii="Aptos" w:hAnsi="Aptos"/>
                <w:b/>
                <w:color w:val="FFFFFF"/>
                <w:sz w:val="16"/>
              </w:rPr>
              <w:t>75th %</w:t>
            </w:r>
          </w:p>
        </w:tc>
        <w:tc>
          <w:tcPr>
            <w:tcW w:type="dxa" w:w="1428"/>
            <w:shd w:fill="15253D"/>
            <w:vAlign w:val="center"/>
          </w:tcPr>
          <w:p>
            <w:pPr>
              <w:spacing w:after="0"/>
            </w:pPr>
            <w:r/>
            <w:r>
              <w:rPr>
                <w:rFonts w:ascii="Aptos" w:hAnsi="Aptos"/>
                <w:b/>
                <w:color w:val="FFFFFF"/>
                <w:sz w:val="16"/>
              </w:rPr>
              <w:t>Max</w:t>
            </w:r>
          </w:p>
        </w:tc>
      </w:tr>
      <w:tr>
        <w:tc>
          <w:tcPr>
            <w:tcW w:type="dxa" w:w="1428"/>
            <w:shd w:fill="F8FAFC"/>
            <w:vAlign w:val="center"/>
          </w:tcPr>
          <w:p>
            <w:pPr>
              <w:spacing w:after="0"/>
            </w:pPr>
            <w:r/>
            <w:r>
              <w:rPr>
                <w:rFonts w:ascii="Aptos" w:hAnsi="Aptos"/>
                <w:b w:val="0"/>
                <w:color w:val="374151"/>
                <w:sz w:val="16"/>
              </w:rPr>
              <w:t>Open</w:t>
            </w:r>
          </w:p>
        </w:tc>
        <w:tc>
          <w:tcPr>
            <w:tcW w:type="dxa" w:w="1428"/>
            <w:shd w:fill="F8FAFC"/>
            <w:vAlign w:val="center"/>
          </w:tcPr>
          <w:p>
            <w:pPr>
              <w:spacing w:after="0"/>
            </w:pPr>
            <w:r/>
            <w:r>
              <w:rPr>
                <w:rFonts w:ascii="Aptos" w:hAnsi="Aptos"/>
                <w:b w:val="0"/>
                <w:color w:val="374151"/>
                <w:sz w:val="16"/>
              </w:rPr>
              <w:t>55.502</w:t>
            </w:r>
          </w:p>
        </w:tc>
        <w:tc>
          <w:tcPr>
            <w:tcW w:type="dxa" w:w="1428"/>
            <w:shd w:fill="F8FAFC"/>
            <w:vAlign w:val="center"/>
          </w:tcPr>
          <w:p>
            <w:pPr>
              <w:spacing w:after="0"/>
            </w:pPr>
            <w:r/>
            <w:r>
              <w:rPr>
                <w:rFonts w:ascii="Aptos" w:hAnsi="Aptos"/>
                <w:b w:val="0"/>
                <w:color w:val="374151"/>
                <w:sz w:val="16"/>
              </w:rPr>
              <w:t>93.913</w:t>
            </w:r>
          </w:p>
        </w:tc>
        <w:tc>
          <w:tcPr>
            <w:tcW w:type="dxa" w:w="1428"/>
            <w:shd w:fill="F8FAFC"/>
            <w:vAlign w:val="center"/>
          </w:tcPr>
          <w:p>
            <w:pPr>
              <w:spacing w:after="0"/>
            </w:pPr>
            <w:r/>
            <w:r>
              <w:rPr>
                <w:rFonts w:ascii="Aptos" w:hAnsi="Aptos"/>
                <w:b w:val="0"/>
                <w:color w:val="374151"/>
                <w:sz w:val="16"/>
              </w:rPr>
              <w:t>1.076</w:t>
            </w:r>
          </w:p>
        </w:tc>
        <w:tc>
          <w:tcPr>
            <w:tcW w:type="dxa" w:w="1428"/>
            <w:shd w:fill="F8FAFC"/>
            <w:vAlign w:val="center"/>
          </w:tcPr>
          <w:p>
            <w:pPr>
              <w:spacing w:after="0"/>
            </w:pPr>
            <w:r/>
            <w:r>
              <w:rPr>
                <w:rFonts w:ascii="Aptos" w:hAnsi="Aptos"/>
                <w:b w:val="0"/>
                <w:color w:val="374151"/>
                <w:sz w:val="16"/>
              </w:rPr>
              <w:t>15.983</w:t>
            </w:r>
          </w:p>
        </w:tc>
        <w:tc>
          <w:tcPr>
            <w:tcW w:type="dxa" w:w="1428"/>
            <w:shd w:fill="F8FAFC"/>
            <w:vAlign w:val="center"/>
          </w:tcPr>
          <w:p>
            <w:pPr>
              <w:spacing w:after="0"/>
            </w:pPr>
            <w:r/>
            <w:r>
              <w:rPr>
                <w:rFonts w:ascii="Aptos" w:hAnsi="Aptos"/>
                <w:b w:val="0"/>
                <w:color w:val="374151"/>
                <w:sz w:val="16"/>
              </w:rPr>
              <w:t>23.587</w:t>
            </w:r>
          </w:p>
        </w:tc>
        <w:tc>
          <w:tcPr>
            <w:tcW w:type="dxa" w:w="1428"/>
            <w:shd w:fill="F8FAFC"/>
            <w:vAlign w:val="center"/>
          </w:tcPr>
          <w:p>
            <w:pPr>
              <w:spacing w:after="0"/>
            </w:pPr>
            <w:r/>
            <w:r>
              <w:rPr>
                <w:rFonts w:ascii="Aptos" w:hAnsi="Aptos"/>
                <w:b w:val="0"/>
                <w:color w:val="374151"/>
                <w:sz w:val="16"/>
              </w:rPr>
              <w:t>411.470</w:t>
            </w:r>
          </w:p>
        </w:tc>
      </w:tr>
      <w:tr>
        <w:tc>
          <w:tcPr>
            <w:tcW w:type="dxa" w:w="1428"/>
            <w:shd w:fill="FFFFFF"/>
            <w:vAlign w:val="center"/>
          </w:tcPr>
          <w:p>
            <w:pPr>
              <w:spacing w:after="0"/>
            </w:pPr>
            <w:r/>
            <w:r>
              <w:rPr>
                <w:rFonts w:ascii="Aptos" w:hAnsi="Aptos"/>
                <w:b w:val="0"/>
                <w:color w:val="374151"/>
                <w:sz w:val="16"/>
              </w:rPr>
              <w:t>High</w:t>
            </w:r>
          </w:p>
        </w:tc>
        <w:tc>
          <w:tcPr>
            <w:tcW w:type="dxa" w:w="1428"/>
            <w:shd w:fill="FFFFFF"/>
            <w:vAlign w:val="center"/>
          </w:tcPr>
          <w:p>
            <w:pPr>
              <w:spacing w:after="0"/>
            </w:pPr>
            <w:r/>
            <w:r>
              <w:rPr>
                <w:rFonts w:ascii="Aptos" w:hAnsi="Aptos"/>
                <w:b w:val="0"/>
                <w:color w:val="374151"/>
                <w:sz w:val="16"/>
              </w:rPr>
              <w:t>56.748</w:t>
            </w:r>
          </w:p>
        </w:tc>
        <w:tc>
          <w:tcPr>
            <w:tcW w:type="dxa" w:w="1428"/>
            <w:shd w:fill="FFFFFF"/>
            <w:vAlign w:val="center"/>
          </w:tcPr>
          <w:p>
            <w:pPr>
              <w:spacing w:after="0"/>
            </w:pPr>
            <w:r/>
            <w:r>
              <w:rPr>
                <w:rFonts w:ascii="Aptos" w:hAnsi="Aptos"/>
                <w:b w:val="0"/>
                <w:color w:val="374151"/>
                <w:sz w:val="16"/>
              </w:rPr>
              <w:t>96.085</w:t>
            </w:r>
          </w:p>
        </w:tc>
        <w:tc>
          <w:tcPr>
            <w:tcW w:type="dxa" w:w="1428"/>
            <w:shd w:fill="FFFFFF"/>
            <w:vAlign w:val="center"/>
          </w:tcPr>
          <w:p>
            <w:pPr>
              <w:spacing w:after="0"/>
            </w:pPr>
            <w:r/>
            <w:r>
              <w:rPr>
                <w:rFonts w:ascii="Aptos" w:hAnsi="Aptos"/>
                <w:b w:val="0"/>
                <w:color w:val="374151"/>
                <w:sz w:val="16"/>
              </w:rPr>
              <w:t>1.109</w:t>
            </w:r>
          </w:p>
        </w:tc>
        <w:tc>
          <w:tcPr>
            <w:tcW w:type="dxa" w:w="1428"/>
            <w:shd w:fill="FFFFFF"/>
            <w:vAlign w:val="center"/>
          </w:tcPr>
          <w:p>
            <w:pPr>
              <w:spacing w:after="0"/>
            </w:pPr>
            <w:r/>
            <w:r>
              <w:rPr>
                <w:rFonts w:ascii="Aptos" w:hAnsi="Aptos"/>
                <w:b w:val="0"/>
                <w:color w:val="374151"/>
                <w:sz w:val="16"/>
              </w:rPr>
              <w:t>16.242</w:t>
            </w:r>
          </w:p>
        </w:tc>
        <w:tc>
          <w:tcPr>
            <w:tcW w:type="dxa" w:w="1428"/>
            <w:shd w:fill="FFFFFF"/>
            <w:vAlign w:val="center"/>
          </w:tcPr>
          <w:p>
            <w:pPr>
              <w:spacing w:after="0"/>
            </w:pPr>
            <w:r/>
            <w:r>
              <w:rPr>
                <w:rFonts w:ascii="Aptos" w:hAnsi="Aptos"/>
                <w:b w:val="0"/>
                <w:color w:val="374151"/>
                <w:sz w:val="16"/>
              </w:rPr>
              <w:t>23.917</w:t>
            </w:r>
          </w:p>
        </w:tc>
        <w:tc>
          <w:tcPr>
            <w:tcW w:type="dxa" w:w="1428"/>
            <w:shd w:fill="FFFFFF"/>
            <w:vAlign w:val="center"/>
          </w:tcPr>
          <w:p>
            <w:pPr>
              <w:spacing w:after="0"/>
            </w:pPr>
            <w:r/>
            <w:r>
              <w:rPr>
                <w:rFonts w:ascii="Aptos" w:hAnsi="Aptos"/>
                <w:b w:val="0"/>
                <w:color w:val="374151"/>
                <w:sz w:val="16"/>
              </w:rPr>
              <w:t>414.497</w:t>
            </w:r>
          </w:p>
        </w:tc>
      </w:tr>
      <w:tr>
        <w:tc>
          <w:tcPr>
            <w:tcW w:type="dxa" w:w="1428"/>
            <w:shd w:fill="F8FAFC"/>
            <w:vAlign w:val="center"/>
          </w:tcPr>
          <w:p>
            <w:pPr>
              <w:spacing w:after="0"/>
            </w:pPr>
            <w:r/>
            <w:r>
              <w:rPr>
                <w:rFonts w:ascii="Aptos" w:hAnsi="Aptos"/>
                <w:b w:val="0"/>
                <w:color w:val="374151"/>
                <w:sz w:val="16"/>
              </w:rPr>
              <w:t>Low</w:t>
            </w:r>
          </w:p>
        </w:tc>
        <w:tc>
          <w:tcPr>
            <w:tcW w:type="dxa" w:w="1428"/>
            <w:shd w:fill="F8FAFC"/>
            <w:vAlign w:val="center"/>
          </w:tcPr>
          <w:p>
            <w:pPr>
              <w:spacing w:after="0"/>
            </w:pPr>
            <w:r/>
            <w:r>
              <w:rPr>
                <w:rFonts w:ascii="Aptos" w:hAnsi="Aptos"/>
                <w:b w:val="0"/>
                <w:color w:val="374151"/>
                <w:sz w:val="16"/>
              </w:rPr>
              <w:t>54.161</w:t>
            </w:r>
          </w:p>
        </w:tc>
        <w:tc>
          <w:tcPr>
            <w:tcW w:type="dxa" w:w="1428"/>
            <w:shd w:fill="F8FAFC"/>
            <w:vAlign w:val="center"/>
          </w:tcPr>
          <w:p>
            <w:pPr>
              <w:spacing w:after="0"/>
            </w:pPr>
            <w:r/>
            <w:r>
              <w:rPr>
                <w:rFonts w:ascii="Aptos" w:hAnsi="Aptos"/>
                <w:b w:val="0"/>
                <w:color w:val="374151"/>
                <w:sz w:val="16"/>
              </w:rPr>
              <w:t>91.517</w:t>
            </w:r>
          </w:p>
        </w:tc>
        <w:tc>
          <w:tcPr>
            <w:tcW w:type="dxa" w:w="1428"/>
            <w:shd w:fill="F8FAFC"/>
            <w:vAlign w:val="center"/>
          </w:tcPr>
          <w:p>
            <w:pPr>
              <w:spacing w:after="0"/>
            </w:pPr>
            <w:r/>
            <w:r>
              <w:rPr>
                <w:rFonts w:ascii="Aptos" w:hAnsi="Aptos"/>
                <w:b w:val="0"/>
                <w:color w:val="374151"/>
                <w:sz w:val="16"/>
              </w:rPr>
              <w:t>0.999</w:t>
            </w:r>
          </w:p>
        </w:tc>
        <w:tc>
          <w:tcPr>
            <w:tcW w:type="dxa" w:w="1428"/>
            <w:shd w:fill="F8FAFC"/>
            <w:vAlign w:val="center"/>
          </w:tcPr>
          <w:p>
            <w:pPr>
              <w:spacing w:after="0"/>
            </w:pPr>
            <w:r/>
            <w:r>
              <w:rPr>
                <w:rFonts w:ascii="Aptos" w:hAnsi="Aptos"/>
                <w:b w:val="0"/>
                <w:color w:val="374151"/>
                <w:sz w:val="16"/>
              </w:rPr>
              <w:t>15.687</w:t>
            </w:r>
          </w:p>
        </w:tc>
        <w:tc>
          <w:tcPr>
            <w:tcW w:type="dxa" w:w="1428"/>
            <w:shd w:fill="F8FAFC"/>
            <w:vAlign w:val="center"/>
          </w:tcPr>
          <w:p>
            <w:pPr>
              <w:spacing w:after="0"/>
            </w:pPr>
            <w:r/>
            <w:r>
              <w:rPr>
                <w:rFonts w:ascii="Aptos" w:hAnsi="Aptos"/>
                <w:b w:val="0"/>
                <w:color w:val="374151"/>
                <w:sz w:val="16"/>
              </w:rPr>
              <w:t>23.229</w:t>
            </w:r>
          </w:p>
        </w:tc>
        <w:tc>
          <w:tcPr>
            <w:tcW w:type="dxa" w:w="1428"/>
            <w:shd w:fill="F8FAFC"/>
            <w:vAlign w:val="center"/>
          </w:tcPr>
          <w:p>
            <w:pPr>
              <w:spacing w:after="0"/>
            </w:pPr>
            <w:r/>
            <w:r>
              <w:rPr>
                <w:rFonts w:ascii="Aptos" w:hAnsi="Aptos"/>
                <w:b w:val="0"/>
                <w:color w:val="374151"/>
                <w:sz w:val="16"/>
              </w:rPr>
              <w:t>405.667</w:t>
            </w:r>
          </w:p>
        </w:tc>
      </w:tr>
      <w:tr>
        <w:tc>
          <w:tcPr>
            <w:tcW w:type="dxa" w:w="1428"/>
            <w:shd w:fill="FFFFFF"/>
            <w:vAlign w:val="center"/>
          </w:tcPr>
          <w:p>
            <w:pPr>
              <w:spacing w:after="0"/>
            </w:pPr>
            <w:r/>
            <w:r>
              <w:rPr>
                <w:rFonts w:ascii="Aptos" w:hAnsi="Aptos"/>
                <w:b w:val="0"/>
                <w:color w:val="374151"/>
                <w:sz w:val="16"/>
              </w:rPr>
              <w:t>Close</w:t>
            </w:r>
          </w:p>
        </w:tc>
        <w:tc>
          <w:tcPr>
            <w:tcW w:type="dxa" w:w="1428"/>
            <w:shd w:fill="FFFFFF"/>
            <w:vAlign w:val="center"/>
          </w:tcPr>
          <w:p>
            <w:pPr>
              <w:spacing w:after="0"/>
            </w:pPr>
            <w:r/>
            <w:r>
              <w:rPr>
                <w:rFonts w:ascii="Aptos" w:hAnsi="Aptos"/>
                <w:b w:val="0"/>
                <w:color w:val="374151"/>
                <w:sz w:val="16"/>
              </w:rPr>
              <w:t>55.496</w:t>
            </w:r>
          </w:p>
        </w:tc>
        <w:tc>
          <w:tcPr>
            <w:tcW w:type="dxa" w:w="1428"/>
            <w:shd w:fill="FFFFFF"/>
            <w:vAlign w:val="center"/>
          </w:tcPr>
          <w:p>
            <w:pPr>
              <w:spacing w:after="0"/>
            </w:pPr>
            <w:r/>
            <w:r>
              <w:rPr>
                <w:rFonts w:ascii="Aptos" w:hAnsi="Aptos"/>
                <w:b w:val="0"/>
                <w:color w:val="374151"/>
                <w:sz w:val="16"/>
              </w:rPr>
              <w:t>93.851</w:t>
            </w:r>
          </w:p>
        </w:tc>
        <w:tc>
          <w:tcPr>
            <w:tcW w:type="dxa" w:w="1428"/>
            <w:shd w:fill="FFFFFF"/>
            <w:vAlign w:val="center"/>
          </w:tcPr>
          <w:p>
            <w:pPr>
              <w:spacing w:after="0"/>
            </w:pPr>
            <w:r/>
            <w:r>
              <w:rPr>
                <w:rFonts w:ascii="Aptos" w:hAnsi="Aptos"/>
                <w:b w:val="0"/>
                <w:color w:val="374151"/>
                <w:sz w:val="16"/>
              </w:rPr>
              <w:t>1.053</w:t>
            </w:r>
          </w:p>
        </w:tc>
        <w:tc>
          <w:tcPr>
            <w:tcW w:type="dxa" w:w="1428"/>
            <w:shd w:fill="FFFFFF"/>
            <w:vAlign w:val="center"/>
          </w:tcPr>
          <w:p>
            <w:pPr>
              <w:spacing w:after="0"/>
            </w:pPr>
            <w:r/>
            <w:r>
              <w:rPr>
                <w:rFonts w:ascii="Aptos" w:hAnsi="Aptos"/>
                <w:b w:val="0"/>
                <w:color w:val="374151"/>
                <w:sz w:val="16"/>
              </w:rPr>
              <w:t>16.001</w:t>
            </w:r>
          </w:p>
        </w:tc>
        <w:tc>
          <w:tcPr>
            <w:tcW w:type="dxa" w:w="1428"/>
            <w:shd w:fill="FFFFFF"/>
            <w:vAlign w:val="center"/>
          </w:tcPr>
          <w:p>
            <w:pPr>
              <w:spacing w:after="0"/>
            </w:pPr>
            <w:r/>
            <w:r>
              <w:rPr>
                <w:rFonts w:ascii="Aptos" w:hAnsi="Aptos"/>
                <w:b w:val="0"/>
                <w:color w:val="374151"/>
                <w:sz w:val="16"/>
              </w:rPr>
              <w:t>23.523</w:t>
            </w:r>
          </w:p>
        </w:tc>
        <w:tc>
          <w:tcPr>
            <w:tcW w:type="dxa" w:w="1428"/>
            <w:shd w:fill="FFFFFF"/>
            <w:vAlign w:val="center"/>
          </w:tcPr>
          <w:p>
            <w:pPr>
              <w:spacing w:after="0"/>
            </w:pPr>
            <w:r/>
            <w:r>
              <w:rPr>
                <w:rFonts w:ascii="Aptos" w:hAnsi="Aptos"/>
                <w:b w:val="0"/>
                <w:color w:val="374151"/>
                <w:sz w:val="16"/>
              </w:rPr>
              <w:t>409.970</w:t>
            </w:r>
          </w:p>
        </w:tc>
      </w:tr>
      <w:tr>
        <w:tc>
          <w:tcPr>
            <w:tcW w:type="dxa" w:w="1428"/>
            <w:shd w:fill="F8FAFC"/>
            <w:vAlign w:val="center"/>
          </w:tcPr>
          <w:p>
            <w:pPr>
              <w:spacing w:after="0"/>
            </w:pPr>
            <w:r/>
            <w:r>
              <w:rPr>
                <w:rFonts w:ascii="Aptos" w:hAnsi="Aptos"/>
                <w:b w:val="0"/>
                <w:color w:val="374151"/>
                <w:sz w:val="16"/>
              </w:rPr>
              <w:t>Adj Close</w:t>
            </w:r>
          </w:p>
        </w:tc>
        <w:tc>
          <w:tcPr>
            <w:tcW w:type="dxa" w:w="1428"/>
            <w:shd w:fill="F8FAFC"/>
            <w:vAlign w:val="center"/>
          </w:tcPr>
          <w:p>
            <w:pPr>
              <w:spacing w:after="0"/>
            </w:pPr>
            <w:r/>
            <w:r>
              <w:rPr>
                <w:rFonts w:ascii="Aptos" w:hAnsi="Aptos"/>
                <w:b w:val="0"/>
                <w:color w:val="374151"/>
                <w:sz w:val="16"/>
              </w:rPr>
              <w:t>55.496</w:t>
            </w:r>
          </w:p>
        </w:tc>
        <w:tc>
          <w:tcPr>
            <w:tcW w:type="dxa" w:w="1428"/>
            <w:shd w:fill="F8FAFC"/>
            <w:vAlign w:val="center"/>
          </w:tcPr>
          <w:p>
            <w:pPr>
              <w:spacing w:after="0"/>
            </w:pPr>
            <w:r/>
            <w:r>
              <w:rPr>
                <w:rFonts w:ascii="Aptos" w:hAnsi="Aptos"/>
                <w:b w:val="0"/>
                <w:color w:val="374151"/>
                <w:sz w:val="16"/>
              </w:rPr>
              <w:t>93.851</w:t>
            </w:r>
          </w:p>
        </w:tc>
        <w:tc>
          <w:tcPr>
            <w:tcW w:type="dxa" w:w="1428"/>
            <w:shd w:fill="F8FAFC"/>
            <w:vAlign w:val="center"/>
          </w:tcPr>
          <w:p>
            <w:pPr>
              <w:spacing w:after="0"/>
            </w:pPr>
            <w:r/>
            <w:r>
              <w:rPr>
                <w:rFonts w:ascii="Aptos" w:hAnsi="Aptos"/>
                <w:b w:val="0"/>
                <w:color w:val="374151"/>
                <w:sz w:val="16"/>
              </w:rPr>
              <w:t>1.053</w:t>
            </w:r>
          </w:p>
        </w:tc>
        <w:tc>
          <w:tcPr>
            <w:tcW w:type="dxa" w:w="1428"/>
            <w:shd w:fill="F8FAFC"/>
            <w:vAlign w:val="center"/>
          </w:tcPr>
          <w:p>
            <w:pPr>
              <w:spacing w:after="0"/>
            </w:pPr>
            <w:r/>
            <w:r>
              <w:rPr>
                <w:rFonts w:ascii="Aptos" w:hAnsi="Aptos"/>
                <w:b w:val="0"/>
                <w:color w:val="374151"/>
                <w:sz w:val="16"/>
              </w:rPr>
              <w:t>16.001</w:t>
            </w:r>
          </w:p>
        </w:tc>
        <w:tc>
          <w:tcPr>
            <w:tcW w:type="dxa" w:w="1428"/>
            <w:shd w:fill="F8FAFC"/>
            <w:vAlign w:val="center"/>
          </w:tcPr>
          <w:p>
            <w:pPr>
              <w:spacing w:after="0"/>
            </w:pPr>
            <w:r/>
            <w:r>
              <w:rPr>
                <w:rFonts w:ascii="Aptos" w:hAnsi="Aptos"/>
                <w:b w:val="0"/>
                <w:color w:val="374151"/>
                <w:sz w:val="16"/>
              </w:rPr>
              <w:t>23.523</w:t>
            </w:r>
          </w:p>
        </w:tc>
        <w:tc>
          <w:tcPr>
            <w:tcW w:type="dxa" w:w="1428"/>
            <w:shd w:fill="F8FAFC"/>
            <w:vAlign w:val="center"/>
          </w:tcPr>
          <w:p>
            <w:pPr>
              <w:spacing w:after="0"/>
            </w:pPr>
            <w:r/>
            <w:r>
              <w:rPr>
                <w:rFonts w:ascii="Aptos" w:hAnsi="Aptos"/>
                <w:b w:val="0"/>
                <w:color w:val="374151"/>
                <w:sz w:val="16"/>
              </w:rPr>
              <w:t>409.970</w:t>
            </w:r>
          </w:p>
        </w:tc>
      </w:tr>
      <w:tr>
        <w:tc>
          <w:tcPr>
            <w:tcW w:type="dxa" w:w="1428"/>
            <w:shd w:fill="FFFFFF"/>
            <w:vAlign w:val="center"/>
          </w:tcPr>
          <w:p>
            <w:pPr>
              <w:spacing w:after="0"/>
            </w:pPr>
            <w:r/>
            <w:r>
              <w:rPr>
                <w:rFonts w:ascii="Aptos" w:hAnsi="Aptos"/>
                <w:b w:val="0"/>
                <w:color w:val="374151"/>
                <w:sz w:val="16"/>
              </w:rPr>
              <w:t>Volume</w:t>
            </w:r>
          </w:p>
        </w:tc>
        <w:tc>
          <w:tcPr>
            <w:tcW w:type="dxa" w:w="1428"/>
            <w:shd w:fill="FFFFFF"/>
            <w:vAlign w:val="center"/>
          </w:tcPr>
          <w:p>
            <w:pPr>
              <w:spacing w:after="0"/>
            </w:pPr>
            <w:r/>
            <w:r>
              <w:rPr>
                <w:rFonts w:ascii="Aptos" w:hAnsi="Aptos"/>
                <w:b w:val="0"/>
                <w:color w:val="374151"/>
                <w:sz w:val="16"/>
              </w:rPr>
              <w:t>93,403,920</w:t>
            </w:r>
          </w:p>
        </w:tc>
        <w:tc>
          <w:tcPr>
            <w:tcW w:type="dxa" w:w="1428"/>
            <w:shd w:fill="FFFFFF"/>
            <w:vAlign w:val="center"/>
          </w:tcPr>
          <w:p>
            <w:pPr>
              <w:spacing w:after="0"/>
            </w:pPr>
            <w:r/>
            <w:r>
              <w:rPr>
                <w:rFonts w:ascii="Aptos" w:hAnsi="Aptos"/>
                <w:b w:val="0"/>
                <w:color w:val="374151"/>
                <w:sz w:val="16"/>
              </w:rPr>
              <w:t>82,358,160</w:t>
            </w:r>
          </w:p>
        </w:tc>
        <w:tc>
          <w:tcPr>
            <w:tcW w:type="dxa" w:w="1428"/>
            <w:shd w:fill="FFFFFF"/>
            <w:vAlign w:val="center"/>
          </w:tcPr>
          <w:p>
            <w:pPr>
              <w:spacing w:after="0"/>
            </w:pPr>
            <w:r/>
            <w:r>
              <w:rPr>
                <w:rFonts w:ascii="Aptos" w:hAnsi="Aptos"/>
                <w:b w:val="0"/>
                <w:color w:val="374151"/>
                <w:sz w:val="16"/>
              </w:rPr>
              <w:t>1,777,500</w:t>
            </w:r>
          </w:p>
        </w:tc>
        <w:tc>
          <w:tcPr>
            <w:tcW w:type="dxa" w:w="1428"/>
            <w:shd w:fill="FFFFFF"/>
            <w:vAlign w:val="center"/>
          </w:tcPr>
          <w:p>
            <w:pPr>
              <w:spacing w:after="0"/>
            </w:pPr>
            <w:r/>
            <w:r>
              <w:rPr>
                <w:rFonts w:ascii="Aptos" w:hAnsi="Aptos"/>
                <w:b w:val="0"/>
                <w:color w:val="374151"/>
                <w:sz w:val="16"/>
              </w:rPr>
              <w:t>75,415,500</w:t>
            </w:r>
          </w:p>
        </w:tc>
        <w:tc>
          <w:tcPr>
            <w:tcW w:type="dxa" w:w="1428"/>
            <w:shd w:fill="FFFFFF"/>
            <w:vAlign w:val="center"/>
          </w:tcPr>
          <w:p>
            <w:pPr>
              <w:spacing w:after="0"/>
            </w:pPr>
            <w:r/>
            <w:r>
              <w:rPr>
                <w:rFonts w:ascii="Aptos" w:hAnsi="Aptos"/>
                <w:b w:val="0"/>
                <w:color w:val="374151"/>
                <w:sz w:val="16"/>
              </w:rPr>
              <w:t>117,303,000</w:t>
            </w:r>
          </w:p>
        </w:tc>
        <w:tc>
          <w:tcPr>
            <w:tcW w:type="dxa" w:w="1428"/>
            <w:shd w:fill="FFFFFF"/>
            <w:vAlign w:val="center"/>
          </w:tcPr>
          <w:p>
            <w:pPr>
              <w:spacing w:after="0"/>
            </w:pPr>
            <w:r/>
            <w:r>
              <w:rPr>
                <w:rFonts w:ascii="Aptos" w:hAnsi="Aptos"/>
                <w:b w:val="0"/>
                <w:color w:val="374151"/>
                <w:sz w:val="16"/>
              </w:rPr>
              <w:t>914,082,000</w:t>
            </w:r>
          </w:p>
        </w:tc>
      </w:tr>
    </w:tbl>
    <w:p>
      <w:pPr>
        <w:spacing w:after="20"/>
      </w:pPr>
    </w:p>
    <w:p>
      <w:r>
        <w:t>The statistics show why scaling is important. Price variables and Volume operate on very different numerical scales, while the wide gap between mean and standard deviation also indicates substantial variation over the historical sample.</w:t>
      </w:r>
    </w:p>
    <w:p>
      <w:r>
        <w:br w:type="page"/>
      </w:r>
    </w:p>
    <w:p>
      <w:pPr>
        <w:pStyle w:val="Heading1"/>
      </w:pPr>
      <w:r>
        <w:t>4. Data Understanding &amp; Quality Checks</w:t>
      </w:r>
    </w:p>
    <w:p>
      <w:pPr>
        <w:pStyle w:val="Heading2"/>
      </w:pPr>
      <w:r>
        <w:t>4.1 Dataset Shape and Types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Check</w:t>
            </w:r>
          </w:p>
        </w:tc>
        <w:tc>
          <w:tcPr>
            <w:tcW w:type="dxa" w:w="4997"/>
            <w:shd w:fill="15253D"/>
            <w:vAlign w:val="center"/>
          </w:tcPr>
          <w:p>
            <w:pPr>
              <w:spacing w:after="0"/>
            </w:pPr>
            <w:r/>
            <w:r>
              <w:rPr>
                <w:rFonts w:ascii="Aptos" w:hAnsi="Aptos"/>
                <w:b/>
                <w:color w:val="FFFFFF"/>
                <w:sz w:val="18"/>
              </w:rPr>
              <w:t>Result</w:t>
            </w:r>
          </w:p>
        </w:tc>
      </w:tr>
      <w:tr>
        <w:tc>
          <w:tcPr>
            <w:tcW w:type="dxa" w:w="4997"/>
            <w:shd w:fill="F8FAFC"/>
            <w:vAlign w:val="center"/>
          </w:tcPr>
          <w:p>
            <w:pPr>
              <w:spacing w:after="0"/>
            </w:pPr>
            <w:r/>
            <w:r>
              <w:rPr>
                <w:rFonts w:ascii="Aptos" w:hAnsi="Aptos"/>
                <w:b w:val="0"/>
                <w:color w:val="374151"/>
                <w:sz w:val="18"/>
              </w:rPr>
              <w:t>Rows</w:t>
            </w:r>
          </w:p>
        </w:tc>
        <w:tc>
          <w:tcPr>
            <w:tcW w:type="dxa" w:w="4997"/>
            <w:shd w:fill="F8FAFC"/>
            <w:vAlign w:val="center"/>
          </w:tcPr>
          <w:p>
            <w:pPr>
              <w:spacing w:after="0"/>
            </w:pPr>
            <w:r/>
            <w:r>
              <w:rPr>
                <w:rFonts w:ascii="Aptos" w:hAnsi="Aptos"/>
                <w:b w:val="0"/>
                <w:color w:val="374151"/>
                <w:sz w:val="18"/>
              </w:rPr>
              <w:t>3,077</w:t>
            </w:r>
          </w:p>
        </w:tc>
      </w:tr>
      <w:tr>
        <w:tc>
          <w:tcPr>
            <w:tcW w:type="dxa" w:w="4997"/>
            <w:shd w:fill="FFFFFF"/>
            <w:vAlign w:val="center"/>
          </w:tcPr>
          <w:p>
            <w:pPr>
              <w:spacing w:after="0"/>
            </w:pPr>
            <w:r/>
            <w:r>
              <w:rPr>
                <w:rFonts w:ascii="Aptos" w:hAnsi="Aptos"/>
                <w:b w:val="0"/>
                <w:color w:val="374151"/>
                <w:sz w:val="18"/>
              </w:rPr>
              <w:t>Columns</w:t>
            </w:r>
          </w:p>
        </w:tc>
        <w:tc>
          <w:tcPr>
            <w:tcW w:type="dxa" w:w="4997"/>
            <w:shd w:fill="FFFFFF"/>
            <w:vAlign w:val="center"/>
          </w:tcPr>
          <w:p>
            <w:pPr>
              <w:spacing w:after="0"/>
            </w:pPr>
            <w:r/>
            <w:r>
              <w:rPr>
                <w:rFonts w:ascii="Aptos" w:hAnsi="Aptos"/>
                <w:b w:val="0"/>
                <w:color w:val="374151"/>
                <w:sz w:val="18"/>
              </w:rPr>
              <w:t>7</w:t>
            </w:r>
          </w:p>
        </w:tc>
      </w:tr>
      <w:tr>
        <w:tc>
          <w:tcPr>
            <w:tcW w:type="dxa" w:w="4997"/>
            <w:shd w:fill="F8FAFC"/>
            <w:vAlign w:val="center"/>
          </w:tcPr>
          <w:p>
            <w:pPr>
              <w:spacing w:after="0"/>
            </w:pPr>
            <w:r/>
            <w:r>
              <w:rPr>
                <w:rFonts w:ascii="Aptos" w:hAnsi="Aptos"/>
                <w:b w:val="0"/>
                <w:color w:val="374151"/>
                <w:sz w:val="18"/>
              </w:rPr>
              <w:t>Date type before conversion</w:t>
            </w:r>
          </w:p>
        </w:tc>
        <w:tc>
          <w:tcPr>
            <w:tcW w:type="dxa" w:w="4997"/>
            <w:shd w:fill="F8FAFC"/>
            <w:vAlign w:val="center"/>
          </w:tcPr>
          <w:p>
            <w:pPr>
              <w:spacing w:after="0"/>
            </w:pPr>
            <w:r/>
            <w:r>
              <w:rPr>
                <w:rFonts w:ascii="Aptos" w:hAnsi="Aptos"/>
                <w:b w:val="0"/>
                <w:color w:val="374151"/>
                <w:sz w:val="18"/>
              </w:rPr>
              <w:t>object</w:t>
            </w:r>
          </w:p>
        </w:tc>
      </w:tr>
      <w:tr>
        <w:tc>
          <w:tcPr>
            <w:tcW w:type="dxa" w:w="4997"/>
            <w:shd w:fill="FFFFFF"/>
            <w:vAlign w:val="center"/>
          </w:tcPr>
          <w:p>
            <w:pPr>
              <w:spacing w:after="0"/>
            </w:pPr>
            <w:r/>
            <w:r>
              <w:rPr>
                <w:rFonts w:ascii="Aptos" w:hAnsi="Aptos"/>
                <w:b w:val="0"/>
                <w:color w:val="374151"/>
                <w:sz w:val="18"/>
              </w:rPr>
              <w:t>Open / High / Low / Close / Adj Close</w:t>
            </w:r>
          </w:p>
        </w:tc>
        <w:tc>
          <w:tcPr>
            <w:tcW w:type="dxa" w:w="4997"/>
            <w:shd w:fill="FFFFFF"/>
            <w:vAlign w:val="center"/>
          </w:tcPr>
          <w:p>
            <w:pPr>
              <w:spacing w:after="0"/>
            </w:pPr>
            <w:r/>
            <w:r>
              <w:rPr>
                <w:rFonts w:ascii="Aptos" w:hAnsi="Aptos"/>
                <w:b w:val="0"/>
                <w:color w:val="374151"/>
                <w:sz w:val="18"/>
              </w:rPr>
              <w:t>float64</w:t>
            </w:r>
          </w:p>
        </w:tc>
      </w:tr>
      <w:tr>
        <w:tc>
          <w:tcPr>
            <w:tcW w:type="dxa" w:w="4997"/>
            <w:shd w:fill="F8FAFC"/>
            <w:vAlign w:val="center"/>
          </w:tcPr>
          <w:p>
            <w:pPr>
              <w:spacing w:after="0"/>
            </w:pPr>
            <w:r/>
            <w:r>
              <w:rPr>
                <w:rFonts w:ascii="Aptos" w:hAnsi="Aptos"/>
                <w:b w:val="0"/>
                <w:color w:val="374151"/>
                <w:sz w:val="18"/>
              </w:rPr>
              <w:t>Volume</w:t>
            </w:r>
          </w:p>
        </w:tc>
        <w:tc>
          <w:tcPr>
            <w:tcW w:type="dxa" w:w="4997"/>
            <w:shd w:fill="F8FAFC"/>
            <w:vAlign w:val="center"/>
          </w:tcPr>
          <w:p>
            <w:pPr>
              <w:spacing w:after="0"/>
            </w:pPr>
            <w:r/>
            <w:r>
              <w:rPr>
                <w:rFonts w:ascii="Aptos" w:hAnsi="Aptos"/>
                <w:b w:val="0"/>
                <w:color w:val="374151"/>
                <w:sz w:val="18"/>
              </w:rPr>
              <w:t>int64</w:t>
            </w:r>
          </w:p>
        </w:tc>
      </w:tr>
      <w:tr>
        <w:tc>
          <w:tcPr>
            <w:tcW w:type="dxa" w:w="4997"/>
            <w:shd w:fill="FFFFFF"/>
            <w:vAlign w:val="center"/>
          </w:tcPr>
          <w:p>
            <w:pPr>
              <w:spacing w:after="0"/>
            </w:pPr>
            <w:r/>
            <w:r>
              <w:rPr>
                <w:rFonts w:ascii="Aptos" w:hAnsi="Aptos"/>
                <w:b w:val="0"/>
                <w:color w:val="374151"/>
                <w:sz w:val="18"/>
              </w:rPr>
              <w:t>Missing values</w:t>
            </w:r>
          </w:p>
        </w:tc>
        <w:tc>
          <w:tcPr>
            <w:tcW w:type="dxa" w:w="4997"/>
            <w:shd w:fill="FFFFFF"/>
            <w:vAlign w:val="center"/>
          </w:tcPr>
          <w:p>
            <w:pPr>
              <w:spacing w:after="0"/>
            </w:pPr>
            <w:r/>
            <w:r>
              <w:rPr>
                <w:rFonts w:ascii="Aptos" w:hAnsi="Aptos"/>
                <w:b w:val="0"/>
                <w:color w:val="374151"/>
                <w:sz w:val="18"/>
              </w:rPr>
              <w:t>0 across all columns</w:t>
            </w:r>
          </w:p>
        </w:tc>
      </w:tr>
      <w:tr>
        <w:tc>
          <w:tcPr>
            <w:tcW w:type="dxa" w:w="4997"/>
            <w:shd w:fill="F8FAFC"/>
            <w:vAlign w:val="center"/>
          </w:tcPr>
          <w:p>
            <w:pPr>
              <w:spacing w:after="0"/>
            </w:pPr>
            <w:r/>
            <w:r>
              <w:rPr>
                <w:rFonts w:ascii="Aptos" w:hAnsi="Aptos"/>
                <w:b w:val="0"/>
                <w:color w:val="374151"/>
                <w:sz w:val="18"/>
              </w:rPr>
              <w:t>Duplicate rows</w:t>
            </w:r>
          </w:p>
        </w:tc>
        <w:tc>
          <w:tcPr>
            <w:tcW w:type="dxa" w:w="4997"/>
            <w:shd w:fill="F8FAFC"/>
            <w:vAlign w:val="center"/>
          </w:tcPr>
          <w:p>
            <w:pPr>
              <w:spacing w:after="0"/>
            </w:pPr>
            <w:r/>
            <w:r>
              <w:rPr>
                <w:rFonts w:ascii="Aptos" w:hAnsi="Aptos"/>
                <w:b w:val="0"/>
                <w:color w:val="374151"/>
                <w:sz w:val="18"/>
              </w:rPr>
              <w:t>0</w:t>
            </w:r>
          </w:p>
        </w:tc>
      </w:tr>
      <w:tr>
        <w:tc>
          <w:tcPr>
            <w:tcW w:type="dxa" w:w="4997"/>
            <w:shd w:fill="FFFFFF"/>
            <w:vAlign w:val="center"/>
          </w:tcPr>
          <w:p>
            <w:pPr>
              <w:spacing w:after="0"/>
            </w:pPr>
            <w:r/>
            <w:r>
              <w:rPr>
                <w:rFonts w:ascii="Aptos" w:hAnsi="Aptos"/>
                <w:b w:val="0"/>
                <w:color w:val="374151"/>
                <w:sz w:val="18"/>
              </w:rPr>
              <w:t>Invalid dates after parsing</w:t>
            </w:r>
          </w:p>
        </w:tc>
        <w:tc>
          <w:tcPr>
            <w:tcW w:type="dxa" w:w="4997"/>
            <w:shd w:fill="FFFFFF"/>
            <w:vAlign w:val="center"/>
          </w:tcPr>
          <w:p>
            <w:pPr>
              <w:spacing w:after="0"/>
            </w:pPr>
            <w:r/>
            <w:r>
              <w:rPr>
                <w:rFonts w:ascii="Aptos" w:hAnsi="Aptos"/>
                <w:b w:val="0"/>
                <w:color w:val="374151"/>
                <w:sz w:val="18"/>
              </w:rPr>
              <w:t>0</w:t>
            </w:r>
          </w:p>
        </w:tc>
      </w:tr>
      <w:tr>
        <w:tc>
          <w:tcPr>
            <w:tcW w:type="dxa" w:w="4997"/>
            <w:shd w:fill="F8FAFC"/>
            <w:vAlign w:val="center"/>
          </w:tcPr>
          <w:p>
            <w:pPr>
              <w:spacing w:after="0"/>
            </w:pPr>
            <w:r/>
            <w:r>
              <w:rPr>
                <w:rFonts w:ascii="Aptos" w:hAnsi="Aptos"/>
                <w:b w:val="0"/>
                <w:color w:val="374151"/>
                <w:sz w:val="18"/>
              </w:rPr>
              <w:t>Final shape after cleaning</w:t>
            </w:r>
          </w:p>
        </w:tc>
        <w:tc>
          <w:tcPr>
            <w:tcW w:type="dxa" w:w="4997"/>
            <w:shd w:fill="F8FAFC"/>
            <w:vAlign w:val="center"/>
          </w:tcPr>
          <w:p>
            <w:pPr>
              <w:spacing w:after="0"/>
            </w:pPr>
            <w:r/>
            <w:r>
              <w:rPr>
                <w:rFonts w:ascii="Aptos" w:hAnsi="Aptos"/>
                <w:b w:val="0"/>
                <w:color w:val="374151"/>
                <w:sz w:val="18"/>
              </w:rPr>
              <w:t>3,077 × 7</w:t>
            </w:r>
          </w:p>
        </w:tc>
      </w:tr>
    </w:tbl>
    <w:p>
      <w:pPr>
        <w:spacing w:after="20"/>
      </w:pPr>
    </w:p>
    <w:p>
      <w:pPr>
        <w:pStyle w:val="Heading2"/>
      </w:pPr>
      <w:r>
        <w:t>4.2 Data Cleaning &amp; Preparation</w:t>
      </w:r>
    </w:p>
    <w:p>
      <w:pPr>
        <w:pStyle w:val="ListNumber"/>
        <w:spacing w:after="40"/>
      </w:pPr>
      <w:r>
        <w:rPr>
          <w:rFonts w:ascii="Aptos" w:hAnsi="Aptos"/>
          <w:color w:val="374151"/>
          <w:sz w:val="20"/>
        </w:rPr>
        <w:t>Load the Tesla daily stock dataset into a pandas DataFrame.</w:t>
      </w:r>
    </w:p>
    <w:p>
      <w:pPr>
        <w:pStyle w:val="ListNumber"/>
        <w:spacing w:after="40"/>
      </w:pPr>
      <w:r>
        <w:rPr>
          <w:rFonts w:ascii="Aptos" w:hAnsi="Aptos"/>
          <w:color w:val="374151"/>
          <w:sz w:val="20"/>
        </w:rPr>
        <w:t>Inspect column names, data types, missing values and duplicate records.</w:t>
      </w:r>
    </w:p>
    <w:p>
      <w:pPr>
        <w:pStyle w:val="ListNumber"/>
        <w:spacing w:after="40"/>
      </w:pPr>
      <w:r>
        <w:rPr>
          <w:rFonts w:ascii="Aptos" w:hAnsi="Aptos"/>
          <w:color w:val="374151"/>
          <w:sz w:val="20"/>
        </w:rPr>
        <w:t>Convert Date from object/string representation into datetime format.</w:t>
      </w:r>
    </w:p>
    <w:p>
      <w:pPr>
        <w:pStyle w:val="ListNumber"/>
        <w:spacing w:after="40"/>
      </w:pPr>
      <w:r>
        <w:rPr>
          <w:rFonts w:ascii="Aptos" w:hAnsi="Aptos"/>
          <w:color w:val="374151"/>
          <w:sz w:val="20"/>
        </w:rPr>
        <w:t>Sort records chronologically by Date.</w:t>
      </w:r>
    </w:p>
    <w:p>
      <w:pPr>
        <w:pStyle w:val="ListNumber"/>
        <w:spacing w:after="40"/>
      </w:pPr>
      <w:r>
        <w:rPr>
          <w:rFonts w:ascii="Aptos" w:hAnsi="Aptos"/>
          <w:color w:val="374151"/>
          <w:sz w:val="20"/>
        </w:rPr>
        <w:t>Verify the parsed date range and confirm there are no invalid dates.</w:t>
      </w:r>
    </w:p>
    <w:p>
      <w:pPr>
        <w:pStyle w:val="ListNumber"/>
        <w:spacing w:after="40"/>
      </w:pPr>
      <w:r>
        <w:rPr>
          <w:rFonts w:ascii="Aptos" w:hAnsi="Aptos"/>
          <w:color w:val="374151"/>
          <w:sz w:val="20"/>
        </w:rPr>
        <w:t>Create derived features required for EDA and clustering.</w:t>
      </w:r>
    </w:p>
    <w:p>
      <w:pPr>
        <w:pStyle w:val="ListNumber"/>
        <w:spacing w:after="40"/>
      </w:pPr>
      <w:r>
        <w:rPr>
          <w:rFonts w:ascii="Aptos" w:hAnsi="Aptos"/>
          <w:color w:val="374151"/>
          <w:sz w:val="20"/>
        </w:rPr>
        <w:t>Remove rows created as NaN by differencing and the 30-day rolling volatility calculation before modeling.</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Data quality conclusion</w:t>
              <w:br/>
            </w:r>
            <w:r>
              <w:rPr>
                <w:rFonts w:ascii="Aptos" w:hAnsi="Aptos"/>
                <w:color w:val="374151"/>
                <w:sz w:val="19"/>
              </w:rPr>
              <w:t>The raw file is structurally clean: there are no missing values or duplicate rows. The only modeling-row reduction comes from mathematically expected NaNs introduced by Price Change, Pct Change and the 30-day rolling calculation.</w:t>
            </w:r>
          </w:p>
        </w:tc>
      </w:tr>
    </w:tbl>
    <w:p>
      <w:pPr>
        <w:spacing w:after="20"/>
      </w:pPr>
    </w:p>
    <w:p>
      <w:r>
        <w:br w:type="page"/>
      </w:r>
    </w:p>
    <w:p>
      <w:pPr>
        <w:pStyle w:val="Heading1"/>
      </w:pPr>
      <w:r>
        <w:t>5. Feature Engineering</w:t>
      </w:r>
    </w:p>
    <w:p>
      <w:r>
        <w:t>The original OHLCV fields describe market prices and trading activity, but clustering directly on those fields does not fully capture short-term market dynamics. Four derived features were created in the notebook.</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5253D"/>
            <w:vAlign w:val="center"/>
          </w:tcPr>
          <w:p>
            <w:pPr>
              <w:spacing w:after="0"/>
            </w:pPr>
            <w:r/>
            <w:r>
              <w:rPr>
                <w:rFonts w:ascii="Aptos" w:hAnsi="Aptos"/>
                <w:b/>
                <w:color w:val="FFFFFF"/>
                <w:sz w:val="17"/>
              </w:rPr>
              <w:t>Feature</w:t>
            </w:r>
          </w:p>
        </w:tc>
        <w:tc>
          <w:tcPr>
            <w:tcW w:type="dxa" w:w="3331"/>
            <w:shd w:fill="15253D"/>
            <w:vAlign w:val="center"/>
          </w:tcPr>
          <w:p>
            <w:pPr>
              <w:spacing w:after="0"/>
            </w:pPr>
            <w:r/>
            <w:r>
              <w:rPr>
                <w:rFonts w:ascii="Aptos" w:hAnsi="Aptos"/>
                <w:b/>
                <w:color w:val="FFFFFF"/>
                <w:sz w:val="17"/>
              </w:rPr>
              <w:t>Formula / Construction</w:t>
            </w:r>
          </w:p>
        </w:tc>
        <w:tc>
          <w:tcPr>
            <w:tcW w:type="dxa" w:w="3331"/>
            <w:shd w:fill="15253D"/>
            <w:vAlign w:val="center"/>
          </w:tcPr>
          <w:p>
            <w:pPr>
              <w:spacing w:after="0"/>
            </w:pPr>
            <w:r/>
            <w:r>
              <w:rPr>
                <w:rFonts w:ascii="Aptos" w:hAnsi="Aptos"/>
                <w:b/>
                <w:color w:val="FFFFFF"/>
                <w:sz w:val="17"/>
              </w:rPr>
              <w:t>Purpose</w:t>
            </w:r>
          </w:p>
        </w:tc>
      </w:tr>
      <w:tr>
        <w:tc>
          <w:tcPr>
            <w:tcW w:type="dxa" w:w="3331"/>
            <w:shd w:fill="F8FAFC"/>
            <w:vAlign w:val="center"/>
          </w:tcPr>
          <w:p>
            <w:pPr>
              <w:spacing w:after="0"/>
            </w:pPr>
            <w:r/>
            <w:r>
              <w:rPr>
                <w:rFonts w:ascii="Aptos" w:hAnsi="Aptos"/>
                <w:b w:val="0"/>
                <w:color w:val="374151"/>
                <w:sz w:val="17"/>
              </w:rPr>
              <w:t>Price Change</w:t>
            </w:r>
          </w:p>
        </w:tc>
        <w:tc>
          <w:tcPr>
            <w:tcW w:type="dxa" w:w="3331"/>
            <w:shd w:fill="F8FAFC"/>
            <w:vAlign w:val="center"/>
          </w:tcPr>
          <w:p>
            <w:pPr>
              <w:spacing w:after="0"/>
            </w:pPr>
            <w:r/>
            <w:r>
              <w:rPr>
                <w:rFonts w:ascii="Aptos" w:hAnsi="Aptos"/>
                <w:b w:val="0"/>
                <w:color w:val="374151"/>
                <w:sz w:val="17"/>
              </w:rPr>
              <w:t>Close − previous Close</w:t>
            </w:r>
          </w:p>
        </w:tc>
        <w:tc>
          <w:tcPr>
            <w:tcW w:type="dxa" w:w="3331"/>
            <w:shd w:fill="F8FAFC"/>
            <w:vAlign w:val="center"/>
          </w:tcPr>
          <w:p>
            <w:pPr>
              <w:spacing w:after="0"/>
            </w:pPr>
            <w:r/>
            <w:r>
              <w:rPr>
                <w:rFonts w:ascii="Aptos" w:hAnsi="Aptos"/>
                <w:b w:val="0"/>
                <w:color w:val="374151"/>
                <w:sz w:val="17"/>
              </w:rPr>
              <w:t>Absolute daily movement and direction.</w:t>
            </w:r>
          </w:p>
        </w:tc>
      </w:tr>
      <w:tr>
        <w:tc>
          <w:tcPr>
            <w:tcW w:type="dxa" w:w="3331"/>
            <w:shd w:fill="FFFFFF"/>
            <w:vAlign w:val="center"/>
          </w:tcPr>
          <w:p>
            <w:pPr>
              <w:spacing w:after="0"/>
            </w:pPr>
            <w:r/>
            <w:r>
              <w:rPr>
                <w:rFonts w:ascii="Aptos" w:hAnsi="Aptos"/>
                <w:b w:val="0"/>
                <w:color w:val="374151"/>
                <w:sz w:val="17"/>
              </w:rPr>
              <w:t>Price Range</w:t>
            </w:r>
          </w:p>
        </w:tc>
        <w:tc>
          <w:tcPr>
            <w:tcW w:type="dxa" w:w="3331"/>
            <w:shd w:fill="FFFFFF"/>
            <w:vAlign w:val="center"/>
          </w:tcPr>
          <w:p>
            <w:pPr>
              <w:spacing w:after="0"/>
            </w:pPr>
            <w:r/>
            <w:r>
              <w:rPr>
                <w:rFonts w:ascii="Aptos" w:hAnsi="Aptos"/>
                <w:b w:val="0"/>
                <w:color w:val="374151"/>
                <w:sz w:val="17"/>
              </w:rPr>
              <w:t>High − Low</w:t>
            </w:r>
          </w:p>
        </w:tc>
        <w:tc>
          <w:tcPr>
            <w:tcW w:type="dxa" w:w="3331"/>
            <w:shd w:fill="FFFFFF"/>
            <w:vAlign w:val="center"/>
          </w:tcPr>
          <w:p>
            <w:pPr>
              <w:spacing w:after="0"/>
            </w:pPr>
            <w:r/>
            <w:r>
              <w:rPr>
                <w:rFonts w:ascii="Aptos" w:hAnsi="Aptos"/>
                <w:b w:val="0"/>
                <w:color w:val="374151"/>
                <w:sz w:val="17"/>
              </w:rPr>
              <w:t>Intraday trading range.</w:t>
            </w:r>
          </w:p>
        </w:tc>
      </w:tr>
      <w:tr>
        <w:tc>
          <w:tcPr>
            <w:tcW w:type="dxa" w:w="3331"/>
            <w:shd w:fill="F8FAFC"/>
            <w:vAlign w:val="center"/>
          </w:tcPr>
          <w:p>
            <w:pPr>
              <w:spacing w:after="0"/>
            </w:pPr>
            <w:r/>
            <w:r>
              <w:rPr>
                <w:rFonts w:ascii="Aptos" w:hAnsi="Aptos"/>
                <w:b w:val="0"/>
                <w:color w:val="374151"/>
                <w:sz w:val="17"/>
              </w:rPr>
              <w:t>Pct Change</w:t>
            </w:r>
          </w:p>
        </w:tc>
        <w:tc>
          <w:tcPr>
            <w:tcW w:type="dxa" w:w="3331"/>
            <w:shd w:fill="F8FAFC"/>
            <w:vAlign w:val="center"/>
          </w:tcPr>
          <w:p>
            <w:pPr>
              <w:spacing w:after="0"/>
            </w:pPr>
            <w:r/>
            <w:r>
              <w:rPr>
                <w:rFonts w:ascii="Aptos" w:hAnsi="Aptos"/>
                <w:b w:val="0"/>
                <w:color w:val="374151"/>
                <w:sz w:val="17"/>
              </w:rPr>
              <w:t>Close.pct_change() × 100</w:t>
            </w:r>
          </w:p>
        </w:tc>
        <w:tc>
          <w:tcPr>
            <w:tcW w:type="dxa" w:w="3331"/>
            <w:shd w:fill="F8FAFC"/>
            <w:vAlign w:val="center"/>
          </w:tcPr>
          <w:p>
            <w:pPr>
              <w:spacing w:after="0"/>
            </w:pPr>
            <w:r/>
            <w:r>
              <w:rPr>
                <w:rFonts w:ascii="Aptos" w:hAnsi="Aptos"/>
                <w:b w:val="0"/>
                <w:color w:val="374151"/>
                <w:sz w:val="17"/>
              </w:rPr>
              <w:t>Relative daily movement, comparable across price levels.</w:t>
            </w:r>
          </w:p>
        </w:tc>
      </w:tr>
      <w:tr>
        <w:tc>
          <w:tcPr>
            <w:tcW w:type="dxa" w:w="3331"/>
            <w:shd w:fill="FFFFFF"/>
            <w:vAlign w:val="center"/>
          </w:tcPr>
          <w:p>
            <w:pPr>
              <w:spacing w:after="0"/>
            </w:pPr>
            <w:r/>
            <w:r>
              <w:rPr>
                <w:rFonts w:ascii="Aptos" w:hAnsi="Aptos"/>
                <w:b w:val="0"/>
                <w:color w:val="374151"/>
                <w:sz w:val="17"/>
              </w:rPr>
              <w:t>Volatility</w:t>
            </w:r>
          </w:p>
        </w:tc>
        <w:tc>
          <w:tcPr>
            <w:tcW w:type="dxa" w:w="3331"/>
            <w:shd w:fill="FFFFFF"/>
            <w:vAlign w:val="center"/>
          </w:tcPr>
          <w:p>
            <w:pPr>
              <w:spacing w:after="0"/>
            </w:pPr>
            <w:r/>
            <w:r>
              <w:rPr>
                <w:rFonts w:ascii="Aptos" w:hAnsi="Aptos"/>
                <w:b w:val="0"/>
                <w:color w:val="374151"/>
                <w:sz w:val="17"/>
              </w:rPr>
              <w:t>30-day rolling standard deviation of Pct Change</w:t>
            </w:r>
          </w:p>
        </w:tc>
        <w:tc>
          <w:tcPr>
            <w:tcW w:type="dxa" w:w="3331"/>
            <w:shd w:fill="FFFFFF"/>
            <w:vAlign w:val="center"/>
          </w:tcPr>
          <w:p>
            <w:pPr>
              <w:spacing w:after="0"/>
            </w:pPr>
            <w:r/>
            <w:r>
              <w:rPr>
                <w:rFonts w:ascii="Aptos" w:hAnsi="Aptos"/>
                <w:b w:val="0"/>
                <w:color w:val="374151"/>
                <w:sz w:val="17"/>
              </w:rPr>
              <w:t>Recent variability in daily returns.</w:t>
            </w:r>
          </w:p>
        </w:tc>
      </w:tr>
    </w:tbl>
    <w:p>
      <w:pPr>
        <w:spacing w:after="20"/>
      </w:pPr>
    </w:p>
    <w:p>
      <w:pPr>
        <w:pStyle w:val="Heading2"/>
      </w:pPr>
      <w:r>
        <w:t>5.1 Why These Features Matter</w:t>
      </w:r>
    </w:p>
    <w:p>
      <w:pPr>
        <w:pStyle w:val="ListBullet"/>
        <w:spacing w:after="40"/>
        <w:ind w:left="259"/>
      </w:pPr>
      <w:r>
        <w:rPr>
          <w:rFonts w:ascii="Aptos" w:hAnsi="Aptos"/>
          <w:color w:val="374151"/>
          <w:sz w:val="20"/>
        </w:rPr>
        <w:t>Price Change identifies whether the closing price moved up or down and by how much in absolute terms.</w:t>
      </w:r>
    </w:p>
    <w:p>
      <w:pPr>
        <w:pStyle w:val="ListBullet"/>
        <w:spacing w:after="40"/>
        <w:ind w:left="259"/>
      </w:pPr>
      <w:r>
        <w:rPr>
          <w:rFonts w:ascii="Aptos" w:hAnsi="Aptos"/>
          <w:color w:val="374151"/>
          <w:sz w:val="20"/>
        </w:rPr>
        <w:t>Price Range captures the distance between the day's highest and lowest traded prices.</w:t>
      </w:r>
    </w:p>
    <w:p>
      <w:pPr>
        <w:pStyle w:val="ListBullet"/>
        <w:spacing w:after="40"/>
        <w:ind w:left="259"/>
      </w:pPr>
      <w:r>
        <w:rPr>
          <w:rFonts w:ascii="Aptos" w:hAnsi="Aptos"/>
          <w:color w:val="374151"/>
          <w:sz w:val="20"/>
        </w:rPr>
        <w:t>Pct Change expresses movement relative to the previous close, which is more scale-aware than raw price change.</w:t>
      </w:r>
    </w:p>
    <w:p>
      <w:pPr>
        <w:pStyle w:val="ListBullet"/>
        <w:spacing w:after="40"/>
        <w:ind w:left="259"/>
      </w:pPr>
      <w:r>
        <w:rPr>
          <w:rFonts w:ascii="Aptos" w:hAnsi="Aptos"/>
          <w:color w:val="374151"/>
          <w:sz w:val="20"/>
        </w:rPr>
        <w:t>The 30-day rolling standard deviation summarizes recent dispersion in percentage movements and provides a local volatility signal.</w:t>
      </w:r>
    </w:p>
    <w:p>
      <w:pPr>
        <w:pStyle w:val="Heading2"/>
      </w:pPr>
      <w:r>
        <w:t>5.2 Modeling Sample</w:t>
      </w:r>
    </w:p>
    <w:p>
      <w:r>
        <w:t>After removing rows with missing values in the engineered clustering fields, 3,047 observations remained. This reduction is expected because the first difference-based observations cannot have a prior close and the 30-day volatility calculation requires an initial rolling window.</w:t>
      </w:r>
    </w:p>
    <w:p>
      <w:r>
        <w:br w:type="page"/>
      </w:r>
    </w:p>
    <w:p>
      <w:pPr>
        <w:pStyle w:val="Heading1"/>
      </w:pPr>
      <w:r>
        <w:t>6. Distribution Analysis</w:t>
      </w:r>
    </w:p>
    <w:p>
      <w:r>
        <w:t>The project task sheet asks for distribution analysis of Open, Close, High, Low and Volume, including skewness, potential outliers and visual interpretation. The notebook calculates skewness for the five variables.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Variable</w:t>
            </w:r>
          </w:p>
        </w:tc>
        <w:tc>
          <w:tcPr>
            <w:tcW w:type="dxa" w:w="4997"/>
            <w:shd w:fill="15253D"/>
            <w:vAlign w:val="center"/>
          </w:tcPr>
          <w:p>
            <w:pPr>
              <w:spacing w:after="0"/>
            </w:pPr>
            <w:r/>
            <w:r>
              <w:rPr>
                <w:rFonts w:ascii="Aptos" w:hAnsi="Aptos"/>
                <w:b/>
                <w:color w:val="FFFFFF"/>
                <w:sz w:val="18"/>
              </w:rPr>
              <w:t>Skewness</w:t>
            </w:r>
          </w:p>
        </w:tc>
      </w:tr>
      <w:tr>
        <w:tc>
          <w:tcPr>
            <w:tcW w:type="dxa" w:w="4997"/>
            <w:shd w:fill="F8FAFC"/>
            <w:vAlign w:val="center"/>
          </w:tcPr>
          <w:p>
            <w:pPr>
              <w:spacing w:after="0"/>
            </w:pPr>
            <w:r/>
            <w:r>
              <w:rPr>
                <w:rFonts w:ascii="Aptos" w:hAnsi="Aptos"/>
                <w:b w:val="0"/>
                <w:color w:val="374151"/>
                <w:sz w:val="18"/>
              </w:rPr>
              <w:t>Volume</w:t>
            </w:r>
          </w:p>
        </w:tc>
        <w:tc>
          <w:tcPr>
            <w:tcW w:type="dxa" w:w="4997"/>
            <w:shd w:fill="F8FAFC"/>
            <w:vAlign w:val="center"/>
          </w:tcPr>
          <w:p>
            <w:pPr>
              <w:spacing w:after="0"/>
            </w:pPr>
            <w:r/>
            <w:r>
              <w:rPr>
                <w:rFonts w:ascii="Aptos" w:hAnsi="Aptos"/>
                <w:b w:val="0"/>
                <w:color w:val="374151"/>
                <w:sz w:val="18"/>
              </w:rPr>
              <w:t>2.3772</w:t>
            </w:r>
          </w:p>
        </w:tc>
      </w:tr>
      <w:tr>
        <w:tc>
          <w:tcPr>
            <w:tcW w:type="dxa" w:w="4997"/>
            <w:shd w:fill="FFFFFF"/>
            <w:vAlign w:val="center"/>
          </w:tcPr>
          <w:p>
            <w:pPr>
              <w:spacing w:after="0"/>
            </w:pPr>
            <w:r/>
            <w:r>
              <w:rPr>
                <w:rFonts w:ascii="Aptos" w:hAnsi="Aptos"/>
                <w:b w:val="0"/>
                <w:color w:val="374151"/>
                <w:sz w:val="18"/>
              </w:rPr>
              <w:t>Open</w:t>
            </w:r>
          </w:p>
        </w:tc>
        <w:tc>
          <w:tcPr>
            <w:tcW w:type="dxa" w:w="4997"/>
            <w:shd w:fill="FFFFFF"/>
            <w:vAlign w:val="center"/>
          </w:tcPr>
          <w:p>
            <w:pPr>
              <w:spacing w:after="0"/>
            </w:pPr>
            <w:r/>
            <w:r>
              <w:rPr>
                <w:rFonts w:ascii="Aptos" w:hAnsi="Aptos"/>
                <w:b w:val="0"/>
                <w:color w:val="374151"/>
                <w:sz w:val="18"/>
              </w:rPr>
              <w:t>1.9852</w:t>
            </w:r>
          </w:p>
        </w:tc>
      </w:tr>
      <w:tr>
        <w:tc>
          <w:tcPr>
            <w:tcW w:type="dxa" w:w="4997"/>
            <w:shd w:fill="F8FAFC"/>
            <w:vAlign w:val="center"/>
          </w:tcPr>
          <w:p>
            <w:pPr>
              <w:spacing w:after="0"/>
            </w:pPr>
            <w:r/>
            <w:r>
              <w:rPr>
                <w:rFonts w:ascii="Aptos" w:hAnsi="Aptos"/>
                <w:b w:val="0"/>
                <w:color w:val="374151"/>
                <w:sz w:val="18"/>
              </w:rPr>
              <w:t>High</w:t>
            </w:r>
          </w:p>
        </w:tc>
        <w:tc>
          <w:tcPr>
            <w:tcW w:type="dxa" w:w="4997"/>
            <w:shd w:fill="F8FAFC"/>
            <w:vAlign w:val="center"/>
          </w:tcPr>
          <w:p>
            <w:pPr>
              <w:spacing w:after="0"/>
            </w:pPr>
            <w:r/>
            <w:r>
              <w:rPr>
                <w:rFonts w:ascii="Aptos" w:hAnsi="Aptos"/>
                <w:b w:val="0"/>
                <w:color w:val="374151"/>
                <w:sz w:val="18"/>
              </w:rPr>
              <w:t>1.9847</w:t>
            </w:r>
          </w:p>
        </w:tc>
      </w:tr>
      <w:tr>
        <w:tc>
          <w:tcPr>
            <w:tcW w:type="dxa" w:w="4997"/>
            <w:shd w:fill="FFFFFF"/>
            <w:vAlign w:val="center"/>
          </w:tcPr>
          <w:p>
            <w:pPr>
              <w:spacing w:after="0"/>
            </w:pPr>
            <w:r/>
            <w:r>
              <w:rPr>
                <w:rFonts w:ascii="Aptos" w:hAnsi="Aptos"/>
                <w:b w:val="0"/>
                <w:color w:val="374151"/>
                <w:sz w:val="18"/>
              </w:rPr>
              <w:t>Low</w:t>
            </w:r>
          </w:p>
        </w:tc>
        <w:tc>
          <w:tcPr>
            <w:tcW w:type="dxa" w:w="4997"/>
            <w:shd w:fill="FFFFFF"/>
            <w:vAlign w:val="center"/>
          </w:tcPr>
          <w:p>
            <w:pPr>
              <w:spacing w:after="0"/>
            </w:pPr>
            <w:r/>
            <w:r>
              <w:rPr>
                <w:rFonts w:ascii="Aptos" w:hAnsi="Aptos"/>
                <w:b w:val="0"/>
                <w:color w:val="374151"/>
                <w:sz w:val="18"/>
              </w:rPr>
              <w:t>1.9826</w:t>
            </w:r>
          </w:p>
        </w:tc>
      </w:tr>
      <w:tr>
        <w:tc>
          <w:tcPr>
            <w:tcW w:type="dxa" w:w="4997"/>
            <w:shd w:fill="F8FAFC"/>
            <w:vAlign w:val="center"/>
          </w:tcPr>
          <w:p>
            <w:pPr>
              <w:spacing w:after="0"/>
            </w:pPr>
            <w:r/>
            <w:r>
              <w:rPr>
                <w:rFonts w:ascii="Aptos" w:hAnsi="Aptos"/>
                <w:b w:val="0"/>
                <w:color w:val="374151"/>
                <w:sz w:val="18"/>
              </w:rPr>
              <w:t>Close</w:t>
            </w:r>
          </w:p>
        </w:tc>
        <w:tc>
          <w:tcPr>
            <w:tcW w:type="dxa" w:w="4997"/>
            <w:shd w:fill="F8FAFC"/>
            <w:vAlign w:val="center"/>
          </w:tcPr>
          <w:p>
            <w:pPr>
              <w:spacing w:after="0"/>
            </w:pPr>
            <w:r/>
            <w:r>
              <w:rPr>
                <w:rFonts w:ascii="Aptos" w:hAnsi="Aptos"/>
                <w:b w:val="0"/>
                <w:color w:val="374151"/>
                <w:sz w:val="18"/>
              </w:rPr>
              <w:t>1.9823</w:t>
            </w:r>
          </w:p>
        </w:tc>
      </w:tr>
    </w:tbl>
    <w:p>
      <w:pPr>
        <w:spacing w:after="20"/>
      </w:pPr>
    </w:p>
    <w:p>
      <w:r>
        <w:t>All five distributions are positively skewed. Volume has the largest skewness in the notebook output, while the price variables have skewness close to 1.98. The closing-price histogram in the presentation shows a large concentration at lower historical prices with a long right tail extending into later high-price periods.</w:t>
      </w:r>
    </w:p>
    <w:p>
      <w:pPr>
        <w:jc w:val="center"/>
      </w:pPr>
      <w:r>
        <w:drawing>
          <wp:inline xmlns:a="http://schemas.openxmlformats.org/drawingml/2006/main" xmlns:pic="http://schemas.openxmlformats.org/drawingml/2006/picture">
            <wp:extent cx="5897880" cy="2519362"/>
            <wp:docPr id="1" name="Picture 1"/>
            <wp:cNvGraphicFramePr>
              <a:graphicFrameLocks noChangeAspect="1"/>
            </wp:cNvGraphicFramePr>
            <a:graphic>
              <a:graphicData uri="http://schemas.openxmlformats.org/drawingml/2006/picture">
                <pic:pic>
                  <pic:nvPicPr>
                    <pic:cNvPr id="0" name="slide_6_image_1.png"/>
                    <pic:cNvPicPr/>
                  </pic:nvPicPr>
                  <pic:blipFill>
                    <a:blip r:embed="rId11"/>
                    <a:stretch>
                      <a:fillRect/>
                    </a:stretch>
                  </pic:blipFill>
                  <pic:spPr>
                    <a:xfrm>
                      <a:off x="0" y="0"/>
                      <a:ext cx="5897880" cy="2519362"/>
                    </a:xfrm>
                    <a:prstGeom prst="rect"/>
                  </pic:spPr>
                </pic:pic>
              </a:graphicData>
            </a:graphic>
          </wp:inline>
        </w:drawing>
      </w:r>
    </w:p>
    <w:p>
      <w:pPr>
        <w:pStyle w:val="ReportCaption"/>
        <w:jc w:val="center"/>
      </w:pPr>
      <w:r>
        <w:t>Figure 1. Closing-price distribution from the project presentation.</w:t>
      </w:r>
    </w:p>
    <w:p>
      <w:pPr>
        <w:pStyle w:val="Heading2"/>
      </w:pPr>
      <w:r>
        <w:t>6.1 Outlier Interpretation</w:t>
      </w:r>
    </w:p>
    <w:p>
      <w:r>
        <w:t>The project treats unusual financial observations cautiously. A high or low price/volume observation may represent a genuine market event rather than a data error. Therefore, the analysis does not automatically remove statistical outliers before clustering.</w:t>
      </w:r>
    </w:p>
    <w:p>
      <w:r>
        <w:br w:type="page"/>
      </w:r>
    </w:p>
    <w:p>
      <w:pPr>
        <w:pStyle w:val="Heading1"/>
      </w:pPr>
      <w:r>
        <w:t>7. Time Trend Analysis</w:t>
      </w:r>
    </w:p>
    <w:p>
      <w:r>
        <w:t>The closing-price time series is used to understand long-term movement and identify visible shifts in historical market regimes. The project presentation shows a comparatively low-price period during the earlier years followed by much larger price levels and variability in the later part of the sample.</w:t>
      </w:r>
    </w:p>
    <w:p>
      <w:pPr>
        <w:jc w:val="center"/>
      </w:pPr>
      <w:r>
        <w:drawing>
          <wp:inline xmlns:a="http://schemas.openxmlformats.org/drawingml/2006/main" xmlns:pic="http://schemas.openxmlformats.org/drawingml/2006/picture">
            <wp:extent cx="5897880" cy="2236111"/>
            <wp:docPr id="2" name="Picture 2"/>
            <wp:cNvGraphicFramePr>
              <a:graphicFrameLocks noChangeAspect="1"/>
            </wp:cNvGraphicFramePr>
            <a:graphic>
              <a:graphicData uri="http://schemas.openxmlformats.org/drawingml/2006/picture">
                <pic:pic>
                  <pic:nvPicPr>
                    <pic:cNvPr id="0" name="slide_7_image_1.png"/>
                    <pic:cNvPicPr/>
                  </pic:nvPicPr>
                  <pic:blipFill>
                    <a:blip r:embed="rId12"/>
                    <a:stretch>
                      <a:fillRect/>
                    </a:stretch>
                  </pic:blipFill>
                  <pic:spPr>
                    <a:xfrm>
                      <a:off x="0" y="0"/>
                      <a:ext cx="5897880" cy="2236111"/>
                    </a:xfrm>
                    <a:prstGeom prst="rect"/>
                  </pic:spPr>
                </pic:pic>
              </a:graphicData>
            </a:graphic>
          </wp:inline>
        </w:drawing>
      </w:r>
    </w:p>
    <w:p>
      <w:pPr>
        <w:pStyle w:val="ReportCaption"/>
        <w:jc w:val="center"/>
      </w:pPr>
      <w:r>
        <w:t>Figure 2. Tesla closing price over time.</w:t>
      </w:r>
    </w:p>
    <w:p>
      <w:pPr>
        <w:pStyle w:val="Heading2"/>
      </w:pPr>
      <w:r>
        <w:t>7.1 Interpretation</w:t>
      </w:r>
    </w:p>
    <w:p>
      <w:pPr>
        <w:pStyle w:val="ListBullet"/>
        <w:spacing w:after="40"/>
        <w:ind w:left="259"/>
      </w:pPr>
      <w:r>
        <w:rPr>
          <w:rFonts w:ascii="Aptos" w:hAnsi="Aptos"/>
          <w:color w:val="374151"/>
          <w:sz w:val="20"/>
        </w:rPr>
        <w:t>The time series is highly non-stationary in its price level across the sample.</w:t>
      </w:r>
    </w:p>
    <w:p>
      <w:pPr>
        <w:pStyle w:val="ListBullet"/>
        <w:spacing w:after="40"/>
        <w:ind w:left="259"/>
      </w:pPr>
      <w:r>
        <w:rPr>
          <w:rFonts w:ascii="Aptos" w:hAnsi="Aptos"/>
          <w:color w:val="374151"/>
          <w:sz w:val="20"/>
        </w:rPr>
        <w:t>Later observations operate at substantially higher price levels than earlier observations.</w:t>
      </w:r>
    </w:p>
    <w:p>
      <w:pPr>
        <w:pStyle w:val="ListBullet"/>
        <w:spacing w:after="40"/>
        <w:ind w:left="259"/>
      </w:pPr>
      <w:r>
        <w:rPr>
          <w:rFonts w:ascii="Aptos" w:hAnsi="Aptos"/>
          <w:color w:val="374151"/>
          <w:sz w:val="20"/>
        </w:rPr>
        <w:t>Large movements become more visible in the later years, supporting the use of engineered movement and volatility features.</w:t>
      </w:r>
    </w:p>
    <w:p>
      <w:pPr>
        <w:pStyle w:val="ListBullet"/>
        <w:spacing w:after="40"/>
        <w:ind w:left="259"/>
      </w:pPr>
      <w:r>
        <w:rPr>
          <w:rFonts w:ascii="Aptos" w:hAnsi="Aptos"/>
          <w:color w:val="374151"/>
          <w:sz w:val="20"/>
        </w:rPr>
        <w:t>The changing price scale is one reason clustering on raw values alone would be difficult to interpret.</w:t>
      </w:r>
    </w:p>
    <w:p>
      <w:r>
        <w:br w:type="page"/>
      </w:r>
    </w:p>
    <w:p>
      <w:pPr>
        <w:pStyle w:val="Heading1"/>
      </w:pPr>
      <w:r>
        <w:t>8. Seasonal Decomposition</w:t>
      </w:r>
    </w:p>
    <w:p>
      <w:r>
        <w:t>The notebook applies additive seasonal decomposition to the Close series after setting Date as the index, converting to business-day frequency and interpolating missing business-day observations. A period of 252 business days is used as an approximate trading-year cycle.</w:t>
      </w:r>
    </w:p>
    <w:p>
      <w:pPr>
        <w:pStyle w:val="Heading2"/>
      </w:pPr>
      <w:r>
        <w:t>8.1 Components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Component</w:t>
            </w:r>
          </w:p>
        </w:tc>
        <w:tc>
          <w:tcPr>
            <w:tcW w:type="dxa" w:w="4997"/>
            <w:shd w:fill="15253D"/>
            <w:vAlign w:val="center"/>
          </w:tcPr>
          <w:p>
            <w:pPr>
              <w:spacing w:after="0"/>
            </w:pPr>
            <w:r/>
            <w:r>
              <w:rPr>
                <w:rFonts w:ascii="Aptos" w:hAnsi="Aptos"/>
                <w:b/>
                <w:color w:val="FFFFFF"/>
                <w:sz w:val="18"/>
              </w:rPr>
              <w:t>Meaning in this analysis</w:t>
            </w:r>
          </w:p>
        </w:tc>
      </w:tr>
      <w:tr>
        <w:tc>
          <w:tcPr>
            <w:tcW w:type="dxa" w:w="4997"/>
            <w:shd w:fill="F8FAFC"/>
            <w:vAlign w:val="center"/>
          </w:tcPr>
          <w:p>
            <w:pPr>
              <w:spacing w:after="0"/>
            </w:pPr>
            <w:r/>
            <w:r>
              <w:rPr>
                <w:rFonts w:ascii="Aptos" w:hAnsi="Aptos"/>
                <w:b w:val="0"/>
                <w:color w:val="374151"/>
                <w:sz w:val="18"/>
              </w:rPr>
              <w:t>Observed</w:t>
            </w:r>
          </w:p>
        </w:tc>
        <w:tc>
          <w:tcPr>
            <w:tcW w:type="dxa" w:w="4997"/>
            <w:shd w:fill="F8FAFC"/>
            <w:vAlign w:val="center"/>
          </w:tcPr>
          <w:p>
            <w:pPr>
              <w:spacing w:after="0"/>
            </w:pPr>
            <w:r/>
            <w:r>
              <w:rPr>
                <w:rFonts w:ascii="Aptos" w:hAnsi="Aptos"/>
                <w:b w:val="0"/>
                <w:color w:val="374151"/>
                <w:sz w:val="18"/>
              </w:rPr>
              <w:t>Actual Close series used as the input time series.</w:t>
            </w:r>
          </w:p>
        </w:tc>
      </w:tr>
      <w:tr>
        <w:tc>
          <w:tcPr>
            <w:tcW w:type="dxa" w:w="4997"/>
            <w:shd w:fill="FFFFFF"/>
            <w:vAlign w:val="center"/>
          </w:tcPr>
          <w:p>
            <w:pPr>
              <w:spacing w:after="0"/>
            </w:pPr>
            <w:r/>
            <w:r>
              <w:rPr>
                <w:rFonts w:ascii="Aptos" w:hAnsi="Aptos"/>
                <w:b w:val="0"/>
                <w:color w:val="374151"/>
                <w:sz w:val="18"/>
              </w:rPr>
              <w:t>Trend</w:t>
            </w:r>
          </w:p>
        </w:tc>
        <w:tc>
          <w:tcPr>
            <w:tcW w:type="dxa" w:w="4997"/>
            <w:shd w:fill="FFFFFF"/>
            <w:vAlign w:val="center"/>
          </w:tcPr>
          <w:p>
            <w:pPr>
              <w:spacing w:after="0"/>
            </w:pPr>
            <w:r/>
            <w:r>
              <w:rPr>
                <w:rFonts w:ascii="Aptos" w:hAnsi="Aptos"/>
                <w:b w:val="0"/>
                <w:color w:val="374151"/>
                <w:sz w:val="18"/>
              </w:rPr>
              <w:t>Long-term movement extracted by the decomposition model.</w:t>
            </w:r>
          </w:p>
        </w:tc>
      </w:tr>
      <w:tr>
        <w:tc>
          <w:tcPr>
            <w:tcW w:type="dxa" w:w="4997"/>
            <w:shd w:fill="F8FAFC"/>
            <w:vAlign w:val="center"/>
          </w:tcPr>
          <w:p>
            <w:pPr>
              <w:spacing w:after="0"/>
            </w:pPr>
            <w:r/>
            <w:r>
              <w:rPr>
                <w:rFonts w:ascii="Aptos" w:hAnsi="Aptos"/>
                <w:b w:val="0"/>
                <w:color w:val="374151"/>
                <w:sz w:val="18"/>
              </w:rPr>
              <w:t>Seasonal</w:t>
            </w:r>
          </w:p>
        </w:tc>
        <w:tc>
          <w:tcPr>
            <w:tcW w:type="dxa" w:w="4997"/>
            <w:shd w:fill="F8FAFC"/>
            <w:vAlign w:val="center"/>
          </w:tcPr>
          <w:p>
            <w:pPr>
              <w:spacing w:after="0"/>
            </w:pPr>
            <w:r/>
            <w:r>
              <w:rPr>
                <w:rFonts w:ascii="Aptos" w:hAnsi="Aptos"/>
                <w:b w:val="0"/>
                <w:color w:val="374151"/>
                <w:sz w:val="18"/>
              </w:rPr>
              <w:t>Repeating annual-cycle component under the 252-business-day assumption.</w:t>
            </w:r>
          </w:p>
        </w:tc>
      </w:tr>
      <w:tr>
        <w:tc>
          <w:tcPr>
            <w:tcW w:type="dxa" w:w="4997"/>
            <w:shd w:fill="FFFFFF"/>
            <w:vAlign w:val="center"/>
          </w:tcPr>
          <w:p>
            <w:pPr>
              <w:spacing w:after="0"/>
            </w:pPr>
            <w:r/>
            <w:r>
              <w:rPr>
                <w:rFonts w:ascii="Aptos" w:hAnsi="Aptos"/>
                <w:b w:val="0"/>
                <w:color w:val="374151"/>
                <w:sz w:val="18"/>
              </w:rPr>
              <w:t>Residual</w:t>
            </w:r>
          </w:p>
        </w:tc>
        <w:tc>
          <w:tcPr>
            <w:tcW w:type="dxa" w:w="4997"/>
            <w:shd w:fill="FFFFFF"/>
            <w:vAlign w:val="center"/>
          </w:tcPr>
          <w:p>
            <w:pPr>
              <w:spacing w:after="0"/>
            </w:pPr>
            <w:r/>
            <w:r>
              <w:rPr>
                <w:rFonts w:ascii="Aptos" w:hAnsi="Aptos"/>
                <w:b w:val="0"/>
                <w:color w:val="374151"/>
                <w:sz w:val="18"/>
              </w:rPr>
              <w:t>Remaining variation not explained by the trend and seasonal components.</w:t>
            </w:r>
          </w:p>
        </w:tc>
      </w:tr>
    </w:tbl>
    <w:p>
      <w:pPr>
        <w:spacing w:after="20"/>
      </w:pP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Interpretation caution</w:t>
              <w:br/>
            </w:r>
            <w:r>
              <w:rPr>
                <w:rFonts w:ascii="Aptos" w:hAnsi="Aptos"/>
                <w:color w:val="374151"/>
                <w:sz w:val="19"/>
              </w:rPr>
              <w:t>The seasonal component is exploratory. A decomposition can expose repeating structure under its model assumptions, but it does not establish that a stable trading-seasonality effect will persist in future periods.</w:t>
            </w:r>
          </w:p>
        </w:tc>
      </w:tr>
    </w:tbl>
    <w:p>
      <w:pPr>
        <w:spacing w:after="20"/>
      </w:pPr>
    </w:p>
    <w:p>
      <w:r>
        <w:br w:type="page"/>
      </w:r>
    </w:p>
    <w:p>
      <w:pPr>
        <w:pStyle w:val="Heading1"/>
      </w:pPr>
      <w:r>
        <w:t>9. Rolling Statistics &amp; Volatility</w:t>
      </w:r>
    </w:p>
    <w:p>
      <w:r>
        <w:t>The project uses a 30-day rolling mean and 30-day rolling standard deviation. The rolling mean smooths short-term noise in Close, while the rolling standard deviation captures recent dispersion.</w:t>
      </w:r>
    </w:p>
    <w:p>
      <w:pPr>
        <w:jc w:val="center"/>
      </w:pPr>
      <w:r>
        <w:drawing>
          <wp:inline xmlns:a="http://schemas.openxmlformats.org/drawingml/2006/main" xmlns:pic="http://schemas.openxmlformats.org/drawingml/2006/picture">
            <wp:extent cx="5897880" cy="2238396"/>
            <wp:docPr id="3" name="Picture 3"/>
            <wp:cNvGraphicFramePr>
              <a:graphicFrameLocks noChangeAspect="1"/>
            </wp:cNvGraphicFramePr>
            <a:graphic>
              <a:graphicData uri="http://schemas.openxmlformats.org/drawingml/2006/picture">
                <pic:pic>
                  <pic:nvPicPr>
                    <pic:cNvPr id="0" name="slide_9_image_1.png"/>
                    <pic:cNvPicPr/>
                  </pic:nvPicPr>
                  <pic:blipFill>
                    <a:blip r:embed="rId13"/>
                    <a:stretch>
                      <a:fillRect/>
                    </a:stretch>
                  </pic:blipFill>
                  <pic:spPr>
                    <a:xfrm>
                      <a:off x="0" y="0"/>
                      <a:ext cx="5897880" cy="2238396"/>
                    </a:xfrm>
                    <a:prstGeom prst="rect"/>
                  </pic:spPr>
                </pic:pic>
              </a:graphicData>
            </a:graphic>
          </wp:inline>
        </w:drawing>
      </w:r>
    </w:p>
    <w:p>
      <w:pPr>
        <w:pStyle w:val="ReportCaption"/>
        <w:jc w:val="center"/>
      </w:pPr>
      <w:r>
        <w:t>Figure 3. Tesla Close price compared with the 30-day rolling mean.</w:t>
      </w:r>
    </w:p>
    <w:p>
      <w:pPr>
        <w:pStyle w:val="Heading2"/>
      </w:pPr>
      <w:r>
        <w:t>9.1 Practical Interpretation</w:t>
      </w:r>
    </w:p>
    <w:p>
      <w:pPr>
        <w:pStyle w:val="ListBullet"/>
        <w:spacing w:after="40"/>
        <w:ind w:left="259"/>
      </w:pPr>
      <w:r>
        <w:rPr>
          <w:rFonts w:ascii="Aptos" w:hAnsi="Aptos"/>
          <w:color w:val="374151"/>
          <w:sz w:val="20"/>
        </w:rPr>
        <w:t>When the rolling mean follows Close closely, short-term price movement is relatively contained around the local trend.</w:t>
      </w:r>
    </w:p>
    <w:p>
      <w:pPr>
        <w:pStyle w:val="ListBullet"/>
        <w:spacing w:after="40"/>
        <w:ind w:left="259"/>
      </w:pPr>
      <w:r>
        <w:rPr>
          <w:rFonts w:ascii="Aptos" w:hAnsi="Aptos"/>
          <w:color w:val="374151"/>
          <w:sz w:val="20"/>
        </w:rPr>
        <w:t>Wider gaps between Close and the rolling mean indicate stronger short-term movement relative to the recent baseline.</w:t>
      </w:r>
    </w:p>
    <w:p>
      <w:pPr>
        <w:pStyle w:val="ListBullet"/>
        <w:spacing w:after="40"/>
        <w:ind w:left="259"/>
      </w:pPr>
      <w:r>
        <w:rPr>
          <w:rFonts w:ascii="Aptos" w:hAnsi="Aptos"/>
          <w:color w:val="374151"/>
          <w:sz w:val="20"/>
        </w:rPr>
        <w:t>A rising rolling standard deviation indicates greater recent variability and therefore a more volatile local regime.</w:t>
      </w:r>
    </w:p>
    <w:p>
      <w:pPr>
        <w:pStyle w:val="ListBullet"/>
        <w:spacing w:after="40"/>
        <w:ind w:left="259"/>
      </w:pPr>
      <w:r>
        <w:rPr>
          <w:rFonts w:ascii="Aptos" w:hAnsi="Aptos"/>
          <w:color w:val="374151"/>
          <w:sz w:val="20"/>
        </w:rPr>
        <w:t>These rolling features complement the clustering variables by adding context about recent market behavior.</w:t>
      </w:r>
    </w:p>
    <w:p>
      <w:r>
        <w:br w:type="page"/>
      </w:r>
    </w:p>
    <w:p>
      <w:pPr>
        <w:pStyle w:val="Heading1"/>
      </w:pPr>
      <w:r>
        <w:t>10. Feature Scaling</w:t>
      </w:r>
    </w:p>
    <w:p>
      <w:r>
        <w:t>Six variables were selected for clustering: Close, Price Change, Price Range, Pct Change, Volatility and Volume. The notebook applies StandardScaler before K-Means, GMM and DBSCAN.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5253D"/>
            <w:vAlign w:val="center"/>
          </w:tcPr>
          <w:p>
            <w:pPr>
              <w:spacing w:after="0"/>
            </w:pPr>
            <w:r/>
            <w:r>
              <w:rPr>
                <w:rFonts w:ascii="Aptos" w:hAnsi="Aptos"/>
                <w:b/>
                <w:color w:val="FFFFFF"/>
                <w:sz w:val="18"/>
              </w:rPr>
              <w:t>Step</w:t>
            </w:r>
          </w:p>
        </w:tc>
        <w:tc>
          <w:tcPr>
            <w:tcW w:type="dxa" w:w="3331"/>
            <w:shd w:fill="15253D"/>
            <w:vAlign w:val="center"/>
          </w:tcPr>
          <w:p>
            <w:pPr>
              <w:spacing w:after="0"/>
            </w:pPr>
            <w:r/>
            <w:r>
              <w:rPr>
                <w:rFonts w:ascii="Aptos" w:hAnsi="Aptos"/>
                <w:b/>
                <w:color w:val="FFFFFF"/>
                <w:sz w:val="18"/>
              </w:rPr>
              <w:t>Implementation</w:t>
            </w:r>
          </w:p>
        </w:tc>
        <w:tc>
          <w:tcPr>
            <w:tcW w:type="dxa" w:w="3331"/>
            <w:shd w:fill="15253D"/>
            <w:vAlign w:val="center"/>
          </w:tcPr>
          <w:p>
            <w:pPr>
              <w:spacing w:after="0"/>
            </w:pPr>
            <w:r/>
            <w:r>
              <w:rPr>
                <w:rFonts w:ascii="Aptos" w:hAnsi="Aptos"/>
                <w:b/>
                <w:color w:val="FFFFFF"/>
                <w:sz w:val="18"/>
              </w:rPr>
              <w:t>Reason</w:t>
            </w:r>
          </w:p>
        </w:tc>
      </w:tr>
      <w:tr>
        <w:tc>
          <w:tcPr>
            <w:tcW w:type="dxa" w:w="3331"/>
            <w:shd w:fill="F8FAFC"/>
            <w:vAlign w:val="center"/>
          </w:tcPr>
          <w:p>
            <w:pPr>
              <w:spacing w:after="0"/>
            </w:pPr>
            <w:r/>
            <w:r>
              <w:rPr>
                <w:rFonts w:ascii="Aptos" w:hAnsi="Aptos"/>
                <w:b w:val="0"/>
                <w:color w:val="374151"/>
                <w:sz w:val="18"/>
              </w:rPr>
              <w:t>Feature selection</w:t>
            </w:r>
          </w:p>
        </w:tc>
        <w:tc>
          <w:tcPr>
            <w:tcW w:type="dxa" w:w="3331"/>
            <w:shd w:fill="F8FAFC"/>
            <w:vAlign w:val="center"/>
          </w:tcPr>
          <w:p>
            <w:pPr>
              <w:spacing w:after="0"/>
            </w:pPr>
            <w:r/>
            <w:r>
              <w:rPr>
                <w:rFonts w:ascii="Aptos" w:hAnsi="Aptos"/>
                <w:b w:val="0"/>
                <w:color w:val="374151"/>
                <w:sz w:val="18"/>
              </w:rPr>
              <w:t>6 engineered/raw clustering fields</w:t>
            </w:r>
          </w:p>
        </w:tc>
        <w:tc>
          <w:tcPr>
            <w:tcW w:type="dxa" w:w="3331"/>
            <w:shd w:fill="F8FAFC"/>
            <w:vAlign w:val="center"/>
          </w:tcPr>
          <w:p>
            <w:pPr>
              <w:spacing w:after="0"/>
            </w:pPr>
            <w:r/>
            <w:r>
              <w:rPr>
                <w:rFonts w:ascii="Aptos" w:hAnsi="Aptos"/>
                <w:b w:val="0"/>
                <w:color w:val="374151"/>
                <w:sz w:val="18"/>
              </w:rPr>
              <w:t>Capture level, movement, range, volatility and activity.</w:t>
            </w:r>
          </w:p>
        </w:tc>
      </w:tr>
      <w:tr>
        <w:tc>
          <w:tcPr>
            <w:tcW w:type="dxa" w:w="3331"/>
            <w:shd w:fill="FFFFFF"/>
            <w:vAlign w:val="center"/>
          </w:tcPr>
          <w:p>
            <w:pPr>
              <w:spacing w:after="0"/>
            </w:pPr>
            <w:r/>
            <w:r>
              <w:rPr>
                <w:rFonts w:ascii="Aptos" w:hAnsi="Aptos"/>
                <w:b w:val="0"/>
                <w:color w:val="374151"/>
                <w:sz w:val="18"/>
              </w:rPr>
              <w:t>Scaling</w:t>
            </w:r>
          </w:p>
        </w:tc>
        <w:tc>
          <w:tcPr>
            <w:tcW w:type="dxa" w:w="3331"/>
            <w:shd w:fill="FFFFFF"/>
            <w:vAlign w:val="center"/>
          </w:tcPr>
          <w:p>
            <w:pPr>
              <w:spacing w:after="0"/>
            </w:pPr>
            <w:r/>
            <w:r>
              <w:rPr>
                <w:rFonts w:ascii="Aptos" w:hAnsi="Aptos"/>
                <w:b w:val="0"/>
                <w:color w:val="374151"/>
                <w:sz w:val="18"/>
              </w:rPr>
              <w:t>StandardScaler</w:t>
            </w:r>
          </w:p>
        </w:tc>
        <w:tc>
          <w:tcPr>
            <w:tcW w:type="dxa" w:w="3331"/>
            <w:shd w:fill="FFFFFF"/>
            <w:vAlign w:val="center"/>
          </w:tcPr>
          <w:p>
            <w:pPr>
              <w:spacing w:after="0"/>
            </w:pPr>
            <w:r/>
            <w:r>
              <w:rPr>
                <w:rFonts w:ascii="Aptos" w:hAnsi="Aptos"/>
                <w:b w:val="0"/>
                <w:color w:val="374151"/>
                <w:sz w:val="18"/>
              </w:rPr>
              <w:t>Put variables on comparable standardized scales.</w:t>
            </w:r>
          </w:p>
        </w:tc>
      </w:tr>
      <w:tr>
        <w:tc>
          <w:tcPr>
            <w:tcW w:type="dxa" w:w="3331"/>
            <w:shd w:fill="F8FAFC"/>
            <w:vAlign w:val="center"/>
          </w:tcPr>
          <w:p>
            <w:pPr>
              <w:spacing w:after="0"/>
            </w:pPr>
            <w:r/>
            <w:r>
              <w:rPr>
                <w:rFonts w:ascii="Aptos" w:hAnsi="Aptos"/>
                <w:b w:val="0"/>
                <w:color w:val="374151"/>
                <w:sz w:val="18"/>
              </w:rPr>
              <w:t>Result</w:t>
            </w:r>
          </w:p>
        </w:tc>
        <w:tc>
          <w:tcPr>
            <w:tcW w:type="dxa" w:w="3331"/>
            <w:shd w:fill="F8FAFC"/>
            <w:vAlign w:val="center"/>
          </w:tcPr>
          <w:p>
            <w:pPr>
              <w:spacing w:after="0"/>
            </w:pPr>
            <w:r/>
            <w:r>
              <w:rPr>
                <w:rFonts w:ascii="Aptos" w:hAnsi="Aptos"/>
                <w:b w:val="0"/>
                <w:color w:val="374151"/>
                <w:sz w:val="18"/>
              </w:rPr>
              <w:t>Approximately mean 0 and standard deviation 1</w:t>
            </w:r>
          </w:p>
        </w:tc>
        <w:tc>
          <w:tcPr>
            <w:tcW w:type="dxa" w:w="3331"/>
            <w:shd w:fill="F8FAFC"/>
            <w:vAlign w:val="center"/>
          </w:tcPr>
          <w:p>
            <w:pPr>
              <w:spacing w:after="0"/>
            </w:pPr>
            <w:r/>
            <w:r>
              <w:rPr>
                <w:rFonts w:ascii="Aptos" w:hAnsi="Aptos"/>
                <w:b w:val="0"/>
                <w:color w:val="374151"/>
                <w:sz w:val="18"/>
              </w:rPr>
              <w:t>Reduce dominance from large-magnitude variables.</w:t>
            </w:r>
          </w:p>
        </w:tc>
      </w:tr>
    </w:tbl>
    <w:p>
      <w:pPr>
        <w:spacing w:after="20"/>
      </w:pPr>
    </w:p>
    <w:p>
      <w:r>
        <w:t>Conceptually, StandardScaler transforms a feature using z = (x − μ) / σ. This is particularly important because Close and Volume have much larger numerical magnitudes than percentage changes or daily ranges.</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Why scaling affects clustering</w:t>
              <w:br/>
            </w:r>
            <w:r>
              <w:rPr>
                <w:rFonts w:ascii="Aptos" w:hAnsi="Aptos"/>
                <w:color w:val="374151"/>
                <w:sz w:val="19"/>
              </w:rPr>
              <w:t>K-Means and DBSCAN rely on distances/density in feature space, while GMM estimates distributions in that space. Without scaling, high-magnitude variables could disproportionately influence the segmentation.</w:t>
            </w:r>
          </w:p>
        </w:tc>
      </w:tr>
    </w:tbl>
    <w:p>
      <w:pPr>
        <w:spacing w:after="20"/>
      </w:pPr>
    </w:p>
    <w:p>
      <w:r>
        <w:br w:type="page"/>
      </w:r>
    </w:p>
    <w:p>
      <w:pPr>
        <w:pStyle w:val="Heading1"/>
      </w:pPr>
      <w:r>
        <w:t>11. K-Means Clustering</w:t>
      </w:r>
    </w:p>
    <w:p>
      <w:r>
        <w:t>K-Means partitions observations into K groups by assigning each observation to the nearest centroid and iteratively updating the centroids. The notebook tests K values from 2 through 8.</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K</w:t>
            </w:r>
          </w:p>
        </w:tc>
        <w:tc>
          <w:tcPr>
            <w:tcW w:type="dxa" w:w="4997"/>
            <w:shd w:fill="15253D"/>
            <w:vAlign w:val="center"/>
          </w:tcPr>
          <w:p>
            <w:pPr>
              <w:spacing w:after="0"/>
            </w:pPr>
            <w:r/>
            <w:r>
              <w:rPr>
                <w:rFonts w:ascii="Aptos" w:hAnsi="Aptos"/>
                <w:b/>
                <w:color w:val="FFFFFF"/>
                <w:sz w:val="18"/>
              </w:rPr>
              <w:t>Silhouette Score</w:t>
            </w:r>
          </w:p>
        </w:tc>
      </w:tr>
      <w:tr>
        <w:tc>
          <w:tcPr>
            <w:tcW w:type="dxa" w:w="4997"/>
            <w:shd w:fill="F8FAFC"/>
            <w:vAlign w:val="center"/>
          </w:tcPr>
          <w:p>
            <w:pPr>
              <w:spacing w:after="0"/>
            </w:pPr>
            <w:r/>
            <w:r>
              <w:rPr>
                <w:rFonts w:ascii="Aptos" w:hAnsi="Aptos"/>
                <w:b w:val="0"/>
                <w:color w:val="374151"/>
                <w:sz w:val="18"/>
              </w:rPr>
              <w:t>2</w:t>
            </w:r>
          </w:p>
        </w:tc>
        <w:tc>
          <w:tcPr>
            <w:tcW w:type="dxa" w:w="4997"/>
            <w:shd w:fill="F8FAFC"/>
            <w:vAlign w:val="center"/>
          </w:tcPr>
          <w:p>
            <w:pPr>
              <w:spacing w:after="0"/>
            </w:pPr>
            <w:r/>
            <w:r>
              <w:rPr>
                <w:rFonts w:ascii="Aptos" w:hAnsi="Aptos"/>
                <w:b w:val="0"/>
                <w:color w:val="374151"/>
                <w:sz w:val="18"/>
              </w:rPr>
              <w:t>0.501</w:t>
            </w:r>
          </w:p>
        </w:tc>
      </w:tr>
      <w:tr>
        <w:tc>
          <w:tcPr>
            <w:tcW w:type="dxa" w:w="4997"/>
            <w:shd w:fill="FFFFFF"/>
            <w:vAlign w:val="center"/>
          </w:tcPr>
          <w:p>
            <w:pPr>
              <w:spacing w:after="0"/>
            </w:pPr>
            <w:r/>
            <w:r>
              <w:rPr>
                <w:rFonts w:ascii="Aptos" w:hAnsi="Aptos"/>
                <w:b w:val="0"/>
                <w:color w:val="374151"/>
                <w:sz w:val="18"/>
              </w:rPr>
              <w:t>3</w:t>
            </w:r>
          </w:p>
        </w:tc>
        <w:tc>
          <w:tcPr>
            <w:tcW w:type="dxa" w:w="4997"/>
            <w:shd w:fill="FFFFFF"/>
            <w:vAlign w:val="center"/>
          </w:tcPr>
          <w:p>
            <w:pPr>
              <w:spacing w:after="0"/>
            </w:pPr>
            <w:r/>
            <w:r>
              <w:rPr>
                <w:rFonts w:ascii="Aptos" w:hAnsi="Aptos"/>
                <w:b w:val="0"/>
                <w:color w:val="374151"/>
                <w:sz w:val="18"/>
              </w:rPr>
              <w:t>0.470</w:t>
            </w:r>
          </w:p>
        </w:tc>
      </w:tr>
      <w:tr>
        <w:tc>
          <w:tcPr>
            <w:tcW w:type="dxa" w:w="4997"/>
            <w:shd w:fill="F8FAFC"/>
            <w:vAlign w:val="center"/>
          </w:tcPr>
          <w:p>
            <w:pPr>
              <w:spacing w:after="0"/>
            </w:pPr>
            <w:r/>
            <w:r>
              <w:rPr>
                <w:rFonts w:ascii="Aptos" w:hAnsi="Aptos"/>
                <w:b w:val="0"/>
                <w:color w:val="374151"/>
                <w:sz w:val="18"/>
              </w:rPr>
              <w:t>4</w:t>
            </w:r>
          </w:p>
        </w:tc>
        <w:tc>
          <w:tcPr>
            <w:tcW w:type="dxa" w:w="4997"/>
            <w:shd w:fill="F8FAFC"/>
            <w:vAlign w:val="center"/>
          </w:tcPr>
          <w:p>
            <w:pPr>
              <w:spacing w:after="0"/>
            </w:pPr>
            <w:r/>
            <w:r>
              <w:rPr>
                <w:rFonts w:ascii="Aptos" w:hAnsi="Aptos"/>
                <w:b w:val="0"/>
                <w:color w:val="374151"/>
                <w:sz w:val="18"/>
              </w:rPr>
              <w:t>0.481</w:t>
            </w:r>
          </w:p>
        </w:tc>
      </w:tr>
      <w:tr>
        <w:tc>
          <w:tcPr>
            <w:tcW w:type="dxa" w:w="4997"/>
            <w:shd w:fill="FFFFFF"/>
            <w:vAlign w:val="center"/>
          </w:tcPr>
          <w:p>
            <w:pPr>
              <w:spacing w:after="0"/>
            </w:pPr>
            <w:r/>
            <w:r>
              <w:rPr>
                <w:rFonts w:ascii="Aptos" w:hAnsi="Aptos"/>
                <w:b w:val="0"/>
                <w:color w:val="374151"/>
                <w:sz w:val="18"/>
              </w:rPr>
              <w:t>5</w:t>
            </w:r>
          </w:p>
        </w:tc>
        <w:tc>
          <w:tcPr>
            <w:tcW w:type="dxa" w:w="4997"/>
            <w:shd w:fill="FFFFFF"/>
            <w:vAlign w:val="center"/>
          </w:tcPr>
          <w:p>
            <w:pPr>
              <w:spacing w:after="0"/>
            </w:pPr>
            <w:r/>
            <w:r>
              <w:rPr>
                <w:rFonts w:ascii="Aptos" w:hAnsi="Aptos"/>
                <w:b w:val="0"/>
                <w:color w:val="374151"/>
                <w:sz w:val="18"/>
              </w:rPr>
              <w:t>0.467</w:t>
            </w:r>
          </w:p>
        </w:tc>
      </w:tr>
      <w:tr>
        <w:tc>
          <w:tcPr>
            <w:tcW w:type="dxa" w:w="4997"/>
            <w:shd w:fill="F8FAFC"/>
            <w:vAlign w:val="center"/>
          </w:tcPr>
          <w:p>
            <w:pPr>
              <w:spacing w:after="0"/>
            </w:pPr>
            <w:r/>
            <w:r>
              <w:rPr>
                <w:rFonts w:ascii="Aptos" w:hAnsi="Aptos"/>
                <w:b w:val="0"/>
                <w:color w:val="374151"/>
                <w:sz w:val="18"/>
              </w:rPr>
              <w:t>6</w:t>
            </w:r>
          </w:p>
        </w:tc>
        <w:tc>
          <w:tcPr>
            <w:tcW w:type="dxa" w:w="4997"/>
            <w:shd w:fill="F8FAFC"/>
            <w:vAlign w:val="center"/>
          </w:tcPr>
          <w:p>
            <w:pPr>
              <w:spacing w:after="0"/>
            </w:pPr>
            <w:r/>
            <w:r>
              <w:rPr>
                <w:rFonts w:ascii="Aptos" w:hAnsi="Aptos"/>
                <w:b w:val="0"/>
                <w:color w:val="374151"/>
                <w:sz w:val="18"/>
              </w:rPr>
              <w:t>0.429</w:t>
            </w:r>
          </w:p>
        </w:tc>
      </w:tr>
      <w:tr>
        <w:tc>
          <w:tcPr>
            <w:tcW w:type="dxa" w:w="4997"/>
            <w:shd w:fill="FFFFFF"/>
            <w:vAlign w:val="center"/>
          </w:tcPr>
          <w:p>
            <w:pPr>
              <w:spacing w:after="0"/>
            </w:pPr>
            <w:r/>
            <w:r>
              <w:rPr>
                <w:rFonts w:ascii="Aptos" w:hAnsi="Aptos"/>
                <w:b w:val="0"/>
                <w:color w:val="374151"/>
                <w:sz w:val="18"/>
              </w:rPr>
              <w:t>7</w:t>
            </w:r>
          </w:p>
        </w:tc>
        <w:tc>
          <w:tcPr>
            <w:tcW w:type="dxa" w:w="4997"/>
            <w:shd w:fill="FFFFFF"/>
            <w:vAlign w:val="center"/>
          </w:tcPr>
          <w:p>
            <w:pPr>
              <w:spacing w:after="0"/>
            </w:pPr>
            <w:r/>
            <w:r>
              <w:rPr>
                <w:rFonts w:ascii="Aptos" w:hAnsi="Aptos"/>
                <w:b w:val="0"/>
                <w:color w:val="374151"/>
                <w:sz w:val="18"/>
              </w:rPr>
              <w:t>0.255</w:t>
            </w:r>
          </w:p>
        </w:tc>
      </w:tr>
      <w:tr>
        <w:tc>
          <w:tcPr>
            <w:tcW w:type="dxa" w:w="4997"/>
            <w:shd w:fill="F8FAFC"/>
            <w:vAlign w:val="center"/>
          </w:tcPr>
          <w:p>
            <w:pPr>
              <w:spacing w:after="0"/>
            </w:pPr>
            <w:r/>
            <w:r>
              <w:rPr>
                <w:rFonts w:ascii="Aptos" w:hAnsi="Aptos"/>
                <w:b w:val="0"/>
                <w:color w:val="374151"/>
                <w:sz w:val="18"/>
              </w:rPr>
              <w:t>8</w:t>
            </w:r>
          </w:p>
        </w:tc>
        <w:tc>
          <w:tcPr>
            <w:tcW w:type="dxa" w:w="4997"/>
            <w:shd w:fill="F8FAFC"/>
            <w:vAlign w:val="center"/>
          </w:tcPr>
          <w:p>
            <w:pPr>
              <w:spacing w:after="0"/>
            </w:pPr>
            <w:r/>
            <w:r>
              <w:rPr>
                <w:rFonts w:ascii="Aptos" w:hAnsi="Aptos"/>
                <w:b w:val="0"/>
                <w:color w:val="374151"/>
                <w:sz w:val="18"/>
              </w:rPr>
              <w:t>0.268</w:t>
            </w:r>
          </w:p>
        </w:tc>
      </w:tr>
    </w:tbl>
    <w:p>
      <w:pPr>
        <w:spacing w:after="20"/>
      </w:pPr>
    </w:p>
    <w:p>
      <w:pPr>
        <w:jc w:val="center"/>
      </w:pPr>
      <w:r>
        <w:drawing>
          <wp:inline xmlns:a="http://schemas.openxmlformats.org/drawingml/2006/main" xmlns:pic="http://schemas.openxmlformats.org/drawingml/2006/picture">
            <wp:extent cx="5897880" cy="2519362"/>
            <wp:docPr id="4" name="Picture 4"/>
            <wp:cNvGraphicFramePr>
              <a:graphicFrameLocks noChangeAspect="1"/>
            </wp:cNvGraphicFramePr>
            <a:graphic>
              <a:graphicData uri="http://schemas.openxmlformats.org/drawingml/2006/picture">
                <pic:pic>
                  <pic:nvPicPr>
                    <pic:cNvPr id="0" name="slide_11_image_1.png"/>
                    <pic:cNvPicPr/>
                  </pic:nvPicPr>
                  <pic:blipFill>
                    <a:blip r:embed="rId14"/>
                    <a:stretch>
                      <a:fillRect/>
                    </a:stretch>
                  </pic:blipFill>
                  <pic:spPr>
                    <a:xfrm>
                      <a:off x="0" y="0"/>
                      <a:ext cx="5897880" cy="2519362"/>
                    </a:xfrm>
                    <a:prstGeom prst="rect"/>
                  </pic:spPr>
                </pic:pic>
              </a:graphicData>
            </a:graphic>
          </wp:inline>
        </w:drawing>
      </w:r>
    </w:p>
    <w:p>
      <w:pPr>
        <w:pStyle w:val="ReportCaption"/>
        <w:jc w:val="center"/>
      </w:pPr>
      <w:r>
        <w:t>Figure 4. Silhouette Score across tested K values.</w:t>
      </w:r>
    </w:p>
    <w:p>
      <w:r>
        <w:t>The highest tested score is 0.501 at K=2, so K=2 is selected for the K-Means segmentation.</w:t>
      </w:r>
    </w:p>
    <w:p>
      <w:pPr>
        <w:jc w:val="center"/>
      </w:pPr>
      <w:r>
        <w:drawing>
          <wp:inline xmlns:a="http://schemas.openxmlformats.org/drawingml/2006/main" xmlns:pic="http://schemas.openxmlformats.org/drawingml/2006/picture">
            <wp:extent cx="5897880" cy="2236111"/>
            <wp:docPr id="5" name="Picture 5"/>
            <wp:cNvGraphicFramePr>
              <a:graphicFrameLocks noChangeAspect="1"/>
            </wp:cNvGraphicFramePr>
            <a:graphic>
              <a:graphicData uri="http://schemas.openxmlformats.org/drawingml/2006/picture">
                <pic:pic>
                  <pic:nvPicPr>
                    <pic:cNvPr id="0" name="slide_12_image_1.png"/>
                    <pic:cNvPicPr/>
                  </pic:nvPicPr>
                  <pic:blipFill>
                    <a:blip r:embed="rId15"/>
                    <a:stretch>
                      <a:fillRect/>
                    </a:stretch>
                  </pic:blipFill>
                  <pic:spPr>
                    <a:xfrm>
                      <a:off x="0" y="0"/>
                      <a:ext cx="5897880" cy="2236111"/>
                    </a:xfrm>
                    <a:prstGeom prst="rect"/>
                  </pic:spPr>
                </pic:pic>
              </a:graphicData>
            </a:graphic>
          </wp:inline>
        </w:drawing>
      </w:r>
    </w:p>
    <w:p>
      <w:pPr>
        <w:pStyle w:val="ReportCaption"/>
        <w:jc w:val="center"/>
      </w:pPr>
      <w:r>
        <w:t>Figure 5. K-Means clusters mapped back to the Tesla closing-price timeline.</w:t>
      </w:r>
    </w:p>
    <w:p>
      <w:pPr>
        <w:pStyle w:val="Heading2"/>
      </w:pPr>
      <w:r>
        <w:t>11.1 Cluster Profile</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shd w:fill="15253D"/>
            <w:vAlign w:val="center"/>
          </w:tcPr>
          <w:p>
            <w:pPr>
              <w:spacing w:after="0"/>
            </w:pPr>
            <w:r/>
            <w:r>
              <w:rPr>
                <w:rFonts w:ascii="Aptos" w:hAnsi="Aptos"/>
                <w:b/>
                <w:color w:val="FFFFFF"/>
                <w:sz w:val="15"/>
              </w:rPr>
              <w:t>Cluster</w:t>
            </w:r>
          </w:p>
        </w:tc>
        <w:tc>
          <w:tcPr>
            <w:tcW w:type="dxa" w:w="1110"/>
            <w:shd w:fill="15253D"/>
            <w:vAlign w:val="center"/>
          </w:tcPr>
          <w:p>
            <w:pPr>
              <w:spacing w:after="0"/>
            </w:pPr>
            <w:r/>
            <w:r>
              <w:rPr>
                <w:rFonts w:ascii="Aptos" w:hAnsi="Aptos"/>
                <w:b/>
                <w:color w:val="FFFFFF"/>
                <w:sz w:val="15"/>
              </w:rPr>
              <w:t>Records</w:t>
            </w:r>
          </w:p>
        </w:tc>
        <w:tc>
          <w:tcPr>
            <w:tcW w:type="dxa" w:w="1110"/>
            <w:shd w:fill="15253D"/>
            <w:vAlign w:val="center"/>
          </w:tcPr>
          <w:p>
            <w:pPr>
              <w:spacing w:after="0"/>
            </w:pPr>
            <w:r/>
            <w:r>
              <w:rPr>
                <w:rFonts w:ascii="Aptos" w:hAnsi="Aptos"/>
                <w:b/>
                <w:color w:val="FFFFFF"/>
                <w:sz w:val="15"/>
              </w:rPr>
              <w:t>Avg Close</w:t>
            </w:r>
          </w:p>
        </w:tc>
        <w:tc>
          <w:tcPr>
            <w:tcW w:type="dxa" w:w="1110"/>
            <w:shd w:fill="15253D"/>
            <w:vAlign w:val="center"/>
          </w:tcPr>
          <w:p>
            <w:pPr>
              <w:spacing w:after="0"/>
            </w:pPr>
            <w:r/>
            <w:r>
              <w:rPr>
                <w:rFonts w:ascii="Aptos" w:hAnsi="Aptos"/>
                <w:b/>
                <w:color w:val="FFFFFF"/>
                <w:sz w:val="15"/>
              </w:rPr>
              <w:t>Median Close</w:t>
            </w:r>
          </w:p>
        </w:tc>
        <w:tc>
          <w:tcPr>
            <w:tcW w:type="dxa" w:w="1110"/>
            <w:shd w:fill="15253D"/>
            <w:vAlign w:val="center"/>
          </w:tcPr>
          <w:p>
            <w:pPr>
              <w:spacing w:after="0"/>
            </w:pPr>
            <w:r/>
            <w:r>
              <w:rPr>
                <w:rFonts w:ascii="Aptos" w:hAnsi="Aptos"/>
                <w:b/>
                <w:color w:val="FFFFFF"/>
                <w:sz w:val="15"/>
              </w:rPr>
              <w:t>Avg Price Change</w:t>
            </w:r>
          </w:p>
        </w:tc>
        <w:tc>
          <w:tcPr>
            <w:tcW w:type="dxa" w:w="1110"/>
            <w:shd w:fill="15253D"/>
            <w:vAlign w:val="center"/>
          </w:tcPr>
          <w:p>
            <w:pPr>
              <w:spacing w:after="0"/>
            </w:pPr>
            <w:r/>
            <w:r>
              <w:rPr>
                <w:rFonts w:ascii="Aptos" w:hAnsi="Aptos"/>
                <w:b/>
                <w:color w:val="FFFFFF"/>
                <w:sz w:val="15"/>
              </w:rPr>
              <w:t>Avg Price Range</w:t>
            </w:r>
          </w:p>
        </w:tc>
        <w:tc>
          <w:tcPr>
            <w:tcW w:type="dxa" w:w="1110"/>
            <w:shd w:fill="15253D"/>
            <w:vAlign w:val="center"/>
          </w:tcPr>
          <w:p>
            <w:pPr>
              <w:spacing w:after="0"/>
            </w:pPr>
            <w:r/>
            <w:r>
              <w:rPr>
                <w:rFonts w:ascii="Aptos" w:hAnsi="Aptos"/>
                <w:b/>
                <w:color w:val="FFFFFF"/>
                <w:sz w:val="15"/>
              </w:rPr>
              <w:t>Avg % Change</w:t>
            </w:r>
          </w:p>
        </w:tc>
        <w:tc>
          <w:tcPr>
            <w:tcW w:type="dxa" w:w="1110"/>
            <w:shd w:fill="15253D"/>
            <w:vAlign w:val="center"/>
          </w:tcPr>
          <w:p>
            <w:pPr>
              <w:spacing w:after="0"/>
            </w:pPr>
            <w:r/>
            <w:r>
              <w:rPr>
                <w:rFonts w:ascii="Aptos" w:hAnsi="Aptos"/>
                <w:b/>
                <w:color w:val="FFFFFF"/>
                <w:sz w:val="15"/>
              </w:rPr>
              <w:t>Avg Volatility</w:t>
            </w:r>
          </w:p>
        </w:tc>
        <w:tc>
          <w:tcPr>
            <w:tcW w:type="dxa" w:w="1110"/>
            <w:shd w:fill="15253D"/>
            <w:vAlign w:val="center"/>
          </w:tcPr>
          <w:p>
            <w:pPr>
              <w:spacing w:after="0"/>
            </w:pPr>
            <w:r/>
            <w:r>
              <w:rPr>
                <w:rFonts w:ascii="Aptos" w:hAnsi="Aptos"/>
                <w:b/>
                <w:color w:val="FFFFFF"/>
                <w:sz w:val="15"/>
              </w:rPr>
              <w:t>Avg Volume</w:t>
            </w:r>
          </w:p>
        </w:tc>
      </w:tr>
      <w:tr>
        <w:tc>
          <w:tcPr>
            <w:tcW w:type="dxa" w:w="1110"/>
            <w:shd w:fill="F8FAFC"/>
            <w:vAlign w:val="center"/>
          </w:tcPr>
          <w:p>
            <w:pPr>
              <w:spacing w:after="0"/>
            </w:pPr>
            <w:r/>
            <w:r>
              <w:rPr>
                <w:rFonts w:ascii="Aptos" w:hAnsi="Aptos"/>
                <w:b w:val="0"/>
                <w:color w:val="374151"/>
                <w:sz w:val="15"/>
              </w:rPr>
              <w:t>0</w:t>
            </w:r>
          </w:p>
        </w:tc>
        <w:tc>
          <w:tcPr>
            <w:tcW w:type="dxa" w:w="1110"/>
            <w:shd w:fill="F8FAFC"/>
            <w:vAlign w:val="center"/>
          </w:tcPr>
          <w:p>
            <w:pPr>
              <w:spacing w:after="0"/>
            </w:pPr>
            <w:r/>
            <w:r>
              <w:rPr>
                <w:rFonts w:ascii="Aptos" w:hAnsi="Aptos"/>
                <w:b w:val="0"/>
                <w:color w:val="374151"/>
                <w:sz w:val="15"/>
              </w:rPr>
              <w:t>2,454</w:t>
            </w:r>
          </w:p>
        </w:tc>
        <w:tc>
          <w:tcPr>
            <w:tcW w:type="dxa" w:w="1110"/>
            <w:shd w:fill="F8FAFC"/>
            <w:vAlign w:val="center"/>
          </w:tcPr>
          <w:p>
            <w:pPr>
              <w:spacing w:after="0"/>
            </w:pPr>
            <w:r/>
            <w:r>
              <w:rPr>
                <w:rFonts w:ascii="Aptos" w:hAnsi="Aptos"/>
                <w:b w:val="0"/>
                <w:color w:val="374151"/>
                <w:sz w:val="15"/>
              </w:rPr>
              <w:t>14.389</w:t>
            </w:r>
          </w:p>
        </w:tc>
        <w:tc>
          <w:tcPr>
            <w:tcW w:type="dxa" w:w="1110"/>
            <w:shd w:fill="F8FAFC"/>
            <w:vAlign w:val="center"/>
          </w:tcPr>
          <w:p>
            <w:pPr>
              <w:spacing w:after="0"/>
            </w:pPr>
            <w:r/>
            <w:r>
              <w:rPr>
                <w:rFonts w:ascii="Aptos" w:hAnsi="Aptos"/>
                <w:b w:val="0"/>
                <w:color w:val="374151"/>
                <w:sz w:val="15"/>
              </w:rPr>
              <w:t>14.521</w:t>
            </w:r>
          </w:p>
        </w:tc>
        <w:tc>
          <w:tcPr>
            <w:tcW w:type="dxa" w:w="1110"/>
            <w:shd w:fill="F8FAFC"/>
            <w:vAlign w:val="center"/>
          </w:tcPr>
          <w:p>
            <w:pPr>
              <w:spacing w:after="0"/>
            </w:pPr>
            <w:r/>
            <w:r>
              <w:rPr>
                <w:rFonts w:ascii="Aptos" w:hAnsi="Aptos"/>
                <w:b w:val="0"/>
                <w:color w:val="374151"/>
                <w:sz w:val="15"/>
              </w:rPr>
              <w:t>0.0244</w:t>
            </w:r>
          </w:p>
        </w:tc>
        <w:tc>
          <w:tcPr>
            <w:tcW w:type="dxa" w:w="1110"/>
            <w:shd w:fill="F8FAFC"/>
            <w:vAlign w:val="center"/>
          </w:tcPr>
          <w:p>
            <w:pPr>
              <w:spacing w:after="0"/>
            </w:pPr>
            <w:r/>
            <w:r>
              <w:rPr>
                <w:rFonts w:ascii="Aptos" w:hAnsi="Aptos"/>
                <w:b w:val="0"/>
                <w:color w:val="374151"/>
                <w:sz w:val="15"/>
              </w:rPr>
              <w:t>0.5107</w:t>
            </w:r>
          </w:p>
        </w:tc>
        <w:tc>
          <w:tcPr>
            <w:tcW w:type="dxa" w:w="1110"/>
            <w:shd w:fill="F8FAFC"/>
            <w:vAlign w:val="center"/>
          </w:tcPr>
          <w:p>
            <w:pPr>
              <w:spacing w:after="0"/>
            </w:pPr>
            <w:r/>
            <w:r>
              <w:rPr>
                <w:rFonts w:ascii="Aptos" w:hAnsi="Aptos"/>
                <w:b w:val="0"/>
                <w:color w:val="374151"/>
                <w:sz w:val="15"/>
              </w:rPr>
              <w:t>0.2105</w:t>
            </w:r>
          </w:p>
        </w:tc>
        <w:tc>
          <w:tcPr>
            <w:tcW w:type="dxa" w:w="1110"/>
            <w:shd w:fill="F8FAFC"/>
            <w:vAlign w:val="center"/>
          </w:tcPr>
          <w:p>
            <w:pPr>
              <w:spacing w:after="0"/>
            </w:pPr>
            <w:r/>
            <w:r>
              <w:rPr>
                <w:rFonts w:ascii="Aptos" w:hAnsi="Aptos"/>
                <w:b w:val="0"/>
                <w:color w:val="374151"/>
                <w:sz w:val="15"/>
              </w:rPr>
              <w:t>3.0884</w:t>
            </w:r>
          </w:p>
        </w:tc>
        <w:tc>
          <w:tcPr>
            <w:tcW w:type="dxa" w:w="1110"/>
            <w:shd w:fill="F8FAFC"/>
            <w:vAlign w:val="center"/>
          </w:tcPr>
          <w:p>
            <w:pPr>
              <w:spacing w:after="0"/>
            </w:pPr>
            <w:r/>
            <w:r>
              <w:rPr>
                <w:rFonts w:ascii="Aptos" w:hAnsi="Aptos"/>
                <w:b w:val="0"/>
                <w:color w:val="374151"/>
                <w:sz w:val="15"/>
              </w:rPr>
              <w:t>85,896,110</w:t>
            </w:r>
          </w:p>
        </w:tc>
      </w:tr>
      <w:tr>
        <w:tc>
          <w:tcPr>
            <w:tcW w:type="dxa" w:w="1110"/>
            <w:shd w:fill="FFFFFF"/>
            <w:vAlign w:val="center"/>
          </w:tcPr>
          <w:p>
            <w:pPr>
              <w:spacing w:after="0"/>
            </w:pPr>
            <w:r/>
            <w:r>
              <w:rPr>
                <w:rFonts w:ascii="Aptos" w:hAnsi="Aptos"/>
                <w:b w:val="0"/>
                <w:color w:val="374151"/>
                <w:sz w:val="15"/>
              </w:rPr>
              <w:t>1</w:t>
            </w:r>
          </w:p>
        </w:tc>
        <w:tc>
          <w:tcPr>
            <w:tcW w:type="dxa" w:w="1110"/>
            <w:shd w:fill="FFFFFF"/>
            <w:vAlign w:val="center"/>
          </w:tcPr>
          <w:p>
            <w:pPr>
              <w:spacing w:after="0"/>
            </w:pPr>
            <w:r/>
            <w:r>
              <w:rPr>
                <w:rFonts w:ascii="Aptos" w:hAnsi="Aptos"/>
                <w:b w:val="0"/>
                <w:color w:val="374151"/>
                <w:sz w:val="15"/>
              </w:rPr>
              <w:t>593</w:t>
            </w:r>
          </w:p>
        </w:tc>
        <w:tc>
          <w:tcPr>
            <w:tcW w:type="dxa" w:w="1110"/>
            <w:shd w:fill="FFFFFF"/>
            <w:vAlign w:val="center"/>
          </w:tcPr>
          <w:p>
            <w:pPr>
              <w:spacing w:after="0"/>
            </w:pPr>
            <w:r/>
            <w:r>
              <w:rPr>
                <w:rFonts w:ascii="Aptos" w:hAnsi="Aptos"/>
                <w:b w:val="0"/>
                <w:color w:val="374151"/>
                <w:sz w:val="15"/>
              </w:rPr>
              <w:t>228.346</w:t>
            </w:r>
          </w:p>
        </w:tc>
        <w:tc>
          <w:tcPr>
            <w:tcW w:type="dxa" w:w="1110"/>
            <w:shd w:fill="FFFFFF"/>
            <w:vAlign w:val="center"/>
          </w:tcPr>
          <w:p>
            <w:pPr>
              <w:spacing w:after="0"/>
            </w:pPr>
            <w:r/>
            <w:r>
              <w:rPr>
                <w:rFonts w:ascii="Aptos" w:hAnsi="Aptos"/>
                <w:b w:val="0"/>
                <w:color w:val="374151"/>
                <w:sz w:val="15"/>
              </w:rPr>
              <w:t>236.603</w:t>
            </w:r>
          </w:p>
        </w:tc>
        <w:tc>
          <w:tcPr>
            <w:tcW w:type="dxa" w:w="1110"/>
            <w:shd w:fill="FFFFFF"/>
            <w:vAlign w:val="center"/>
          </w:tcPr>
          <w:p>
            <w:pPr>
              <w:spacing w:after="0"/>
            </w:pPr>
            <w:r/>
            <w:r>
              <w:rPr>
                <w:rFonts w:ascii="Aptos" w:hAnsi="Aptos"/>
                <w:b w:val="0"/>
                <w:color w:val="374151"/>
                <w:sz w:val="15"/>
              </w:rPr>
              <w:t>0.4182</w:t>
            </w:r>
          </w:p>
        </w:tc>
        <w:tc>
          <w:tcPr>
            <w:tcW w:type="dxa" w:w="1110"/>
            <w:shd w:fill="FFFFFF"/>
            <w:vAlign w:val="center"/>
          </w:tcPr>
          <w:p>
            <w:pPr>
              <w:spacing w:after="0"/>
            </w:pPr>
            <w:r/>
            <w:r>
              <w:rPr>
                <w:rFonts w:ascii="Aptos" w:hAnsi="Aptos"/>
                <w:b w:val="0"/>
                <w:color w:val="374151"/>
                <w:sz w:val="15"/>
              </w:rPr>
              <w:t>11.3034</w:t>
            </w:r>
          </w:p>
        </w:tc>
        <w:tc>
          <w:tcPr>
            <w:tcW w:type="dxa" w:w="1110"/>
            <w:shd w:fill="FFFFFF"/>
            <w:vAlign w:val="center"/>
          </w:tcPr>
          <w:p>
            <w:pPr>
              <w:spacing w:after="0"/>
            </w:pPr>
            <w:r/>
            <w:r>
              <w:rPr>
                <w:rFonts w:ascii="Aptos" w:hAnsi="Aptos"/>
                <w:b w:val="0"/>
                <w:color w:val="374151"/>
                <w:sz w:val="15"/>
              </w:rPr>
              <w:t>0.3881</w:t>
            </w:r>
          </w:p>
        </w:tc>
        <w:tc>
          <w:tcPr>
            <w:tcW w:type="dxa" w:w="1110"/>
            <w:shd w:fill="FFFFFF"/>
            <w:vAlign w:val="center"/>
          </w:tcPr>
          <w:p>
            <w:pPr>
              <w:spacing w:after="0"/>
            </w:pPr>
            <w:r/>
            <w:r>
              <w:rPr>
                <w:rFonts w:ascii="Aptos" w:hAnsi="Aptos"/>
                <w:b w:val="0"/>
                <w:color w:val="374151"/>
                <w:sz w:val="15"/>
              </w:rPr>
              <w:t>4.2813</w:t>
            </w:r>
          </w:p>
        </w:tc>
        <w:tc>
          <w:tcPr>
            <w:tcW w:type="dxa" w:w="1110"/>
            <w:shd w:fill="FFFFFF"/>
            <w:vAlign w:val="center"/>
          </w:tcPr>
          <w:p>
            <w:pPr>
              <w:spacing w:after="0"/>
            </w:pPr>
            <w:r/>
            <w:r>
              <w:rPr>
                <w:rFonts w:ascii="Aptos" w:hAnsi="Aptos"/>
                <w:b w:val="0"/>
                <w:color w:val="374151"/>
                <w:sz w:val="15"/>
              </w:rPr>
              <w:t>126,946,000</w:t>
            </w:r>
          </w:p>
        </w:tc>
      </w:tr>
    </w:tbl>
    <w:p>
      <w:pPr>
        <w:spacing w:after="20"/>
      </w:pPr>
    </w:p>
    <w:p>
      <w:r>
        <w:t>Cluster 0 contains 2,454 observations and has a much lower average Close and average intraday range than Cluster 1. Cluster 1 contains 593 observations and shows substantially higher average Close, Price Change, Price Range, percentage change, volatility and volume. The clusters therefore represent materially different combinations of price level and market activity.</w:t>
      </w:r>
    </w:p>
    <w:p>
      <w:r>
        <w:br w:type="page"/>
      </w:r>
    </w:p>
    <w:p>
      <w:pPr>
        <w:pStyle w:val="Heading1"/>
      </w:pPr>
      <w:r>
        <w:t>12. Gaussian Mixture Model</w:t>
      </w:r>
    </w:p>
    <w:p>
      <w:r>
        <w:t>GMM models the standardized feature space as a mixture of Gaussian distributions. Unlike K-Means' hard assignments, GMM produces probabilistic membership, which is useful when an observation may sit near a boundary between regimes.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Setting</w:t>
            </w:r>
          </w:p>
        </w:tc>
        <w:tc>
          <w:tcPr>
            <w:tcW w:type="dxa" w:w="4997"/>
            <w:shd w:fill="15253D"/>
            <w:vAlign w:val="center"/>
          </w:tcPr>
          <w:p>
            <w:pPr>
              <w:spacing w:after="0"/>
            </w:pPr>
            <w:r/>
            <w:r>
              <w:rPr>
                <w:rFonts w:ascii="Aptos" w:hAnsi="Aptos"/>
                <w:b/>
                <w:color w:val="FFFFFF"/>
                <w:sz w:val="18"/>
              </w:rPr>
              <w:t>Result</w:t>
            </w:r>
          </w:p>
        </w:tc>
      </w:tr>
      <w:tr>
        <w:tc>
          <w:tcPr>
            <w:tcW w:type="dxa" w:w="4997"/>
            <w:shd w:fill="F8FAFC"/>
            <w:vAlign w:val="center"/>
          </w:tcPr>
          <w:p>
            <w:pPr>
              <w:spacing w:after="0"/>
            </w:pPr>
            <w:r/>
            <w:r>
              <w:rPr>
                <w:rFonts w:ascii="Aptos" w:hAnsi="Aptos"/>
                <w:b w:val="0"/>
                <w:color w:val="374151"/>
                <w:sz w:val="18"/>
              </w:rPr>
              <w:t>Components</w:t>
            </w:r>
          </w:p>
        </w:tc>
        <w:tc>
          <w:tcPr>
            <w:tcW w:type="dxa" w:w="4997"/>
            <w:shd w:fill="F8FAFC"/>
            <w:vAlign w:val="center"/>
          </w:tcPr>
          <w:p>
            <w:pPr>
              <w:spacing w:after="0"/>
            </w:pPr>
            <w:r/>
            <w:r>
              <w:rPr>
                <w:rFonts w:ascii="Aptos" w:hAnsi="Aptos"/>
                <w:b w:val="0"/>
                <w:color w:val="374151"/>
                <w:sz w:val="18"/>
              </w:rPr>
              <w:t>2</w:t>
            </w:r>
          </w:p>
        </w:tc>
      </w:tr>
      <w:tr>
        <w:tc>
          <w:tcPr>
            <w:tcW w:type="dxa" w:w="4997"/>
            <w:shd w:fill="FFFFFF"/>
            <w:vAlign w:val="center"/>
          </w:tcPr>
          <w:p>
            <w:pPr>
              <w:spacing w:after="0"/>
            </w:pPr>
            <w:r/>
            <w:r>
              <w:rPr>
                <w:rFonts w:ascii="Aptos" w:hAnsi="Aptos"/>
                <w:b w:val="0"/>
                <w:color w:val="374151"/>
                <w:sz w:val="18"/>
              </w:rPr>
              <w:t>Silhouette Score</w:t>
            </w:r>
          </w:p>
        </w:tc>
        <w:tc>
          <w:tcPr>
            <w:tcW w:type="dxa" w:w="4997"/>
            <w:shd w:fill="FFFFFF"/>
            <w:vAlign w:val="center"/>
          </w:tcPr>
          <w:p>
            <w:pPr>
              <w:spacing w:after="0"/>
            </w:pPr>
            <w:r/>
            <w:r>
              <w:rPr>
                <w:rFonts w:ascii="Aptos" w:hAnsi="Aptos"/>
                <w:b w:val="0"/>
                <w:color w:val="374151"/>
                <w:sz w:val="18"/>
              </w:rPr>
              <w:t>0.465</w:t>
            </w:r>
          </w:p>
        </w:tc>
      </w:tr>
      <w:tr>
        <w:tc>
          <w:tcPr>
            <w:tcW w:type="dxa" w:w="4997"/>
            <w:shd w:fill="F8FAFC"/>
            <w:vAlign w:val="center"/>
          </w:tcPr>
          <w:p>
            <w:pPr>
              <w:spacing w:after="0"/>
            </w:pPr>
            <w:r/>
            <w:r>
              <w:rPr>
                <w:rFonts w:ascii="Aptos" w:hAnsi="Aptos"/>
                <w:b w:val="0"/>
                <w:color w:val="374151"/>
                <w:sz w:val="18"/>
              </w:rPr>
              <w:t>Membership output</w:t>
            </w:r>
          </w:p>
        </w:tc>
        <w:tc>
          <w:tcPr>
            <w:tcW w:type="dxa" w:w="4997"/>
            <w:shd w:fill="F8FAFC"/>
            <w:vAlign w:val="center"/>
          </w:tcPr>
          <w:p>
            <w:pPr>
              <w:spacing w:after="0"/>
            </w:pPr>
            <w:r/>
            <w:r>
              <w:rPr>
                <w:rFonts w:ascii="Aptos" w:hAnsi="Aptos"/>
                <w:b w:val="0"/>
                <w:color w:val="374151"/>
                <w:sz w:val="18"/>
              </w:rPr>
              <w:t>Probability for each component</w:t>
            </w:r>
          </w:p>
        </w:tc>
      </w:tr>
    </w:tbl>
    <w:p>
      <w:pPr>
        <w:spacing w:after="20"/>
      </w:pPr>
    </w:p>
    <w:p>
      <w:pPr>
        <w:pStyle w:val="Heading2"/>
      </w:pPr>
      <w:r>
        <w:t>12.1 Interpretation</w:t>
      </w:r>
    </w:p>
    <w:p>
      <w:pPr>
        <w:pStyle w:val="ListBullet"/>
        <w:spacing w:after="40"/>
        <w:ind w:left="259"/>
      </w:pPr>
      <w:r>
        <w:rPr>
          <w:rFonts w:ascii="Aptos" w:hAnsi="Aptos"/>
          <w:color w:val="374151"/>
          <w:sz w:val="20"/>
        </w:rPr>
        <w:t>GMM provides a soft-clustering perspective rather than forcing every observation into a purely distance-based centroid interpretation.</w:t>
      </w:r>
    </w:p>
    <w:p>
      <w:pPr>
        <w:pStyle w:val="ListBullet"/>
        <w:spacing w:after="40"/>
        <w:ind w:left="259"/>
      </w:pPr>
      <w:r>
        <w:rPr>
          <w:rFonts w:ascii="Aptos" w:hAnsi="Aptos"/>
          <w:color w:val="374151"/>
          <w:sz w:val="20"/>
        </w:rPr>
        <w:t>The two-component GMM achieved a Silhouette Score of 0.465 on the same standardized feature framework.</w:t>
      </w:r>
    </w:p>
    <w:p>
      <w:pPr>
        <w:pStyle w:val="ListBullet"/>
        <w:spacing w:after="40"/>
        <w:ind w:left="259"/>
      </w:pPr>
      <w:r>
        <w:rPr>
          <w:rFonts w:ascii="Aptos" w:hAnsi="Aptos"/>
          <w:color w:val="374151"/>
          <w:sz w:val="20"/>
        </w:rPr>
        <w:t>Membership probabilities provide an additional signal about how strongly an observation belongs to each component.</w:t>
      </w:r>
    </w:p>
    <w:p>
      <w:pPr>
        <w:pStyle w:val="ListBullet"/>
        <w:spacing w:after="40"/>
        <w:ind w:left="259"/>
      </w:pPr>
      <w:r>
        <w:rPr>
          <w:rFonts w:ascii="Aptos" w:hAnsi="Aptos"/>
          <w:color w:val="374151"/>
          <w:sz w:val="20"/>
        </w:rPr>
        <w:t>The GMM result is directionally consistent with the existence of different historical market regimes, while using a different modeling assumption from K-Means.</w:t>
      </w:r>
    </w:p>
    <w:p>
      <w:r>
        <w:br w:type="page"/>
      </w:r>
    </w:p>
    <w:p>
      <w:pPr>
        <w:pStyle w:val="Heading1"/>
      </w:pPr>
      <w:r>
        <w:t>13. DBSCAN Clustering &amp; Outlier Detection</w:t>
      </w:r>
    </w:p>
    <w:p>
      <w:r>
        <w:t>DBSCAN is a density-based algorithm. It does not require the number of clusters to be specified in advance and can explicitly label low-density observations as noise.</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7"/>
              </w:rPr>
              <w:t>Parameter / Result</w:t>
            </w:r>
          </w:p>
        </w:tc>
        <w:tc>
          <w:tcPr>
            <w:tcW w:type="dxa" w:w="4997"/>
            <w:shd w:fill="15253D"/>
            <w:vAlign w:val="center"/>
          </w:tcPr>
          <w:p>
            <w:pPr>
              <w:spacing w:after="0"/>
            </w:pPr>
            <w:r/>
            <w:r>
              <w:rPr>
                <w:rFonts w:ascii="Aptos" w:hAnsi="Aptos"/>
                <w:b/>
                <w:color w:val="FFFFFF"/>
                <w:sz w:val="17"/>
              </w:rPr>
              <w:t>Value</w:t>
            </w:r>
          </w:p>
        </w:tc>
      </w:tr>
      <w:tr>
        <w:tc>
          <w:tcPr>
            <w:tcW w:type="dxa" w:w="4997"/>
            <w:shd w:fill="F8FAFC"/>
            <w:vAlign w:val="center"/>
          </w:tcPr>
          <w:p>
            <w:pPr>
              <w:spacing w:after="0"/>
            </w:pPr>
            <w:r/>
            <w:r>
              <w:rPr>
                <w:rFonts w:ascii="Aptos" w:hAnsi="Aptos"/>
                <w:b w:val="0"/>
                <w:color w:val="374151"/>
                <w:sz w:val="17"/>
              </w:rPr>
              <w:t>eps</w:t>
            </w:r>
          </w:p>
        </w:tc>
        <w:tc>
          <w:tcPr>
            <w:tcW w:type="dxa" w:w="4997"/>
            <w:shd w:fill="F8FAFC"/>
            <w:vAlign w:val="center"/>
          </w:tcPr>
          <w:p>
            <w:pPr>
              <w:spacing w:after="0"/>
            </w:pPr>
            <w:r/>
            <w:r>
              <w:rPr>
                <w:rFonts w:ascii="Aptos" w:hAnsi="Aptos"/>
                <w:b w:val="0"/>
                <w:color w:val="374151"/>
                <w:sz w:val="17"/>
              </w:rPr>
              <w:t>1.5</w:t>
            </w:r>
          </w:p>
        </w:tc>
      </w:tr>
      <w:tr>
        <w:tc>
          <w:tcPr>
            <w:tcW w:type="dxa" w:w="4997"/>
            <w:shd w:fill="FFFFFF"/>
            <w:vAlign w:val="center"/>
          </w:tcPr>
          <w:p>
            <w:pPr>
              <w:spacing w:after="0"/>
            </w:pPr>
            <w:r/>
            <w:r>
              <w:rPr>
                <w:rFonts w:ascii="Aptos" w:hAnsi="Aptos"/>
                <w:b w:val="0"/>
                <w:color w:val="374151"/>
                <w:sz w:val="17"/>
              </w:rPr>
              <w:t>min_samples</w:t>
            </w:r>
          </w:p>
        </w:tc>
        <w:tc>
          <w:tcPr>
            <w:tcW w:type="dxa" w:w="4997"/>
            <w:shd w:fill="FFFFFF"/>
            <w:vAlign w:val="center"/>
          </w:tcPr>
          <w:p>
            <w:pPr>
              <w:spacing w:after="0"/>
            </w:pPr>
            <w:r/>
            <w:r>
              <w:rPr>
                <w:rFonts w:ascii="Aptos" w:hAnsi="Aptos"/>
                <w:b w:val="0"/>
                <w:color w:val="374151"/>
                <w:sz w:val="17"/>
              </w:rPr>
              <w:t>10</w:t>
            </w:r>
          </w:p>
        </w:tc>
      </w:tr>
      <w:tr>
        <w:tc>
          <w:tcPr>
            <w:tcW w:type="dxa" w:w="4997"/>
            <w:shd w:fill="F8FAFC"/>
            <w:vAlign w:val="center"/>
          </w:tcPr>
          <w:p>
            <w:pPr>
              <w:spacing w:after="0"/>
            </w:pPr>
            <w:r/>
            <w:r>
              <w:rPr>
                <w:rFonts w:ascii="Aptos" w:hAnsi="Aptos"/>
                <w:b w:val="0"/>
                <w:color w:val="374151"/>
                <w:sz w:val="17"/>
              </w:rPr>
              <w:t>Noise observations</w:t>
            </w:r>
          </w:p>
        </w:tc>
        <w:tc>
          <w:tcPr>
            <w:tcW w:type="dxa" w:w="4997"/>
            <w:shd w:fill="F8FAFC"/>
            <w:vAlign w:val="center"/>
          </w:tcPr>
          <w:p>
            <w:pPr>
              <w:spacing w:after="0"/>
            </w:pPr>
            <w:r/>
            <w:r>
              <w:rPr>
                <w:rFonts w:ascii="Aptos" w:hAnsi="Aptos"/>
                <w:b w:val="0"/>
                <w:color w:val="374151"/>
                <w:sz w:val="17"/>
              </w:rPr>
              <w:t>86</w:t>
            </w:r>
          </w:p>
        </w:tc>
      </w:tr>
      <w:tr>
        <w:tc>
          <w:tcPr>
            <w:tcW w:type="dxa" w:w="4997"/>
            <w:shd w:fill="FFFFFF"/>
            <w:vAlign w:val="center"/>
          </w:tcPr>
          <w:p>
            <w:pPr>
              <w:spacing w:after="0"/>
            </w:pPr>
            <w:r/>
            <w:r>
              <w:rPr>
                <w:rFonts w:ascii="Aptos" w:hAnsi="Aptos"/>
                <w:b w:val="0"/>
                <w:color w:val="374151"/>
                <w:sz w:val="17"/>
              </w:rPr>
              <w:t>Noise percentage</w:t>
            </w:r>
          </w:p>
        </w:tc>
        <w:tc>
          <w:tcPr>
            <w:tcW w:type="dxa" w:w="4997"/>
            <w:shd w:fill="FFFFFF"/>
            <w:vAlign w:val="center"/>
          </w:tcPr>
          <w:p>
            <w:pPr>
              <w:spacing w:after="0"/>
            </w:pPr>
            <w:r/>
            <w:r>
              <w:rPr>
                <w:rFonts w:ascii="Aptos" w:hAnsi="Aptos"/>
                <w:b w:val="0"/>
                <w:color w:val="374151"/>
                <w:sz w:val="17"/>
              </w:rPr>
              <w:t>2.82%</w:t>
            </w:r>
          </w:p>
        </w:tc>
      </w:tr>
      <w:tr>
        <w:tc>
          <w:tcPr>
            <w:tcW w:type="dxa" w:w="4997"/>
            <w:shd w:fill="F8FAFC"/>
            <w:vAlign w:val="center"/>
          </w:tcPr>
          <w:p>
            <w:pPr>
              <w:spacing w:after="0"/>
            </w:pPr>
            <w:r/>
            <w:r>
              <w:rPr>
                <w:rFonts w:ascii="Aptos" w:hAnsi="Aptos"/>
                <w:b w:val="0"/>
                <w:color w:val="374151"/>
                <w:sz w:val="17"/>
              </w:rPr>
              <w:t>Silhouette excluding noise</w:t>
            </w:r>
          </w:p>
        </w:tc>
        <w:tc>
          <w:tcPr>
            <w:tcW w:type="dxa" w:w="4997"/>
            <w:shd w:fill="F8FAFC"/>
            <w:vAlign w:val="center"/>
          </w:tcPr>
          <w:p>
            <w:pPr>
              <w:spacing w:after="0"/>
            </w:pPr>
            <w:r/>
            <w:r>
              <w:rPr>
                <w:rFonts w:ascii="Aptos" w:hAnsi="Aptos"/>
                <w:b w:val="0"/>
                <w:color w:val="374151"/>
                <w:sz w:val="17"/>
              </w:rPr>
              <w:t>0.576</w:t>
            </w:r>
          </w:p>
        </w:tc>
      </w:tr>
      <w:tr>
        <w:tc>
          <w:tcPr>
            <w:tcW w:type="dxa" w:w="4997"/>
            <w:shd w:fill="FFFFFF"/>
            <w:vAlign w:val="center"/>
          </w:tcPr>
          <w:p>
            <w:pPr>
              <w:spacing w:after="0"/>
            </w:pPr>
            <w:r/>
            <w:r>
              <w:rPr>
                <w:rFonts w:ascii="Aptos" w:hAnsi="Aptos"/>
                <w:b w:val="0"/>
                <w:color w:val="374151"/>
                <w:sz w:val="17"/>
              </w:rPr>
              <w:t>Cluster labels</w:t>
            </w:r>
          </w:p>
        </w:tc>
        <w:tc>
          <w:tcPr>
            <w:tcW w:type="dxa" w:w="4997"/>
            <w:shd w:fill="FFFFFF"/>
            <w:vAlign w:val="center"/>
          </w:tcPr>
          <w:p>
            <w:pPr>
              <w:spacing w:after="0"/>
            </w:pPr>
            <w:r/>
            <w:r>
              <w:rPr>
                <w:rFonts w:ascii="Aptos" w:hAnsi="Aptos"/>
                <w:b w:val="0"/>
                <w:color w:val="374151"/>
                <w:sz w:val="17"/>
              </w:rPr>
              <w:t>-1, 0, 1</w:t>
            </w:r>
          </w:p>
        </w:tc>
      </w:tr>
      <w:tr>
        <w:tc>
          <w:tcPr>
            <w:tcW w:type="dxa" w:w="4997"/>
            <w:shd w:fill="F8FAFC"/>
            <w:vAlign w:val="center"/>
          </w:tcPr>
          <w:p>
            <w:pPr>
              <w:spacing w:after="0"/>
            </w:pPr>
            <w:r/>
            <w:r>
              <w:rPr>
                <w:rFonts w:ascii="Aptos" w:hAnsi="Aptos"/>
                <w:b w:val="0"/>
                <w:color w:val="374151"/>
                <w:sz w:val="17"/>
              </w:rPr>
              <w:t>Largest cluster</w:t>
            </w:r>
          </w:p>
        </w:tc>
        <w:tc>
          <w:tcPr>
            <w:tcW w:type="dxa" w:w="4997"/>
            <w:shd w:fill="F8FAFC"/>
            <w:vAlign w:val="center"/>
          </w:tcPr>
          <w:p>
            <w:pPr>
              <w:spacing w:after="0"/>
            </w:pPr>
            <w:r/>
            <w:r>
              <w:rPr>
                <w:rFonts w:ascii="Aptos" w:hAnsi="Aptos"/>
                <w:b w:val="0"/>
                <w:color w:val="374151"/>
                <w:sz w:val="17"/>
              </w:rPr>
              <w:t>2,951 observations</w:t>
            </w:r>
          </w:p>
        </w:tc>
      </w:tr>
      <w:tr>
        <w:tc>
          <w:tcPr>
            <w:tcW w:type="dxa" w:w="4997"/>
            <w:shd w:fill="FFFFFF"/>
            <w:vAlign w:val="center"/>
          </w:tcPr>
          <w:p>
            <w:pPr>
              <w:spacing w:after="0"/>
            </w:pPr>
            <w:r/>
            <w:r>
              <w:rPr>
                <w:rFonts w:ascii="Aptos" w:hAnsi="Aptos"/>
                <w:b w:val="0"/>
                <w:color w:val="374151"/>
                <w:sz w:val="17"/>
              </w:rPr>
              <w:t>Second cluster</w:t>
            </w:r>
          </w:p>
        </w:tc>
        <w:tc>
          <w:tcPr>
            <w:tcW w:type="dxa" w:w="4997"/>
            <w:shd w:fill="FFFFFF"/>
            <w:vAlign w:val="center"/>
          </w:tcPr>
          <w:p>
            <w:pPr>
              <w:spacing w:after="0"/>
            </w:pPr>
            <w:r/>
            <w:r>
              <w:rPr>
                <w:rFonts w:ascii="Aptos" w:hAnsi="Aptos"/>
                <w:b w:val="0"/>
                <w:color w:val="374151"/>
                <w:sz w:val="17"/>
              </w:rPr>
              <w:t>10 observations</w:t>
            </w:r>
          </w:p>
        </w:tc>
      </w:tr>
    </w:tbl>
    <w:p>
      <w:pPr>
        <w:spacing w:after="20"/>
      </w:pPr>
    </w:p>
    <w:p>
      <w:pPr>
        <w:pStyle w:val="Heading2"/>
      </w:pPr>
      <w:r>
        <w:t>13.1 Outlier Interpretation</w:t>
      </w:r>
    </w:p>
    <w:p>
      <w:r>
        <w:t>DBSCAN identifies 86 observations as noise under the selected parameters. In this project, noise is a density-based designation rather than a statement that the records are incorrect. A market observation can be unusual and still be valid.</w:t>
      </w:r>
    </w:p>
    <w:p>
      <w:r>
        <w:br w:type="page"/>
      </w:r>
    </w:p>
    <w:p>
      <w:pPr>
        <w:pStyle w:val="Heading1"/>
      </w:pPr>
      <w:r>
        <w:t>14. Model Comparison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5253D"/>
            <w:vAlign w:val="center"/>
          </w:tcPr>
          <w:p>
            <w:pPr>
              <w:spacing w:after="0"/>
            </w:pPr>
            <w:r/>
            <w:r>
              <w:rPr>
                <w:rFonts w:ascii="Aptos" w:hAnsi="Aptos"/>
                <w:b/>
                <w:color w:val="FFFFFF"/>
                <w:sz w:val="16"/>
              </w:rPr>
              <w:t>Algorithm</w:t>
            </w:r>
          </w:p>
        </w:tc>
        <w:tc>
          <w:tcPr>
            <w:tcW w:type="dxa" w:w="1999"/>
            <w:shd w:fill="15253D"/>
            <w:vAlign w:val="center"/>
          </w:tcPr>
          <w:p>
            <w:pPr>
              <w:spacing w:after="0"/>
            </w:pPr>
            <w:r/>
            <w:r>
              <w:rPr>
                <w:rFonts w:ascii="Aptos" w:hAnsi="Aptos"/>
                <w:b/>
                <w:color w:val="FFFFFF"/>
                <w:sz w:val="16"/>
              </w:rPr>
              <w:t>Configuration</w:t>
            </w:r>
          </w:p>
        </w:tc>
        <w:tc>
          <w:tcPr>
            <w:tcW w:type="dxa" w:w="1999"/>
            <w:shd w:fill="15253D"/>
            <w:vAlign w:val="center"/>
          </w:tcPr>
          <w:p>
            <w:pPr>
              <w:spacing w:after="0"/>
            </w:pPr>
            <w:r/>
            <w:r>
              <w:rPr>
                <w:rFonts w:ascii="Aptos" w:hAnsi="Aptos"/>
                <w:b/>
                <w:color w:val="FFFFFF"/>
                <w:sz w:val="16"/>
              </w:rPr>
              <w:t>Silhouette</w:t>
            </w:r>
          </w:p>
        </w:tc>
        <w:tc>
          <w:tcPr>
            <w:tcW w:type="dxa" w:w="1999"/>
            <w:shd w:fill="15253D"/>
            <w:vAlign w:val="center"/>
          </w:tcPr>
          <w:p>
            <w:pPr>
              <w:spacing w:after="0"/>
            </w:pPr>
            <w:r/>
            <w:r>
              <w:rPr>
                <w:rFonts w:ascii="Aptos" w:hAnsi="Aptos"/>
                <w:b/>
                <w:color w:val="FFFFFF"/>
                <w:sz w:val="16"/>
              </w:rPr>
              <w:t>Core Assumption</w:t>
            </w:r>
          </w:p>
        </w:tc>
        <w:tc>
          <w:tcPr>
            <w:tcW w:type="dxa" w:w="1999"/>
            <w:shd w:fill="15253D"/>
            <w:vAlign w:val="center"/>
          </w:tcPr>
          <w:p>
            <w:pPr>
              <w:spacing w:after="0"/>
            </w:pPr>
            <w:r/>
            <w:r>
              <w:rPr>
                <w:rFonts w:ascii="Aptos" w:hAnsi="Aptos"/>
                <w:b/>
                <w:color w:val="FFFFFF"/>
                <w:sz w:val="16"/>
              </w:rPr>
              <w:t>Notable Output</w:t>
            </w:r>
          </w:p>
        </w:tc>
      </w:tr>
      <w:tr>
        <w:tc>
          <w:tcPr>
            <w:tcW w:type="dxa" w:w="1999"/>
            <w:shd w:fill="F8FAFC"/>
            <w:vAlign w:val="center"/>
          </w:tcPr>
          <w:p>
            <w:pPr>
              <w:spacing w:after="0"/>
            </w:pPr>
            <w:r/>
            <w:r>
              <w:rPr>
                <w:rFonts w:ascii="Aptos" w:hAnsi="Aptos"/>
                <w:b w:val="0"/>
                <w:color w:val="374151"/>
                <w:sz w:val="16"/>
              </w:rPr>
              <w:t>K-Means</w:t>
            </w:r>
          </w:p>
        </w:tc>
        <w:tc>
          <w:tcPr>
            <w:tcW w:type="dxa" w:w="1999"/>
            <w:shd w:fill="F8FAFC"/>
            <w:vAlign w:val="center"/>
          </w:tcPr>
          <w:p>
            <w:pPr>
              <w:spacing w:after="0"/>
            </w:pPr>
            <w:r/>
            <w:r>
              <w:rPr>
                <w:rFonts w:ascii="Aptos" w:hAnsi="Aptos"/>
                <w:b w:val="0"/>
                <w:color w:val="374151"/>
                <w:sz w:val="16"/>
              </w:rPr>
              <w:t>K=2</w:t>
            </w:r>
          </w:p>
        </w:tc>
        <w:tc>
          <w:tcPr>
            <w:tcW w:type="dxa" w:w="1999"/>
            <w:shd w:fill="F8FAFC"/>
            <w:vAlign w:val="center"/>
          </w:tcPr>
          <w:p>
            <w:pPr>
              <w:spacing w:after="0"/>
            </w:pPr>
            <w:r/>
            <w:r>
              <w:rPr>
                <w:rFonts w:ascii="Aptos" w:hAnsi="Aptos"/>
                <w:b w:val="0"/>
                <w:color w:val="374151"/>
                <w:sz w:val="16"/>
              </w:rPr>
              <w:t>0.501</w:t>
            </w:r>
          </w:p>
        </w:tc>
        <w:tc>
          <w:tcPr>
            <w:tcW w:type="dxa" w:w="1999"/>
            <w:shd w:fill="F8FAFC"/>
            <w:vAlign w:val="center"/>
          </w:tcPr>
          <w:p>
            <w:pPr>
              <w:spacing w:after="0"/>
            </w:pPr>
            <w:r/>
            <w:r>
              <w:rPr>
                <w:rFonts w:ascii="Aptos" w:hAnsi="Aptos"/>
                <w:b w:val="0"/>
                <w:color w:val="374151"/>
                <w:sz w:val="16"/>
              </w:rPr>
              <w:t>Centroid-based hard assignment</w:t>
            </w:r>
          </w:p>
        </w:tc>
        <w:tc>
          <w:tcPr>
            <w:tcW w:type="dxa" w:w="1999"/>
            <w:shd w:fill="F8FAFC"/>
            <w:vAlign w:val="center"/>
          </w:tcPr>
          <w:p>
            <w:pPr>
              <w:spacing w:after="0"/>
            </w:pPr>
            <w:r/>
            <w:r>
              <w:rPr>
                <w:rFonts w:ascii="Aptos" w:hAnsi="Aptos"/>
                <w:b w:val="0"/>
                <w:color w:val="374151"/>
                <w:sz w:val="16"/>
              </w:rPr>
              <w:t>2 historical segments</w:t>
            </w:r>
          </w:p>
        </w:tc>
      </w:tr>
      <w:tr>
        <w:tc>
          <w:tcPr>
            <w:tcW w:type="dxa" w:w="1999"/>
            <w:shd w:fill="FFFFFF"/>
            <w:vAlign w:val="center"/>
          </w:tcPr>
          <w:p>
            <w:pPr>
              <w:spacing w:after="0"/>
            </w:pPr>
            <w:r/>
            <w:r>
              <w:rPr>
                <w:rFonts w:ascii="Aptos" w:hAnsi="Aptos"/>
                <w:b w:val="0"/>
                <w:color w:val="374151"/>
                <w:sz w:val="16"/>
              </w:rPr>
              <w:t>GMM</w:t>
            </w:r>
          </w:p>
        </w:tc>
        <w:tc>
          <w:tcPr>
            <w:tcW w:type="dxa" w:w="1999"/>
            <w:shd w:fill="FFFFFF"/>
            <w:vAlign w:val="center"/>
          </w:tcPr>
          <w:p>
            <w:pPr>
              <w:spacing w:after="0"/>
            </w:pPr>
            <w:r/>
            <w:r>
              <w:rPr>
                <w:rFonts w:ascii="Aptos" w:hAnsi="Aptos"/>
                <w:b w:val="0"/>
                <w:color w:val="374151"/>
                <w:sz w:val="16"/>
              </w:rPr>
              <w:t>2 components</w:t>
            </w:r>
          </w:p>
        </w:tc>
        <w:tc>
          <w:tcPr>
            <w:tcW w:type="dxa" w:w="1999"/>
            <w:shd w:fill="FFFFFF"/>
            <w:vAlign w:val="center"/>
          </w:tcPr>
          <w:p>
            <w:pPr>
              <w:spacing w:after="0"/>
            </w:pPr>
            <w:r/>
            <w:r>
              <w:rPr>
                <w:rFonts w:ascii="Aptos" w:hAnsi="Aptos"/>
                <w:b w:val="0"/>
                <w:color w:val="374151"/>
                <w:sz w:val="16"/>
              </w:rPr>
              <w:t>0.465</w:t>
            </w:r>
          </w:p>
        </w:tc>
        <w:tc>
          <w:tcPr>
            <w:tcW w:type="dxa" w:w="1999"/>
            <w:shd w:fill="FFFFFF"/>
            <w:vAlign w:val="center"/>
          </w:tcPr>
          <w:p>
            <w:pPr>
              <w:spacing w:after="0"/>
            </w:pPr>
            <w:r/>
            <w:r>
              <w:rPr>
                <w:rFonts w:ascii="Aptos" w:hAnsi="Aptos"/>
                <w:b w:val="0"/>
                <w:color w:val="374151"/>
                <w:sz w:val="16"/>
              </w:rPr>
              <w:t>Probabilistic mixture</w:t>
            </w:r>
          </w:p>
        </w:tc>
        <w:tc>
          <w:tcPr>
            <w:tcW w:type="dxa" w:w="1999"/>
            <w:shd w:fill="FFFFFF"/>
            <w:vAlign w:val="center"/>
          </w:tcPr>
          <w:p>
            <w:pPr>
              <w:spacing w:after="0"/>
            </w:pPr>
            <w:r/>
            <w:r>
              <w:rPr>
                <w:rFonts w:ascii="Aptos" w:hAnsi="Aptos"/>
                <w:b w:val="0"/>
                <w:color w:val="374151"/>
                <w:sz w:val="16"/>
              </w:rPr>
              <w:t>Soft membership probabilities</w:t>
            </w:r>
          </w:p>
        </w:tc>
      </w:tr>
      <w:tr>
        <w:tc>
          <w:tcPr>
            <w:tcW w:type="dxa" w:w="1999"/>
            <w:shd w:fill="F8FAFC"/>
            <w:vAlign w:val="center"/>
          </w:tcPr>
          <w:p>
            <w:pPr>
              <w:spacing w:after="0"/>
            </w:pPr>
            <w:r/>
            <w:r>
              <w:rPr>
                <w:rFonts w:ascii="Aptos" w:hAnsi="Aptos"/>
                <w:b w:val="0"/>
                <w:color w:val="374151"/>
                <w:sz w:val="16"/>
              </w:rPr>
              <w:t>DBSCAN</w:t>
            </w:r>
          </w:p>
        </w:tc>
        <w:tc>
          <w:tcPr>
            <w:tcW w:type="dxa" w:w="1999"/>
            <w:shd w:fill="F8FAFC"/>
            <w:vAlign w:val="center"/>
          </w:tcPr>
          <w:p>
            <w:pPr>
              <w:spacing w:after="0"/>
            </w:pPr>
            <w:r/>
            <w:r>
              <w:rPr>
                <w:rFonts w:ascii="Aptos" w:hAnsi="Aptos"/>
                <w:b w:val="0"/>
                <w:color w:val="374151"/>
                <w:sz w:val="16"/>
              </w:rPr>
              <w:t>eps=1.5; min_samples=10</w:t>
            </w:r>
          </w:p>
        </w:tc>
        <w:tc>
          <w:tcPr>
            <w:tcW w:type="dxa" w:w="1999"/>
            <w:shd w:fill="F8FAFC"/>
            <w:vAlign w:val="center"/>
          </w:tcPr>
          <w:p>
            <w:pPr>
              <w:spacing w:after="0"/>
            </w:pPr>
            <w:r/>
            <w:r>
              <w:rPr>
                <w:rFonts w:ascii="Aptos" w:hAnsi="Aptos"/>
                <w:b w:val="0"/>
                <w:color w:val="374151"/>
                <w:sz w:val="16"/>
              </w:rPr>
              <w:t>0.576*</w:t>
            </w:r>
          </w:p>
        </w:tc>
        <w:tc>
          <w:tcPr>
            <w:tcW w:type="dxa" w:w="1999"/>
            <w:shd w:fill="F8FAFC"/>
            <w:vAlign w:val="center"/>
          </w:tcPr>
          <w:p>
            <w:pPr>
              <w:spacing w:after="0"/>
            </w:pPr>
            <w:r/>
            <w:r>
              <w:rPr>
                <w:rFonts w:ascii="Aptos" w:hAnsi="Aptos"/>
                <w:b w:val="0"/>
                <w:color w:val="374151"/>
                <w:sz w:val="16"/>
              </w:rPr>
              <w:t>Density-based</w:t>
            </w:r>
          </w:p>
        </w:tc>
        <w:tc>
          <w:tcPr>
            <w:tcW w:type="dxa" w:w="1999"/>
            <w:shd w:fill="F8FAFC"/>
            <w:vAlign w:val="center"/>
          </w:tcPr>
          <w:p>
            <w:pPr>
              <w:spacing w:after="0"/>
            </w:pPr>
            <w:r/>
            <w:r>
              <w:rPr>
                <w:rFonts w:ascii="Aptos" w:hAnsi="Aptos"/>
                <w:b w:val="0"/>
                <w:color w:val="374151"/>
                <w:sz w:val="16"/>
              </w:rPr>
              <w:t>2 clusters + 86 noise observations</w:t>
            </w:r>
          </w:p>
        </w:tc>
      </w:tr>
    </w:tbl>
    <w:p>
      <w:pPr>
        <w:spacing w:after="20"/>
      </w:pPr>
    </w:p>
    <w:p>
      <w:pPr>
        <w:jc w:val="center"/>
      </w:pPr>
      <w:r>
        <w:drawing>
          <wp:inline xmlns:a="http://schemas.openxmlformats.org/drawingml/2006/main" xmlns:pic="http://schemas.openxmlformats.org/drawingml/2006/picture">
            <wp:extent cx="5897880" cy="2523512"/>
            <wp:docPr id="6" name="Picture 6"/>
            <wp:cNvGraphicFramePr>
              <a:graphicFrameLocks noChangeAspect="1"/>
            </wp:cNvGraphicFramePr>
            <a:graphic>
              <a:graphicData uri="http://schemas.openxmlformats.org/drawingml/2006/picture">
                <pic:pic>
                  <pic:nvPicPr>
                    <pic:cNvPr id="0" name="slide_15_image_1.png"/>
                    <pic:cNvPicPr/>
                  </pic:nvPicPr>
                  <pic:blipFill>
                    <a:blip r:embed="rId16"/>
                    <a:stretch>
                      <a:fillRect/>
                    </a:stretch>
                  </pic:blipFill>
                  <pic:spPr>
                    <a:xfrm>
                      <a:off x="0" y="0"/>
                      <a:ext cx="5897880" cy="2523512"/>
                    </a:xfrm>
                    <a:prstGeom prst="rect"/>
                  </pic:spPr>
                </pic:pic>
              </a:graphicData>
            </a:graphic>
          </wp:inline>
        </w:drawing>
      </w:r>
    </w:p>
    <w:p>
      <w:pPr>
        <w:pStyle w:val="ReportCaption"/>
        <w:jc w:val="center"/>
      </w:pPr>
      <w:r>
        <w:t>Figure 8. Silhouette Score comparison from the project presentation.</w:t>
      </w:r>
    </w:p>
    <w:p>
      <w:r>
        <w:t>The scores show that the three methods provide complementary segmentation views. DBSCAN's score is highest in the notebook, but it is calculated after excluding noise observations, so it should not be interpreted as a simple one-to-one ranking of model quality. The purpose of the comparison is to understand how different clustering assumptions partition the data.</w:t>
      </w:r>
    </w:p>
    <w:p>
      <w:r>
        <w:br w:type="page"/>
      </w:r>
    </w:p>
    <w:p>
      <w:pPr>
        <w:pStyle w:val="Heading1"/>
      </w:pPr>
      <w:r>
        <w:t>15. Statistical Validation — ANOVA</w:t>
      </w:r>
    </w:p>
    <w:p>
      <w:r>
        <w:t>A one-way ANOVA test is performed on Close price across the two K-Means clusters. The hypotheses are:</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Hypothesis</w:t>
            </w:r>
          </w:p>
        </w:tc>
        <w:tc>
          <w:tcPr>
            <w:tcW w:type="dxa" w:w="4997"/>
            <w:shd w:fill="15253D"/>
            <w:vAlign w:val="center"/>
          </w:tcPr>
          <w:p>
            <w:pPr>
              <w:spacing w:after="0"/>
            </w:pPr>
            <w:r/>
            <w:r>
              <w:rPr>
                <w:rFonts w:ascii="Aptos" w:hAnsi="Aptos"/>
                <w:b/>
                <w:color w:val="FFFFFF"/>
                <w:sz w:val="18"/>
              </w:rPr>
              <w:t>Statement</w:t>
            </w:r>
          </w:p>
        </w:tc>
      </w:tr>
      <w:tr>
        <w:tc>
          <w:tcPr>
            <w:tcW w:type="dxa" w:w="4997"/>
            <w:shd w:fill="F8FAFC"/>
            <w:vAlign w:val="center"/>
          </w:tcPr>
          <w:p>
            <w:pPr>
              <w:spacing w:after="0"/>
            </w:pPr>
            <w:r/>
            <w:r>
              <w:rPr>
                <w:rFonts w:ascii="Aptos" w:hAnsi="Aptos"/>
                <w:b w:val="0"/>
                <w:color w:val="374151"/>
                <w:sz w:val="18"/>
              </w:rPr>
              <w:t>H0</w:t>
            </w:r>
          </w:p>
        </w:tc>
        <w:tc>
          <w:tcPr>
            <w:tcW w:type="dxa" w:w="4997"/>
            <w:shd w:fill="F8FAFC"/>
            <w:vAlign w:val="center"/>
          </w:tcPr>
          <w:p>
            <w:pPr>
              <w:spacing w:after="0"/>
            </w:pPr>
            <w:r/>
            <w:r>
              <w:rPr>
                <w:rFonts w:ascii="Aptos" w:hAnsi="Aptos"/>
                <w:b w:val="0"/>
                <w:color w:val="374151"/>
                <w:sz w:val="18"/>
              </w:rPr>
              <w:t>Mean Close price is equal across K-Means clusters.</w:t>
            </w:r>
          </w:p>
        </w:tc>
      </w:tr>
      <w:tr>
        <w:tc>
          <w:tcPr>
            <w:tcW w:type="dxa" w:w="4997"/>
            <w:shd w:fill="FFFFFF"/>
            <w:vAlign w:val="center"/>
          </w:tcPr>
          <w:p>
            <w:pPr>
              <w:spacing w:after="0"/>
            </w:pPr>
            <w:r/>
            <w:r>
              <w:rPr>
                <w:rFonts w:ascii="Aptos" w:hAnsi="Aptos"/>
                <w:b w:val="0"/>
                <w:color w:val="374151"/>
                <w:sz w:val="18"/>
              </w:rPr>
              <w:t>H1</w:t>
            </w:r>
          </w:p>
        </w:tc>
        <w:tc>
          <w:tcPr>
            <w:tcW w:type="dxa" w:w="4997"/>
            <w:shd w:fill="FFFFFF"/>
            <w:vAlign w:val="center"/>
          </w:tcPr>
          <w:p>
            <w:pPr>
              <w:spacing w:after="0"/>
            </w:pPr>
            <w:r/>
            <w:r>
              <w:rPr>
                <w:rFonts w:ascii="Aptos" w:hAnsi="Aptos"/>
                <w:b w:val="0"/>
                <w:color w:val="374151"/>
                <w:sz w:val="18"/>
              </w:rPr>
              <w:t>At least one cluster has a different mean Close price.</w:t>
            </w:r>
          </w:p>
        </w:tc>
      </w:tr>
    </w:tbl>
    <w:p>
      <w:pPr>
        <w:spacing w:after="20"/>
      </w:pP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Statistic</w:t>
            </w:r>
          </w:p>
        </w:tc>
        <w:tc>
          <w:tcPr>
            <w:tcW w:type="dxa" w:w="4997"/>
            <w:shd w:fill="15253D"/>
            <w:vAlign w:val="center"/>
          </w:tcPr>
          <w:p>
            <w:pPr>
              <w:spacing w:after="0"/>
            </w:pPr>
            <w:r/>
            <w:r>
              <w:rPr>
                <w:rFonts w:ascii="Aptos" w:hAnsi="Aptos"/>
                <w:b/>
                <w:color w:val="FFFFFF"/>
                <w:sz w:val="18"/>
              </w:rPr>
              <w:t>Value</w:t>
            </w:r>
          </w:p>
        </w:tc>
      </w:tr>
      <w:tr>
        <w:tc>
          <w:tcPr>
            <w:tcW w:type="dxa" w:w="4997"/>
            <w:shd w:fill="F8FAFC"/>
            <w:vAlign w:val="center"/>
          </w:tcPr>
          <w:p>
            <w:pPr>
              <w:spacing w:after="0"/>
            </w:pPr>
            <w:r/>
            <w:r>
              <w:rPr>
                <w:rFonts w:ascii="Aptos" w:hAnsi="Aptos"/>
                <w:b w:val="0"/>
                <w:color w:val="374151"/>
                <w:sz w:val="18"/>
              </w:rPr>
              <w:t>F-statistic</w:t>
            </w:r>
          </w:p>
        </w:tc>
        <w:tc>
          <w:tcPr>
            <w:tcW w:type="dxa" w:w="4997"/>
            <w:shd w:fill="F8FAFC"/>
            <w:vAlign w:val="center"/>
          </w:tcPr>
          <w:p>
            <w:pPr>
              <w:spacing w:after="0"/>
            </w:pPr>
            <w:r/>
            <w:r>
              <w:rPr>
                <w:rFonts w:ascii="Aptos" w:hAnsi="Aptos"/>
                <w:b w:val="0"/>
                <w:color w:val="374151"/>
                <w:sz w:val="18"/>
              </w:rPr>
              <w:t>12,947.665</w:t>
            </w:r>
          </w:p>
        </w:tc>
      </w:tr>
      <w:tr>
        <w:tc>
          <w:tcPr>
            <w:tcW w:type="dxa" w:w="4997"/>
            <w:shd w:fill="FFFFFF"/>
            <w:vAlign w:val="center"/>
          </w:tcPr>
          <w:p>
            <w:pPr>
              <w:spacing w:after="0"/>
            </w:pPr>
            <w:r/>
            <w:r>
              <w:rPr>
                <w:rFonts w:ascii="Aptos" w:hAnsi="Aptos"/>
                <w:b w:val="0"/>
                <w:color w:val="374151"/>
                <w:sz w:val="18"/>
              </w:rPr>
              <w:t>p-value</w:t>
            </w:r>
          </w:p>
        </w:tc>
        <w:tc>
          <w:tcPr>
            <w:tcW w:type="dxa" w:w="4997"/>
            <w:shd w:fill="FFFFFF"/>
            <w:vAlign w:val="center"/>
          </w:tcPr>
          <w:p>
            <w:pPr>
              <w:spacing w:after="0"/>
            </w:pPr>
            <w:r/>
            <w:r>
              <w:rPr>
                <w:rFonts w:ascii="Aptos" w:hAnsi="Aptos"/>
                <w:b w:val="0"/>
                <w:color w:val="374151"/>
                <w:sz w:val="18"/>
              </w:rPr>
              <w:t>&lt; 0.001 (reported as 0.000000 in notebook output)</w:t>
            </w:r>
          </w:p>
        </w:tc>
      </w:tr>
      <w:tr>
        <w:tc>
          <w:tcPr>
            <w:tcW w:type="dxa" w:w="4997"/>
            <w:shd w:fill="F8FAFC"/>
            <w:vAlign w:val="center"/>
          </w:tcPr>
          <w:p>
            <w:pPr>
              <w:spacing w:after="0"/>
            </w:pPr>
            <w:r/>
            <w:r>
              <w:rPr>
                <w:rFonts w:ascii="Aptos" w:hAnsi="Aptos"/>
                <w:b w:val="0"/>
                <w:color w:val="374151"/>
                <w:sz w:val="18"/>
              </w:rPr>
              <w:t>Significance level</w:t>
            </w:r>
          </w:p>
        </w:tc>
        <w:tc>
          <w:tcPr>
            <w:tcW w:type="dxa" w:w="4997"/>
            <w:shd w:fill="F8FAFC"/>
            <w:vAlign w:val="center"/>
          </w:tcPr>
          <w:p>
            <w:pPr>
              <w:spacing w:after="0"/>
            </w:pPr>
            <w:r/>
            <w:r>
              <w:rPr>
                <w:rFonts w:ascii="Aptos" w:hAnsi="Aptos"/>
                <w:b w:val="0"/>
                <w:color w:val="374151"/>
                <w:sz w:val="18"/>
              </w:rPr>
              <w:t>α = 0.05</w:t>
            </w:r>
          </w:p>
        </w:tc>
      </w:tr>
      <w:tr>
        <w:tc>
          <w:tcPr>
            <w:tcW w:type="dxa" w:w="4997"/>
            <w:shd w:fill="FFFFFF"/>
            <w:vAlign w:val="center"/>
          </w:tcPr>
          <w:p>
            <w:pPr>
              <w:spacing w:after="0"/>
            </w:pPr>
            <w:r/>
            <w:r>
              <w:rPr>
                <w:rFonts w:ascii="Aptos" w:hAnsi="Aptos"/>
                <w:b w:val="0"/>
                <w:color w:val="374151"/>
                <w:sz w:val="18"/>
              </w:rPr>
              <w:t>Decision</w:t>
            </w:r>
          </w:p>
        </w:tc>
        <w:tc>
          <w:tcPr>
            <w:tcW w:type="dxa" w:w="4997"/>
            <w:shd w:fill="FFFFFF"/>
            <w:vAlign w:val="center"/>
          </w:tcPr>
          <w:p>
            <w:pPr>
              <w:spacing w:after="0"/>
            </w:pPr>
            <w:r/>
            <w:r>
              <w:rPr>
                <w:rFonts w:ascii="Aptos" w:hAnsi="Aptos"/>
                <w:b w:val="0"/>
                <w:color w:val="374151"/>
                <w:sz w:val="18"/>
              </w:rPr>
              <w:t>Reject H0</w:t>
            </w:r>
          </w:p>
        </w:tc>
      </w:tr>
    </w:tbl>
    <w:p>
      <w:pPr>
        <w:spacing w:after="20"/>
      </w:pPr>
    </w:p>
    <w:p>
      <w:r>
        <w:t>The extremely small p-value provides evidence that the mean Close price differs between the K-Means clusters for this dataset. The test supports the observation that the clusters are materially different in Close price.</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Statistical interpretation</w:t>
              <w:br/>
            </w:r>
            <w:r>
              <w:rPr>
                <w:rFonts w:ascii="Aptos" w:hAnsi="Aptos"/>
                <w:color w:val="374151"/>
                <w:sz w:val="19"/>
              </w:rPr>
              <w:t>ANOVA establishes evidence of a difference in group means; it does not establish causality and does not by itself explain why the clusters formed.</w:t>
            </w:r>
          </w:p>
        </w:tc>
      </w:tr>
    </w:tbl>
    <w:p>
      <w:pPr>
        <w:spacing w:after="20"/>
      </w:pPr>
    </w:p>
    <w:p>
      <w:r>
        <w:br w:type="page"/>
      </w:r>
    </w:p>
    <w:p>
      <w:pPr>
        <w:pStyle w:val="Heading1"/>
      </w:pPr>
      <w:r>
        <w:t>16. Cluster Summary &amp; Interpretation</w:t>
      </w:r>
    </w:p>
    <w:p>
      <w:r>
        <w:t>The final cluster summary combines the number of observations with central tendency and activity measures. This makes the unsupervised output easier to interpret as descriptive historical regimes.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5253D"/>
            <w:vAlign w:val="center"/>
          </w:tcPr>
          <w:p>
            <w:pPr>
              <w:spacing w:after="0"/>
            </w:pPr>
            <w:r/>
            <w:r>
              <w:rPr>
                <w:rFonts w:ascii="Aptos" w:hAnsi="Aptos"/>
                <w:b/>
                <w:color w:val="FFFFFF"/>
                <w:sz w:val="17"/>
              </w:rPr>
              <w:t>Metric</w:t>
            </w:r>
          </w:p>
        </w:tc>
        <w:tc>
          <w:tcPr>
            <w:tcW w:type="dxa" w:w="3331"/>
            <w:shd w:fill="15253D"/>
            <w:vAlign w:val="center"/>
          </w:tcPr>
          <w:p>
            <w:pPr>
              <w:spacing w:after="0"/>
            </w:pPr>
            <w:r/>
            <w:r>
              <w:rPr>
                <w:rFonts w:ascii="Aptos" w:hAnsi="Aptos"/>
                <w:b/>
                <w:color w:val="FFFFFF"/>
                <w:sz w:val="17"/>
              </w:rPr>
              <w:t>Cluster 0</w:t>
            </w:r>
          </w:p>
        </w:tc>
        <w:tc>
          <w:tcPr>
            <w:tcW w:type="dxa" w:w="3331"/>
            <w:shd w:fill="15253D"/>
            <w:vAlign w:val="center"/>
          </w:tcPr>
          <w:p>
            <w:pPr>
              <w:spacing w:after="0"/>
            </w:pPr>
            <w:r/>
            <w:r>
              <w:rPr>
                <w:rFonts w:ascii="Aptos" w:hAnsi="Aptos"/>
                <w:b/>
                <w:color w:val="FFFFFF"/>
                <w:sz w:val="17"/>
              </w:rPr>
              <w:t>Cluster 1</w:t>
            </w:r>
          </w:p>
        </w:tc>
      </w:tr>
      <w:tr>
        <w:tc>
          <w:tcPr>
            <w:tcW w:type="dxa" w:w="3331"/>
            <w:shd w:fill="F8FAFC"/>
            <w:vAlign w:val="center"/>
          </w:tcPr>
          <w:p>
            <w:pPr>
              <w:spacing w:after="0"/>
            </w:pPr>
            <w:r/>
            <w:r>
              <w:rPr>
                <w:rFonts w:ascii="Aptos" w:hAnsi="Aptos"/>
                <w:b w:val="0"/>
                <w:color w:val="374151"/>
                <w:sz w:val="17"/>
              </w:rPr>
              <w:t>Records</w:t>
            </w:r>
          </w:p>
        </w:tc>
        <w:tc>
          <w:tcPr>
            <w:tcW w:type="dxa" w:w="3331"/>
            <w:shd w:fill="F8FAFC"/>
            <w:vAlign w:val="center"/>
          </w:tcPr>
          <w:p>
            <w:pPr>
              <w:spacing w:after="0"/>
            </w:pPr>
            <w:r/>
            <w:r>
              <w:rPr>
                <w:rFonts w:ascii="Aptos" w:hAnsi="Aptos"/>
                <w:b w:val="0"/>
                <w:color w:val="374151"/>
                <w:sz w:val="17"/>
              </w:rPr>
              <w:t>2,454</w:t>
            </w:r>
          </w:p>
        </w:tc>
        <w:tc>
          <w:tcPr>
            <w:tcW w:type="dxa" w:w="3331"/>
            <w:shd w:fill="F8FAFC"/>
            <w:vAlign w:val="center"/>
          </w:tcPr>
          <w:p>
            <w:pPr>
              <w:spacing w:after="0"/>
            </w:pPr>
            <w:r/>
            <w:r>
              <w:rPr>
                <w:rFonts w:ascii="Aptos" w:hAnsi="Aptos"/>
                <w:b w:val="0"/>
                <w:color w:val="374151"/>
                <w:sz w:val="17"/>
              </w:rPr>
              <w:t>593</w:t>
            </w:r>
          </w:p>
        </w:tc>
      </w:tr>
      <w:tr>
        <w:tc>
          <w:tcPr>
            <w:tcW w:type="dxa" w:w="3331"/>
            <w:shd w:fill="FFFFFF"/>
            <w:vAlign w:val="center"/>
          </w:tcPr>
          <w:p>
            <w:pPr>
              <w:spacing w:after="0"/>
            </w:pPr>
            <w:r/>
            <w:r>
              <w:rPr>
                <w:rFonts w:ascii="Aptos" w:hAnsi="Aptos"/>
                <w:b w:val="0"/>
                <w:color w:val="374151"/>
                <w:sz w:val="17"/>
              </w:rPr>
              <w:t>Average Close</w:t>
            </w:r>
          </w:p>
        </w:tc>
        <w:tc>
          <w:tcPr>
            <w:tcW w:type="dxa" w:w="3331"/>
            <w:shd w:fill="FFFFFF"/>
            <w:vAlign w:val="center"/>
          </w:tcPr>
          <w:p>
            <w:pPr>
              <w:spacing w:after="0"/>
            </w:pPr>
            <w:r/>
            <w:r>
              <w:rPr>
                <w:rFonts w:ascii="Aptos" w:hAnsi="Aptos"/>
                <w:b w:val="0"/>
                <w:color w:val="374151"/>
                <w:sz w:val="17"/>
              </w:rPr>
              <w:t>14.389</w:t>
            </w:r>
          </w:p>
        </w:tc>
        <w:tc>
          <w:tcPr>
            <w:tcW w:type="dxa" w:w="3331"/>
            <w:shd w:fill="FFFFFF"/>
            <w:vAlign w:val="center"/>
          </w:tcPr>
          <w:p>
            <w:pPr>
              <w:spacing w:after="0"/>
            </w:pPr>
            <w:r/>
            <w:r>
              <w:rPr>
                <w:rFonts w:ascii="Aptos" w:hAnsi="Aptos"/>
                <w:b w:val="0"/>
                <w:color w:val="374151"/>
                <w:sz w:val="17"/>
              </w:rPr>
              <w:t>228.346</w:t>
            </w:r>
          </w:p>
        </w:tc>
      </w:tr>
      <w:tr>
        <w:tc>
          <w:tcPr>
            <w:tcW w:type="dxa" w:w="3331"/>
            <w:shd w:fill="F8FAFC"/>
            <w:vAlign w:val="center"/>
          </w:tcPr>
          <w:p>
            <w:pPr>
              <w:spacing w:after="0"/>
            </w:pPr>
            <w:r/>
            <w:r>
              <w:rPr>
                <w:rFonts w:ascii="Aptos" w:hAnsi="Aptos"/>
                <w:b w:val="0"/>
                <w:color w:val="374151"/>
                <w:sz w:val="17"/>
              </w:rPr>
              <w:t>Median Close</w:t>
            </w:r>
          </w:p>
        </w:tc>
        <w:tc>
          <w:tcPr>
            <w:tcW w:type="dxa" w:w="3331"/>
            <w:shd w:fill="F8FAFC"/>
            <w:vAlign w:val="center"/>
          </w:tcPr>
          <w:p>
            <w:pPr>
              <w:spacing w:after="0"/>
            </w:pPr>
            <w:r/>
            <w:r>
              <w:rPr>
                <w:rFonts w:ascii="Aptos" w:hAnsi="Aptos"/>
                <w:b w:val="0"/>
                <w:color w:val="374151"/>
                <w:sz w:val="17"/>
              </w:rPr>
              <w:t>14.521</w:t>
            </w:r>
          </w:p>
        </w:tc>
        <w:tc>
          <w:tcPr>
            <w:tcW w:type="dxa" w:w="3331"/>
            <w:shd w:fill="F8FAFC"/>
            <w:vAlign w:val="center"/>
          </w:tcPr>
          <w:p>
            <w:pPr>
              <w:spacing w:after="0"/>
            </w:pPr>
            <w:r/>
            <w:r>
              <w:rPr>
                <w:rFonts w:ascii="Aptos" w:hAnsi="Aptos"/>
                <w:b w:val="0"/>
                <w:color w:val="374151"/>
                <w:sz w:val="17"/>
              </w:rPr>
              <w:t>236.603</w:t>
            </w:r>
          </w:p>
        </w:tc>
      </w:tr>
      <w:tr>
        <w:tc>
          <w:tcPr>
            <w:tcW w:type="dxa" w:w="3331"/>
            <w:shd w:fill="FFFFFF"/>
            <w:vAlign w:val="center"/>
          </w:tcPr>
          <w:p>
            <w:pPr>
              <w:spacing w:after="0"/>
            </w:pPr>
            <w:r/>
            <w:r>
              <w:rPr>
                <w:rFonts w:ascii="Aptos" w:hAnsi="Aptos"/>
                <w:b w:val="0"/>
                <w:color w:val="374151"/>
                <w:sz w:val="17"/>
              </w:rPr>
              <w:t>Average Price Change</w:t>
            </w:r>
          </w:p>
        </w:tc>
        <w:tc>
          <w:tcPr>
            <w:tcW w:type="dxa" w:w="3331"/>
            <w:shd w:fill="FFFFFF"/>
            <w:vAlign w:val="center"/>
          </w:tcPr>
          <w:p>
            <w:pPr>
              <w:spacing w:after="0"/>
            </w:pPr>
            <w:r/>
            <w:r>
              <w:rPr>
                <w:rFonts w:ascii="Aptos" w:hAnsi="Aptos"/>
                <w:b w:val="0"/>
                <w:color w:val="374151"/>
                <w:sz w:val="17"/>
              </w:rPr>
              <w:t>0.0244</w:t>
            </w:r>
          </w:p>
        </w:tc>
        <w:tc>
          <w:tcPr>
            <w:tcW w:type="dxa" w:w="3331"/>
            <w:shd w:fill="FFFFFF"/>
            <w:vAlign w:val="center"/>
          </w:tcPr>
          <w:p>
            <w:pPr>
              <w:spacing w:after="0"/>
            </w:pPr>
            <w:r/>
            <w:r>
              <w:rPr>
                <w:rFonts w:ascii="Aptos" w:hAnsi="Aptos"/>
                <w:b w:val="0"/>
                <w:color w:val="374151"/>
                <w:sz w:val="17"/>
              </w:rPr>
              <w:t>0.4182</w:t>
            </w:r>
          </w:p>
        </w:tc>
      </w:tr>
      <w:tr>
        <w:tc>
          <w:tcPr>
            <w:tcW w:type="dxa" w:w="3331"/>
            <w:shd w:fill="F8FAFC"/>
            <w:vAlign w:val="center"/>
          </w:tcPr>
          <w:p>
            <w:pPr>
              <w:spacing w:after="0"/>
            </w:pPr>
            <w:r/>
            <w:r>
              <w:rPr>
                <w:rFonts w:ascii="Aptos" w:hAnsi="Aptos"/>
                <w:b w:val="0"/>
                <w:color w:val="374151"/>
                <w:sz w:val="17"/>
              </w:rPr>
              <w:t>Average Price Range</w:t>
            </w:r>
          </w:p>
        </w:tc>
        <w:tc>
          <w:tcPr>
            <w:tcW w:type="dxa" w:w="3331"/>
            <w:shd w:fill="F8FAFC"/>
            <w:vAlign w:val="center"/>
          </w:tcPr>
          <w:p>
            <w:pPr>
              <w:spacing w:after="0"/>
            </w:pPr>
            <w:r/>
            <w:r>
              <w:rPr>
                <w:rFonts w:ascii="Aptos" w:hAnsi="Aptos"/>
                <w:b w:val="0"/>
                <w:color w:val="374151"/>
                <w:sz w:val="17"/>
              </w:rPr>
              <w:t>0.5107</w:t>
            </w:r>
          </w:p>
        </w:tc>
        <w:tc>
          <w:tcPr>
            <w:tcW w:type="dxa" w:w="3331"/>
            <w:shd w:fill="F8FAFC"/>
            <w:vAlign w:val="center"/>
          </w:tcPr>
          <w:p>
            <w:pPr>
              <w:spacing w:after="0"/>
            </w:pPr>
            <w:r/>
            <w:r>
              <w:rPr>
                <w:rFonts w:ascii="Aptos" w:hAnsi="Aptos"/>
                <w:b w:val="0"/>
                <w:color w:val="374151"/>
                <w:sz w:val="17"/>
              </w:rPr>
              <w:t>11.3034</w:t>
            </w:r>
          </w:p>
        </w:tc>
      </w:tr>
      <w:tr>
        <w:tc>
          <w:tcPr>
            <w:tcW w:type="dxa" w:w="3331"/>
            <w:shd w:fill="FFFFFF"/>
            <w:vAlign w:val="center"/>
          </w:tcPr>
          <w:p>
            <w:pPr>
              <w:spacing w:after="0"/>
            </w:pPr>
            <w:r/>
            <w:r>
              <w:rPr>
                <w:rFonts w:ascii="Aptos" w:hAnsi="Aptos"/>
                <w:b w:val="0"/>
                <w:color w:val="374151"/>
                <w:sz w:val="17"/>
              </w:rPr>
              <w:t>Average Pct Change</w:t>
            </w:r>
          </w:p>
        </w:tc>
        <w:tc>
          <w:tcPr>
            <w:tcW w:type="dxa" w:w="3331"/>
            <w:shd w:fill="FFFFFF"/>
            <w:vAlign w:val="center"/>
          </w:tcPr>
          <w:p>
            <w:pPr>
              <w:spacing w:after="0"/>
            </w:pPr>
            <w:r/>
            <w:r>
              <w:rPr>
                <w:rFonts w:ascii="Aptos" w:hAnsi="Aptos"/>
                <w:b w:val="0"/>
                <w:color w:val="374151"/>
                <w:sz w:val="17"/>
              </w:rPr>
              <w:t>0.2105%</w:t>
            </w:r>
          </w:p>
        </w:tc>
        <w:tc>
          <w:tcPr>
            <w:tcW w:type="dxa" w:w="3331"/>
            <w:shd w:fill="FFFFFF"/>
            <w:vAlign w:val="center"/>
          </w:tcPr>
          <w:p>
            <w:pPr>
              <w:spacing w:after="0"/>
            </w:pPr>
            <w:r/>
            <w:r>
              <w:rPr>
                <w:rFonts w:ascii="Aptos" w:hAnsi="Aptos"/>
                <w:b w:val="0"/>
                <w:color w:val="374151"/>
                <w:sz w:val="17"/>
              </w:rPr>
              <w:t>0.3881%</w:t>
            </w:r>
          </w:p>
        </w:tc>
      </w:tr>
      <w:tr>
        <w:tc>
          <w:tcPr>
            <w:tcW w:type="dxa" w:w="3331"/>
            <w:shd w:fill="F8FAFC"/>
            <w:vAlign w:val="center"/>
          </w:tcPr>
          <w:p>
            <w:pPr>
              <w:spacing w:after="0"/>
            </w:pPr>
            <w:r/>
            <w:r>
              <w:rPr>
                <w:rFonts w:ascii="Aptos" w:hAnsi="Aptos"/>
                <w:b w:val="0"/>
                <w:color w:val="374151"/>
                <w:sz w:val="17"/>
              </w:rPr>
              <w:t>Average Volatility</w:t>
            </w:r>
          </w:p>
        </w:tc>
        <w:tc>
          <w:tcPr>
            <w:tcW w:type="dxa" w:w="3331"/>
            <w:shd w:fill="F8FAFC"/>
            <w:vAlign w:val="center"/>
          </w:tcPr>
          <w:p>
            <w:pPr>
              <w:spacing w:after="0"/>
            </w:pPr>
            <w:r/>
            <w:r>
              <w:rPr>
                <w:rFonts w:ascii="Aptos" w:hAnsi="Aptos"/>
                <w:b w:val="0"/>
                <w:color w:val="374151"/>
                <w:sz w:val="17"/>
              </w:rPr>
              <w:t>3.0884</w:t>
            </w:r>
          </w:p>
        </w:tc>
        <w:tc>
          <w:tcPr>
            <w:tcW w:type="dxa" w:w="3331"/>
            <w:shd w:fill="F8FAFC"/>
            <w:vAlign w:val="center"/>
          </w:tcPr>
          <w:p>
            <w:pPr>
              <w:spacing w:after="0"/>
            </w:pPr>
            <w:r/>
            <w:r>
              <w:rPr>
                <w:rFonts w:ascii="Aptos" w:hAnsi="Aptos"/>
                <w:b w:val="0"/>
                <w:color w:val="374151"/>
                <w:sz w:val="17"/>
              </w:rPr>
              <w:t>4.2813</w:t>
            </w:r>
          </w:p>
        </w:tc>
      </w:tr>
      <w:tr>
        <w:tc>
          <w:tcPr>
            <w:tcW w:type="dxa" w:w="3331"/>
            <w:shd w:fill="FFFFFF"/>
            <w:vAlign w:val="center"/>
          </w:tcPr>
          <w:p>
            <w:pPr>
              <w:spacing w:after="0"/>
            </w:pPr>
            <w:r/>
            <w:r>
              <w:rPr>
                <w:rFonts w:ascii="Aptos" w:hAnsi="Aptos"/>
                <w:b w:val="0"/>
                <w:color w:val="374151"/>
                <w:sz w:val="17"/>
              </w:rPr>
              <w:t>Average Volume</w:t>
            </w:r>
          </w:p>
        </w:tc>
        <w:tc>
          <w:tcPr>
            <w:tcW w:type="dxa" w:w="3331"/>
            <w:shd w:fill="FFFFFF"/>
            <w:vAlign w:val="center"/>
          </w:tcPr>
          <w:p>
            <w:pPr>
              <w:spacing w:after="0"/>
            </w:pPr>
            <w:r/>
            <w:r>
              <w:rPr>
                <w:rFonts w:ascii="Aptos" w:hAnsi="Aptos"/>
                <w:b w:val="0"/>
                <w:color w:val="374151"/>
                <w:sz w:val="17"/>
              </w:rPr>
              <w:t>85.90M</w:t>
            </w:r>
          </w:p>
        </w:tc>
        <w:tc>
          <w:tcPr>
            <w:tcW w:type="dxa" w:w="3331"/>
            <w:shd w:fill="FFFFFF"/>
            <w:vAlign w:val="center"/>
          </w:tcPr>
          <w:p>
            <w:pPr>
              <w:spacing w:after="0"/>
            </w:pPr>
            <w:r/>
            <w:r>
              <w:rPr>
                <w:rFonts w:ascii="Aptos" w:hAnsi="Aptos"/>
                <w:b w:val="0"/>
                <w:color w:val="374151"/>
                <w:sz w:val="17"/>
              </w:rPr>
              <w:t>126.95M</w:t>
            </w:r>
          </w:p>
        </w:tc>
      </w:tr>
    </w:tbl>
    <w:p>
      <w:pPr>
        <w:spacing w:after="20"/>
      </w:pPr>
    </w:p>
    <w:p>
      <w:pPr>
        <w:pStyle w:val="Heading2"/>
      </w:pPr>
      <w:r>
        <w:t>16.1 Regime-Level Interpretation</w:t>
      </w:r>
    </w:p>
    <w:p>
      <w:pPr>
        <w:pStyle w:val="ListBullet"/>
        <w:spacing w:after="40"/>
        <w:ind w:left="259"/>
      </w:pPr>
      <w:r>
        <w:rPr>
          <w:rFonts w:ascii="Aptos" w:hAnsi="Aptos"/>
          <w:color w:val="374151"/>
          <w:sz w:val="20"/>
        </w:rPr>
        <w:t>Cluster 0 is characterized by lower average Close, smaller absolute daily movement and a much smaller intraday range.</w:t>
      </w:r>
    </w:p>
    <w:p>
      <w:pPr>
        <w:pStyle w:val="ListBullet"/>
        <w:spacing w:after="40"/>
        <w:ind w:left="259"/>
      </w:pPr>
      <w:r>
        <w:rPr>
          <w:rFonts w:ascii="Aptos" w:hAnsi="Aptos"/>
          <w:color w:val="374151"/>
          <w:sz w:val="20"/>
        </w:rPr>
        <w:t>Cluster 1 is characterized by higher average Close, larger price movement, wider daily range, higher volatility and higher average trading volume.</w:t>
      </w:r>
    </w:p>
    <w:p>
      <w:pPr>
        <w:pStyle w:val="ListBullet"/>
        <w:spacing w:after="40"/>
        <w:ind w:left="259"/>
      </w:pPr>
      <w:r>
        <w:rPr>
          <w:rFonts w:ascii="Aptos" w:hAnsi="Aptos"/>
          <w:color w:val="374151"/>
          <w:sz w:val="20"/>
        </w:rPr>
        <w:t>The cluster distinction is therefore multidimensional: it is not solely a division by closing price.</w:t>
      </w:r>
    </w:p>
    <w:p>
      <w:pPr>
        <w:pStyle w:val="ListBullet"/>
        <w:spacing w:after="40"/>
        <w:ind w:left="259"/>
      </w:pPr>
      <w:r>
        <w:rPr>
          <w:rFonts w:ascii="Aptos" w:hAnsi="Aptos"/>
          <w:color w:val="374151"/>
          <w:sz w:val="20"/>
        </w:rPr>
        <w:t>The historical time plot shows that cluster membership is associated with different periods of the Tesla price history.</w:t>
      </w:r>
    </w:p>
    <w:p>
      <w:r>
        <w:br w:type="page"/>
      </w:r>
    </w:p>
    <w:p>
      <w:pPr>
        <w:pStyle w:val="Heading1"/>
      </w:pPr>
      <w:r>
        <w:t>17. Findings, Recommendations &amp; Business Interpretation</w:t>
      </w:r>
    </w:p>
    <w:p>
      <w:pPr>
        <w:pStyle w:val="Heading2"/>
      </w:pPr>
      <w:r>
        <w:t>17.1 Key Findings</w:t>
      </w:r>
    </w:p>
    <w:p>
      <w:pPr>
        <w:pStyle w:val="ListBullet"/>
        <w:spacing w:after="40"/>
        <w:ind w:left="259"/>
      </w:pPr>
      <w:r>
        <w:rPr>
          <w:rFonts w:ascii="Aptos" w:hAnsi="Aptos"/>
          <w:color w:val="374151"/>
          <w:sz w:val="20"/>
        </w:rPr>
        <w:t>The Tesla series changes scale substantially over the sample, so feature scaling is essential for distance- and density-based methods.</w:t>
      </w:r>
    </w:p>
    <w:p>
      <w:pPr>
        <w:pStyle w:val="ListBullet"/>
        <w:spacing w:after="40"/>
        <w:ind w:left="259"/>
      </w:pPr>
      <w:r>
        <w:rPr>
          <w:rFonts w:ascii="Aptos" w:hAnsi="Aptos"/>
          <w:color w:val="374151"/>
          <w:sz w:val="20"/>
        </w:rPr>
        <w:t>The engineered features add short-term market context beyond raw OHLCV variables.</w:t>
      </w:r>
    </w:p>
    <w:p>
      <w:pPr>
        <w:pStyle w:val="ListBullet"/>
        <w:spacing w:after="40"/>
        <w:ind w:left="259"/>
      </w:pPr>
      <w:r>
        <w:rPr>
          <w:rFonts w:ascii="Aptos" w:hAnsi="Aptos"/>
          <w:color w:val="374151"/>
          <w:sz w:val="20"/>
        </w:rPr>
        <w:t>The closing-price distribution is positively skewed, and Volume is the most strongly skewed variable among those tested.</w:t>
      </w:r>
    </w:p>
    <w:p>
      <w:pPr>
        <w:pStyle w:val="ListBullet"/>
        <w:spacing w:after="40"/>
        <w:ind w:left="259"/>
      </w:pPr>
      <w:r>
        <w:rPr>
          <w:rFonts w:ascii="Aptos" w:hAnsi="Aptos"/>
          <w:color w:val="374151"/>
          <w:sz w:val="20"/>
        </w:rPr>
        <w:t>K-Means selects two clusters based on the highest tested Silhouette Score.</w:t>
      </w:r>
    </w:p>
    <w:p>
      <w:pPr>
        <w:pStyle w:val="ListBullet"/>
        <w:spacing w:after="40"/>
        <w:ind w:left="259"/>
      </w:pPr>
      <w:r>
        <w:rPr>
          <w:rFonts w:ascii="Aptos" w:hAnsi="Aptos"/>
          <w:color w:val="374151"/>
          <w:sz w:val="20"/>
        </w:rPr>
        <w:t>The two K-Means clusters differ strongly in Close price and also differ in range, volatility and volume.</w:t>
      </w:r>
    </w:p>
    <w:p>
      <w:pPr>
        <w:pStyle w:val="ListBullet"/>
        <w:spacing w:after="40"/>
        <w:ind w:left="259"/>
      </w:pPr>
      <w:r>
        <w:rPr>
          <w:rFonts w:ascii="Aptos" w:hAnsi="Aptos"/>
          <w:color w:val="374151"/>
          <w:sz w:val="20"/>
        </w:rPr>
        <w:t>GMM provides a probabilistic alternative with a Silhouette Score of 0.465.</w:t>
      </w:r>
    </w:p>
    <w:p>
      <w:pPr>
        <w:pStyle w:val="ListBullet"/>
        <w:spacing w:after="40"/>
        <w:ind w:left="259"/>
      </w:pPr>
      <w:r>
        <w:rPr>
          <w:rFonts w:ascii="Aptos" w:hAnsi="Aptos"/>
          <w:color w:val="374151"/>
          <w:sz w:val="20"/>
        </w:rPr>
        <w:t>DBSCAN identifies 86 low-density observations and provides a density-based segmentation with a non-noise Silhouette Score of 0.576.</w:t>
      </w:r>
    </w:p>
    <w:p>
      <w:pPr>
        <w:pStyle w:val="ListBullet"/>
        <w:spacing w:after="40"/>
        <w:ind w:left="259"/>
      </w:pPr>
      <w:r>
        <w:rPr>
          <w:rFonts w:ascii="Aptos" w:hAnsi="Aptos"/>
          <w:color w:val="374151"/>
          <w:sz w:val="20"/>
        </w:rPr>
        <w:t>ANOVA provides statistical evidence that mean Close differs across the K-Means clusters.</w:t>
      </w:r>
    </w:p>
    <w:p>
      <w:pPr>
        <w:pStyle w:val="Heading2"/>
      </w:pPr>
      <w:r>
        <w:t>17.2 Practical Recommendations</w:t>
      </w:r>
    </w:p>
    <w:p>
      <w:pPr>
        <w:pStyle w:val="ListBullet"/>
        <w:spacing w:after="40"/>
        <w:ind w:left="259"/>
      </w:pPr>
      <w:r>
        <w:rPr>
          <w:rFonts w:ascii="Aptos" w:hAnsi="Aptos"/>
          <w:color w:val="374151"/>
          <w:sz w:val="20"/>
        </w:rPr>
        <w:t>Use cluster labels as descriptive historical-regime indicators rather than as guaranteed future trading signals.</w:t>
      </w:r>
    </w:p>
    <w:p>
      <w:pPr>
        <w:pStyle w:val="ListBullet"/>
        <w:spacing w:after="40"/>
        <w:ind w:left="259"/>
      </w:pPr>
      <w:r>
        <w:rPr>
          <w:rFonts w:ascii="Aptos" w:hAnsi="Aptos"/>
          <w:color w:val="374151"/>
          <w:sz w:val="20"/>
        </w:rPr>
        <w:t>Track rolling volatility alongside cluster membership when interpreting changing market conditions.</w:t>
      </w:r>
    </w:p>
    <w:p>
      <w:pPr>
        <w:pStyle w:val="ListBullet"/>
        <w:spacing w:after="40"/>
        <w:ind w:left="259"/>
      </w:pPr>
      <w:r>
        <w:rPr>
          <w:rFonts w:ascii="Aptos" w:hAnsi="Aptos"/>
          <w:color w:val="374151"/>
          <w:sz w:val="20"/>
        </w:rPr>
        <w:t>Use cluster summaries to compare price level, movement and trading activity together rather than relying on a single metric.</w:t>
      </w:r>
    </w:p>
    <w:p>
      <w:pPr>
        <w:pStyle w:val="ListBullet"/>
        <w:spacing w:after="40"/>
        <w:ind w:left="259"/>
      </w:pPr>
      <w:r>
        <w:rPr>
          <w:rFonts w:ascii="Aptos" w:hAnsi="Aptos"/>
          <w:color w:val="374151"/>
          <w:sz w:val="20"/>
        </w:rPr>
        <w:t>For future iterations, test whether the same clusters remain stable across different time windows.</w:t>
      </w:r>
    </w:p>
    <w:p>
      <w:pPr>
        <w:pStyle w:val="ListBullet"/>
        <w:spacing w:after="40"/>
        <w:ind w:left="259"/>
      </w:pPr>
      <w:r>
        <w:rPr>
          <w:rFonts w:ascii="Aptos" w:hAnsi="Aptos"/>
          <w:color w:val="374151"/>
          <w:sz w:val="20"/>
        </w:rPr>
        <w:t>Add carefully selected technical or market-context features and prevent look-ahead leakage when evaluating any future predictive extension.</w:t>
      </w:r>
    </w:p>
    <w:p>
      <w:pPr>
        <w:pStyle w:val="ListBullet"/>
        <w:spacing w:after="40"/>
        <w:ind w:left="259"/>
      </w:pPr>
      <w:r>
        <w:rPr>
          <w:rFonts w:ascii="Aptos" w:hAnsi="Aptos"/>
          <w:color w:val="374151"/>
          <w:sz w:val="20"/>
        </w:rPr>
        <w:t>If the project is extended toward prediction, define a clear target variable and use an appropriate supervised-learning evaluation framework.</w:t>
      </w:r>
    </w:p>
    <w:p>
      <w:r>
        <w:br w:type="page"/>
      </w:r>
    </w:p>
    <w:p>
      <w:pPr>
        <w:pStyle w:val="Heading1"/>
      </w:pPr>
      <w:r>
        <w:t>18. Limitations</w:t>
      </w:r>
    </w:p>
    <w:p>
      <w:pPr>
        <w:pStyle w:val="ListBullet"/>
        <w:spacing w:after="40"/>
        <w:ind w:left="259"/>
      </w:pPr>
      <w:r>
        <w:rPr>
          <w:rFonts w:ascii="Aptos" w:hAnsi="Aptos"/>
          <w:color w:val="374151"/>
          <w:sz w:val="20"/>
        </w:rPr>
        <w:t>The analysis is descriptive and historical; clustering does not establish future price direction.</w:t>
      </w:r>
    </w:p>
    <w:p>
      <w:pPr>
        <w:pStyle w:val="ListBullet"/>
        <w:spacing w:after="40"/>
        <w:ind w:left="259"/>
      </w:pPr>
      <w:r>
        <w:rPr>
          <w:rFonts w:ascii="Aptos" w:hAnsi="Aptos"/>
          <w:color w:val="374151"/>
          <w:sz w:val="20"/>
        </w:rPr>
        <w:t>The 252-business-day seasonal decomposition is an approximate annual cycle and should be interpreted cautiously.</w:t>
      </w:r>
    </w:p>
    <w:p>
      <w:pPr>
        <w:pStyle w:val="ListBullet"/>
        <w:spacing w:after="40"/>
        <w:ind w:left="259"/>
      </w:pPr>
      <w:r>
        <w:rPr>
          <w:rFonts w:ascii="Aptos" w:hAnsi="Aptos"/>
          <w:color w:val="374151"/>
          <w:sz w:val="20"/>
        </w:rPr>
        <w:t>DBSCAN results depend on eps and min_samples; different settings can materially change cluster density and noise labels.</w:t>
      </w:r>
    </w:p>
    <w:p>
      <w:pPr>
        <w:pStyle w:val="ListBullet"/>
        <w:spacing w:after="40"/>
        <w:ind w:left="259"/>
      </w:pPr>
      <w:r>
        <w:rPr>
          <w:rFonts w:ascii="Aptos" w:hAnsi="Aptos"/>
          <w:color w:val="374151"/>
          <w:sz w:val="20"/>
        </w:rPr>
        <w:t>Silhouette Score depends on the feature representation and scaling approach.</w:t>
      </w:r>
    </w:p>
    <w:p>
      <w:pPr>
        <w:pStyle w:val="ListBullet"/>
        <w:spacing w:after="40"/>
        <w:ind w:left="259"/>
      </w:pPr>
      <w:r>
        <w:rPr>
          <w:rFonts w:ascii="Aptos" w:hAnsi="Aptos"/>
          <w:color w:val="374151"/>
          <w:sz w:val="20"/>
        </w:rPr>
        <w:t>The K-Means segmentation uses a fixed set of six features and may change if additional market variables are introduced.</w:t>
      </w:r>
    </w:p>
    <w:p>
      <w:pPr>
        <w:pStyle w:val="ListBullet"/>
        <w:spacing w:after="40"/>
        <w:ind w:left="259"/>
      </w:pPr>
      <w:r>
        <w:rPr>
          <w:rFonts w:ascii="Aptos" w:hAnsi="Aptos"/>
          <w:color w:val="374151"/>
          <w:sz w:val="20"/>
        </w:rPr>
        <w:t>ANOVA tests mean Close differences but does not explain causal drivers of the observed differences.</w:t>
      </w:r>
    </w:p>
    <w:p>
      <w:pPr>
        <w:pStyle w:val="ListBullet"/>
        <w:spacing w:after="40"/>
        <w:ind w:left="259"/>
      </w:pPr>
      <w:r>
        <w:rPr>
          <w:rFonts w:ascii="Aptos" w:hAnsi="Aptos"/>
          <w:color w:val="374151"/>
          <w:sz w:val="20"/>
        </w:rPr>
        <w:t>The dataset ends on 2022-09-19 according to the supplied notebook, so the report does not represent later Tesla market behavior.</w:t>
      </w:r>
    </w:p>
    <w:p>
      <w:r>
        <w:br w:type="page"/>
      </w:r>
    </w:p>
    <w:p>
      <w:pPr>
        <w:pStyle w:val="Heading1"/>
      </w:pPr>
      <w:r>
        <w:t>19. Conclusion</w:t>
      </w:r>
    </w:p>
    <w:p>
      <w:r>
        <w:t>This project demonstrates a complete unsupervised-learning workflow for Tesla historical stock data. The analysis begins with data validation and exploratory analysis, then adds features for daily movement, intraday range, percentage movement and rolling volatility. Standardization creates a common feature scale before applying three clustering approaches.</w:t>
      </w:r>
    </w:p>
    <w:p>
      <w:r>
        <w:t>K-Means identifies two broad historical segments with a Silhouette Score of 0.501. GMM offers a probabilistic alternative with a score of 0.465, while DBSCAN identifies density-based structure and 86 noise observations, with a non-noise Silhouette Score of 0.576. The ANOVA result (F=12,947.665, p&lt;0.001) provides statistical evidence that the K-Means groups differ in mean Close price.</w:t>
      </w:r>
    </w:p>
    <w:p>
      <w:r>
        <w:t>Overall, the project provides a structured way to describe historical Tesla market regimes. Its strongest value is in organizing complex historical observations into interpretable segments while explicitly acknowledging the assumptions and limitations of unsupervised clustering.</w:t>
      </w:r>
    </w:p>
    <w:tbl>
      <w:tblPr>
        <w:tblW w:type="auto" w:w="0"/>
        <w:jc w:val="center"/>
        <w:tblLook w:firstColumn="1" w:firstRow="1" w:lastColumn="0" w:lastRow="0" w:noHBand="0" w:noVBand="1" w:val="04A0"/>
      </w:tblPr>
      <w:tblGrid>
        <w:gridCol w:w="9994"/>
      </w:tblGrid>
      <w:tr>
        <w:tc>
          <w:tcPr>
            <w:tcW w:type="dxa" w:w="9994"/>
            <w:shd w:fill="F1F5F9"/>
          </w:tcPr>
          <w:p>
            <w:pPr>
              <w:spacing w:after="40"/>
            </w:pPr>
            <w:r>
              <w:rPr>
                <w:rFonts w:ascii="Aptos" w:hAnsi="Aptos"/>
                <w:b/>
                <w:color w:val="15253D"/>
                <w:sz w:val="21"/>
              </w:rPr>
              <w:t>Final takeaway</w:t>
              <w:br/>
            </w:r>
            <w:r>
              <w:rPr>
                <w:rFonts w:ascii="Aptos" w:hAnsi="Aptos"/>
                <w:color w:val="374151"/>
                <w:sz w:val="19"/>
              </w:rPr>
              <w:t>The clustering output should be used as an analytical segmentation of historical behavior, not as a guaranteed trading signal.</w:t>
            </w:r>
          </w:p>
        </w:tc>
      </w:tr>
    </w:tbl>
    <w:p>
      <w:pPr>
        <w:spacing w:after="20"/>
      </w:pPr>
    </w:p>
    <w:p>
      <w:r>
        <w:br w:type="page"/>
      </w:r>
    </w:p>
    <w:p>
      <w:pPr>
        <w:pStyle w:val="Heading1"/>
      </w:pPr>
      <w:r>
        <w:t>Appendix A — Task-by-Task Answers</w:t>
      </w:r>
    </w:p>
    <w:p>
      <w:pPr>
        <w:pStyle w:val="Heading2"/>
      </w:pPr>
      <w:r>
        <w:t>1. Data Understanding and Exploration</w:t>
      </w:r>
    </w:p>
    <w:p>
      <w:r>
        <w:t>The dataset contains 3,077 rows and 7 original variables: Date, Open, High, Low, Close, Adj Close and Volume. Date is initially an object field; the price fields are float64 and Volume is int64. There are 0 missing values and 0 duplicate rows. The price variables have large variation across the historical sample, while Volume operates at a much larger numerical scale.</w:t>
      </w:r>
    </w:p>
    <w:p>
      <w:pPr>
        <w:pStyle w:val="Heading2"/>
      </w:pPr>
      <w:r>
        <w:t>2. Data Cleaning and Preparation</w:t>
      </w:r>
    </w:p>
    <w:p>
      <w:r>
        <w:t>Date was converted to datetime, the observations were sorted chronologically, and invalid dates were checked. The notebook reports 0 invalid dates, 0 missing values and 0 duplicates. The final raw dataset remains 3,077 × 7. Expected NaNs introduced by difference and rolling calculations are removed only before clustering.</w:t>
      </w:r>
    </w:p>
    <w:p>
      <w:pPr>
        <w:pStyle w:val="Heading2"/>
      </w:pPr>
      <w:r>
        <w:t>3. Feature Engineering</w:t>
      </w:r>
    </w:p>
    <w:p>
      <w:r>
        <w:t>Four derived variables were created: Price Change = Close − previous Close; Price Range = High − Low; Pct Change = daily percentage change in Close; and Volatility = 30-day rolling standard deviation of Pct Change.</w:t>
      </w:r>
    </w:p>
    <w:p>
      <w:pPr>
        <w:pStyle w:val="Heading2"/>
      </w:pPr>
      <w:r>
        <w:t>4. Distribution Analysis of Stock Metrics</w:t>
      </w:r>
    </w:p>
    <w:p>
      <w:r>
        <w:t>Open, High, Low, Close and Volume are positively skewed. Skewness is approximately 1.98 for the price variables and 2.38 for Volume. The closing-price histogram shows a long right tail. Financial outliers are treated as potentially genuine observations.</w:t>
      </w:r>
    </w:p>
    <w:p>
      <w:pPr>
        <w:pStyle w:val="Heading2"/>
      </w:pPr>
      <w:r>
        <w:t>5. Time Trend Visualization</w:t>
      </w:r>
    </w:p>
    <w:p>
      <w:r>
        <w:t>The closing-price time series shows a major change in price scale across the historical period. Later years contain much higher prices and more visible large movements than the early part of the sample.</w:t>
      </w:r>
    </w:p>
    <w:p>
      <w:pPr>
        <w:pStyle w:val="Heading2"/>
      </w:pPr>
      <w:r>
        <w:t>6. Seasonal Decomposition of Close Price</w:t>
      </w:r>
    </w:p>
    <w:p>
      <w:r>
        <w:t>An additive decomposition was applied using a 252-business-day period. The output separates observed Close into trend, seasonal and residual components. The seasonal component is exploratory and depends on the chosen model period.</w:t>
      </w:r>
    </w:p>
    <w:p>
      <w:pPr>
        <w:pStyle w:val="Heading2"/>
      </w:pPr>
      <w:r>
        <w:t>7. Rolling Statistics for Volatility Analysis</w:t>
      </w:r>
    </w:p>
    <w:p>
      <w:r>
        <w:t>A 30-day rolling mean is used to smooth Close and a 30-day rolling standard deviation is used to measure recent dispersion. These statistics help identify periods with changing local variability.</w:t>
      </w:r>
    </w:p>
    <w:p>
      <w:pPr>
        <w:pStyle w:val="Heading2"/>
      </w:pPr>
      <w:r>
        <w:t>8. Feature Scaling for Clustering</w:t>
      </w:r>
    </w:p>
    <w:p>
      <w:r>
        <w:t>Six clustering variables were standardized with StandardScaler: Close, Price Change, Price Range, Pct Change, Volatility and Volume. Scaling prevents high-magnitude variables from dominating distance calculations.</w:t>
      </w:r>
    </w:p>
    <w:p>
      <w:pPr>
        <w:pStyle w:val="Heading2"/>
      </w:pPr>
      <w:r>
        <w:t>9. K-Means Clustering Application</w:t>
      </w:r>
    </w:p>
    <w:p>
      <w:r>
        <w:t>K-Means was tested from K=2 to K=8. K=2 produced the highest Silhouette Score and was selected. The two clusters differ substantially in average Close, Price Range, Volatility and Volume.</w:t>
      </w:r>
    </w:p>
    <w:p>
      <w:pPr>
        <w:pStyle w:val="Heading2"/>
      </w:pPr>
      <w:r>
        <w:t>10. K-Means Evaluation Using Silhouette Score</w:t>
      </w:r>
    </w:p>
    <w:p>
      <w:r>
        <w:t>The K=2 Silhouette Score is 0.501. The tested scores range from 0.255 at K=7 to 0.501 at K=2. The score is used to assess how compact and separated the clusters are.</w:t>
      </w:r>
    </w:p>
    <w:p>
      <w:pPr>
        <w:pStyle w:val="Heading2"/>
      </w:pPr>
      <w:r>
        <w:t>11. Gaussian Mixture Model Clustering</w:t>
      </w:r>
    </w:p>
    <w:p>
      <w:r>
        <w:t>GMM was fitted with two components and produced a Silhouette Score of 0.465. Its key distinction is probabilistic membership, which can be useful for observations near regime boundaries.</w:t>
      </w:r>
    </w:p>
    <w:p>
      <w:pPr>
        <w:pStyle w:val="Heading2"/>
      </w:pPr>
      <w:r>
        <w:t>12. DBSCAN Clustering and Outlier Detection</w:t>
      </w:r>
    </w:p>
    <w:p>
      <w:r>
        <w:t>DBSCAN used eps=1.5 and min_samples=10. It produced labels -1, 0 and 1, with 86 observations labeled as noise. The noise rate is 2.82%, and the Silhouette Score excluding noise is 0.576.</w:t>
      </w:r>
    </w:p>
    <w:p>
      <w:pPr>
        <w:pStyle w:val="Heading2"/>
      </w:pPr>
      <w:r>
        <w:t>13. Cluster Summary and Interpretation</w:t>
      </w:r>
    </w:p>
    <w:p>
      <w:r>
        <w:t>K-Means Cluster 0 contains 2,454 records with average Close 14.389, while Cluster 1 contains 593 records with average Close 228.346. ANOVA gives F=12,947.665 and p&lt;0.001, providing evidence that mean Close differs across the clusters.</w:t>
      </w:r>
    </w:p>
    <w:p>
      <w:pPr>
        <w:pStyle w:val="Heading2"/>
      </w:pPr>
      <w:r>
        <w:t>14. Insights and Recommendations</w:t>
      </w:r>
    </w:p>
    <w:p>
      <w:r>
        <w:t>The project indicates that Tesla's historical market behavior can be segmented into materially different regimes when price level, movement, range, volatility and volume are considered together. Future work should test cluster stability across time windows and incorporate additional market or technical variables without look-ahead leakage.</w:t>
      </w:r>
    </w:p>
    <w:p>
      <w:r>
        <w:br w:type="page"/>
      </w:r>
    </w:p>
    <w:p>
      <w:pPr>
        <w:pStyle w:val="Heading1"/>
      </w:pPr>
      <w:r>
        <w:t>Appendix B — Key Formulas &amp; Methodology</w:t>
      </w:r>
    </w:p>
    <w:p>
      <w:pPr>
        <w:pStyle w:val="Heading2"/>
      </w:pPr>
      <w:r>
        <w:t>B.1 Feature Formulas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8"/>
              </w:rPr>
              <w:t>Metric</w:t>
            </w:r>
          </w:p>
        </w:tc>
        <w:tc>
          <w:tcPr>
            <w:tcW w:type="dxa" w:w="4997"/>
            <w:shd w:fill="15253D"/>
            <w:vAlign w:val="center"/>
          </w:tcPr>
          <w:p>
            <w:pPr>
              <w:spacing w:after="0"/>
            </w:pPr>
            <w:r/>
            <w:r>
              <w:rPr>
                <w:rFonts w:ascii="Aptos" w:hAnsi="Aptos"/>
                <w:b/>
                <w:color w:val="FFFFFF"/>
                <w:sz w:val="18"/>
              </w:rPr>
              <w:t>Formula</w:t>
            </w:r>
          </w:p>
        </w:tc>
      </w:tr>
      <w:tr>
        <w:tc>
          <w:tcPr>
            <w:tcW w:type="dxa" w:w="4997"/>
            <w:shd w:fill="F8FAFC"/>
            <w:vAlign w:val="center"/>
          </w:tcPr>
          <w:p>
            <w:pPr>
              <w:spacing w:after="0"/>
            </w:pPr>
            <w:r/>
            <w:r>
              <w:rPr>
                <w:rFonts w:ascii="Aptos" w:hAnsi="Aptos"/>
                <w:b w:val="0"/>
                <w:color w:val="374151"/>
                <w:sz w:val="18"/>
              </w:rPr>
              <w:t>Price Change</w:t>
            </w:r>
          </w:p>
        </w:tc>
        <w:tc>
          <w:tcPr>
            <w:tcW w:type="dxa" w:w="4997"/>
            <w:shd w:fill="F8FAFC"/>
            <w:vAlign w:val="center"/>
          </w:tcPr>
          <w:p>
            <w:pPr>
              <w:spacing w:after="0"/>
            </w:pPr>
            <w:r/>
            <w:r>
              <w:rPr>
                <w:rFonts w:ascii="Aptos" w:hAnsi="Aptos"/>
                <w:b w:val="0"/>
                <w:color w:val="374151"/>
                <w:sz w:val="18"/>
              </w:rPr>
              <w:t>Close_t − Close_(t−1)</w:t>
            </w:r>
          </w:p>
        </w:tc>
      </w:tr>
      <w:tr>
        <w:tc>
          <w:tcPr>
            <w:tcW w:type="dxa" w:w="4997"/>
            <w:shd w:fill="FFFFFF"/>
            <w:vAlign w:val="center"/>
          </w:tcPr>
          <w:p>
            <w:pPr>
              <w:spacing w:after="0"/>
            </w:pPr>
            <w:r/>
            <w:r>
              <w:rPr>
                <w:rFonts w:ascii="Aptos" w:hAnsi="Aptos"/>
                <w:b w:val="0"/>
                <w:color w:val="374151"/>
                <w:sz w:val="18"/>
              </w:rPr>
              <w:t>Price Range</w:t>
            </w:r>
          </w:p>
        </w:tc>
        <w:tc>
          <w:tcPr>
            <w:tcW w:type="dxa" w:w="4997"/>
            <w:shd w:fill="FFFFFF"/>
            <w:vAlign w:val="center"/>
          </w:tcPr>
          <w:p>
            <w:pPr>
              <w:spacing w:after="0"/>
            </w:pPr>
            <w:r/>
            <w:r>
              <w:rPr>
                <w:rFonts w:ascii="Aptos" w:hAnsi="Aptos"/>
                <w:b w:val="0"/>
                <w:color w:val="374151"/>
                <w:sz w:val="18"/>
              </w:rPr>
              <w:t>High_t − Low_t</w:t>
            </w:r>
          </w:p>
        </w:tc>
      </w:tr>
      <w:tr>
        <w:tc>
          <w:tcPr>
            <w:tcW w:type="dxa" w:w="4997"/>
            <w:shd w:fill="F8FAFC"/>
            <w:vAlign w:val="center"/>
          </w:tcPr>
          <w:p>
            <w:pPr>
              <w:spacing w:after="0"/>
            </w:pPr>
            <w:r/>
            <w:r>
              <w:rPr>
                <w:rFonts w:ascii="Aptos" w:hAnsi="Aptos"/>
                <w:b w:val="0"/>
                <w:color w:val="374151"/>
                <w:sz w:val="18"/>
              </w:rPr>
              <w:t>Percentage Change</w:t>
            </w:r>
          </w:p>
        </w:tc>
        <w:tc>
          <w:tcPr>
            <w:tcW w:type="dxa" w:w="4997"/>
            <w:shd w:fill="F8FAFC"/>
            <w:vAlign w:val="center"/>
          </w:tcPr>
          <w:p>
            <w:pPr>
              <w:spacing w:after="0"/>
            </w:pPr>
            <w:r/>
            <w:r>
              <w:rPr>
                <w:rFonts w:ascii="Aptos" w:hAnsi="Aptos"/>
                <w:b w:val="0"/>
                <w:color w:val="374151"/>
                <w:sz w:val="18"/>
              </w:rPr>
              <w:t>((Close_t / Close_(t−1)) − 1) × 100</w:t>
            </w:r>
          </w:p>
        </w:tc>
      </w:tr>
      <w:tr>
        <w:tc>
          <w:tcPr>
            <w:tcW w:type="dxa" w:w="4997"/>
            <w:shd w:fill="FFFFFF"/>
            <w:vAlign w:val="center"/>
          </w:tcPr>
          <w:p>
            <w:pPr>
              <w:spacing w:after="0"/>
            </w:pPr>
            <w:r/>
            <w:r>
              <w:rPr>
                <w:rFonts w:ascii="Aptos" w:hAnsi="Aptos"/>
                <w:b w:val="0"/>
                <w:color w:val="374151"/>
                <w:sz w:val="18"/>
              </w:rPr>
              <w:t>30-Day Volatility</w:t>
            </w:r>
          </w:p>
        </w:tc>
        <w:tc>
          <w:tcPr>
            <w:tcW w:type="dxa" w:w="4997"/>
            <w:shd w:fill="FFFFFF"/>
            <w:vAlign w:val="center"/>
          </w:tcPr>
          <w:p>
            <w:pPr>
              <w:spacing w:after="0"/>
            </w:pPr>
            <w:r/>
            <w:r>
              <w:rPr>
                <w:rFonts w:ascii="Aptos" w:hAnsi="Aptos"/>
                <w:b w:val="0"/>
                <w:color w:val="374151"/>
                <w:sz w:val="18"/>
              </w:rPr>
              <w:t>Std. Dev. of Pct Change over the last 30 observations</w:t>
            </w:r>
          </w:p>
        </w:tc>
      </w:tr>
      <w:tr>
        <w:tc>
          <w:tcPr>
            <w:tcW w:type="dxa" w:w="4997"/>
            <w:shd w:fill="F8FAFC"/>
            <w:vAlign w:val="center"/>
          </w:tcPr>
          <w:p>
            <w:pPr>
              <w:spacing w:after="0"/>
            </w:pPr>
            <w:r/>
            <w:r>
              <w:rPr>
                <w:rFonts w:ascii="Aptos" w:hAnsi="Aptos"/>
                <w:b w:val="0"/>
                <w:color w:val="374151"/>
                <w:sz w:val="18"/>
              </w:rPr>
              <w:t>Standardization</w:t>
            </w:r>
          </w:p>
        </w:tc>
        <w:tc>
          <w:tcPr>
            <w:tcW w:type="dxa" w:w="4997"/>
            <w:shd w:fill="F8FAFC"/>
            <w:vAlign w:val="center"/>
          </w:tcPr>
          <w:p>
            <w:pPr>
              <w:spacing w:after="0"/>
            </w:pPr>
            <w:r/>
            <w:r>
              <w:rPr>
                <w:rFonts w:ascii="Aptos" w:hAnsi="Aptos"/>
                <w:b w:val="0"/>
                <w:color w:val="374151"/>
                <w:sz w:val="18"/>
              </w:rPr>
              <w:t>z = (x − μ) / σ</w:t>
            </w:r>
          </w:p>
        </w:tc>
      </w:tr>
    </w:tbl>
    <w:p>
      <w:pPr>
        <w:spacing w:after="20"/>
      </w:pPr>
    </w:p>
    <w:p>
      <w:pPr>
        <w:pStyle w:val="Heading2"/>
      </w:pPr>
      <w:r>
        <w:t>B.2 Clustering Workflow</w:t>
      </w:r>
    </w:p>
    <w:p>
      <w:pPr>
        <w:pStyle w:val="ListNumber"/>
        <w:spacing w:after="40"/>
      </w:pPr>
      <w:r>
        <w:rPr>
          <w:rFonts w:ascii="Aptos" w:hAnsi="Aptos"/>
          <w:color w:val="374151"/>
          <w:sz w:val="20"/>
        </w:rPr>
        <w:t>Load and inspect the daily Tesla dataset.</w:t>
      </w:r>
    </w:p>
    <w:p>
      <w:pPr>
        <w:pStyle w:val="ListNumber"/>
        <w:spacing w:after="40"/>
      </w:pPr>
      <w:r>
        <w:rPr>
          <w:rFonts w:ascii="Aptos" w:hAnsi="Aptos"/>
          <w:color w:val="374151"/>
          <w:sz w:val="20"/>
        </w:rPr>
        <w:t>Validate dates, missing values and duplicates.</w:t>
      </w:r>
    </w:p>
    <w:p>
      <w:pPr>
        <w:pStyle w:val="ListNumber"/>
        <w:spacing w:after="40"/>
      </w:pPr>
      <w:r>
        <w:rPr>
          <w:rFonts w:ascii="Aptos" w:hAnsi="Aptos"/>
          <w:color w:val="374151"/>
          <w:sz w:val="20"/>
        </w:rPr>
        <w:t>Create movement and volatility features.</w:t>
      </w:r>
    </w:p>
    <w:p>
      <w:pPr>
        <w:pStyle w:val="ListNumber"/>
        <w:spacing w:after="40"/>
      </w:pPr>
      <w:r>
        <w:rPr>
          <w:rFonts w:ascii="Aptos" w:hAnsi="Aptos"/>
          <w:color w:val="374151"/>
          <w:sz w:val="20"/>
        </w:rPr>
        <w:t>Drop rows with expected engineered-feature NaNs for modeling.</w:t>
      </w:r>
    </w:p>
    <w:p>
      <w:pPr>
        <w:pStyle w:val="ListNumber"/>
        <w:spacing w:after="40"/>
      </w:pPr>
      <w:r>
        <w:rPr>
          <w:rFonts w:ascii="Aptos" w:hAnsi="Aptos"/>
          <w:color w:val="374151"/>
          <w:sz w:val="20"/>
        </w:rPr>
        <w:t>Select six clustering variables.</w:t>
      </w:r>
    </w:p>
    <w:p>
      <w:pPr>
        <w:pStyle w:val="ListNumber"/>
        <w:spacing w:after="40"/>
      </w:pPr>
      <w:r>
        <w:rPr>
          <w:rFonts w:ascii="Aptos" w:hAnsi="Aptos"/>
          <w:color w:val="374151"/>
          <w:sz w:val="20"/>
        </w:rPr>
        <w:t>Standardize the feature matrix with StandardScaler.</w:t>
      </w:r>
    </w:p>
    <w:p>
      <w:pPr>
        <w:pStyle w:val="ListNumber"/>
        <w:spacing w:after="40"/>
      </w:pPr>
      <w:r>
        <w:rPr>
          <w:rFonts w:ascii="Aptos" w:hAnsi="Aptos"/>
          <w:color w:val="374151"/>
          <w:sz w:val="20"/>
        </w:rPr>
        <w:t>Evaluate K-Means for K=2 through K=8 using Silhouette Score.</w:t>
      </w:r>
    </w:p>
    <w:p>
      <w:pPr>
        <w:pStyle w:val="ListNumber"/>
        <w:spacing w:after="40"/>
      </w:pPr>
      <w:r>
        <w:rPr>
          <w:rFonts w:ascii="Aptos" w:hAnsi="Aptos"/>
          <w:color w:val="374151"/>
          <w:sz w:val="20"/>
        </w:rPr>
        <w:t>Fit K-Means using the selected K.</w:t>
      </w:r>
    </w:p>
    <w:p>
      <w:pPr>
        <w:pStyle w:val="ListNumber"/>
        <w:spacing w:after="40"/>
      </w:pPr>
      <w:r>
        <w:rPr>
          <w:rFonts w:ascii="Aptos" w:hAnsi="Aptos"/>
          <w:color w:val="374151"/>
          <w:sz w:val="20"/>
        </w:rPr>
        <w:t>Fit a two-component GMM.</w:t>
      </w:r>
    </w:p>
    <w:p>
      <w:pPr>
        <w:pStyle w:val="ListNumber"/>
        <w:spacing w:after="40"/>
      </w:pPr>
      <w:r>
        <w:rPr>
          <w:rFonts w:ascii="Aptos" w:hAnsi="Aptos"/>
          <w:color w:val="374151"/>
          <w:sz w:val="20"/>
        </w:rPr>
        <w:t>Fit DBSCAN with eps=1.5 and min_samples=10.</w:t>
      </w:r>
    </w:p>
    <w:p>
      <w:pPr>
        <w:pStyle w:val="ListNumber"/>
        <w:spacing w:after="40"/>
      </w:pPr>
      <w:r>
        <w:rPr>
          <w:rFonts w:ascii="Aptos" w:hAnsi="Aptos"/>
          <w:color w:val="374151"/>
          <w:sz w:val="20"/>
        </w:rPr>
        <w:t>Compare Silhouette Scores and inspect cluster assignments.</w:t>
      </w:r>
    </w:p>
    <w:p>
      <w:pPr>
        <w:pStyle w:val="ListNumber"/>
        <w:spacing w:after="40"/>
      </w:pPr>
      <w:r>
        <w:rPr>
          <w:rFonts w:ascii="Aptos" w:hAnsi="Aptos"/>
          <w:color w:val="374151"/>
          <w:sz w:val="20"/>
        </w:rPr>
        <w:t>Use one-way ANOVA to test whether mean Close differs across K-Means clusters.</w:t>
      </w:r>
    </w:p>
    <w:p>
      <w:pPr>
        <w:pStyle w:val="Heading2"/>
      </w:pPr>
      <w:r>
        <w:t>B.3 Key Reproducibility Settings</w:t>
      </w:r>
    </w:p>
    <w:tbl>
      <w:tblPr>
        <w:tblStyle w:val="TableGrid"/>
        <w:tblW w:type="auto" w:w="0"/>
        <w:jc w:val="center"/>
        <w:tblLook w:firstColumn="1" w:firstRow="1" w:lastColumn="0" w:lastRow="0" w:noHBand="0" w:noVBand="1" w:val="04A0"/>
      </w:tblPr>
      <w:tblGrid>
        <w:gridCol w:w="4997"/>
        <w:gridCol w:w="4997"/>
      </w:tblGrid>
      <w:tr>
        <w:tc>
          <w:tcPr>
            <w:tcW w:type="dxa" w:w="4997"/>
            <w:shd w:fill="15253D"/>
            <w:vAlign w:val="center"/>
          </w:tcPr>
          <w:p>
            <w:pPr>
              <w:spacing w:after="0"/>
            </w:pPr>
            <w:r/>
            <w:r>
              <w:rPr>
                <w:rFonts w:ascii="Aptos" w:hAnsi="Aptos"/>
                <w:b/>
                <w:color w:val="FFFFFF"/>
                <w:sz w:val="17"/>
              </w:rPr>
              <w:t>Component</w:t>
            </w:r>
          </w:p>
        </w:tc>
        <w:tc>
          <w:tcPr>
            <w:tcW w:type="dxa" w:w="4997"/>
            <w:shd w:fill="15253D"/>
            <w:vAlign w:val="center"/>
          </w:tcPr>
          <w:p>
            <w:pPr>
              <w:spacing w:after="0"/>
            </w:pPr>
            <w:r/>
            <w:r>
              <w:rPr>
                <w:rFonts w:ascii="Aptos" w:hAnsi="Aptos"/>
                <w:b/>
                <w:color w:val="FFFFFF"/>
                <w:sz w:val="17"/>
              </w:rPr>
              <w:t>Setting</w:t>
            </w:r>
          </w:p>
        </w:tc>
      </w:tr>
      <w:tr>
        <w:tc>
          <w:tcPr>
            <w:tcW w:type="dxa" w:w="4997"/>
            <w:shd w:fill="F8FAFC"/>
            <w:vAlign w:val="center"/>
          </w:tcPr>
          <w:p>
            <w:pPr>
              <w:spacing w:after="0"/>
            </w:pPr>
            <w:r/>
            <w:r>
              <w:rPr>
                <w:rFonts w:ascii="Aptos" w:hAnsi="Aptos"/>
                <w:b w:val="0"/>
                <w:color w:val="374151"/>
                <w:sz w:val="17"/>
              </w:rPr>
              <w:t>K-Means</w:t>
            </w:r>
          </w:p>
        </w:tc>
        <w:tc>
          <w:tcPr>
            <w:tcW w:type="dxa" w:w="4997"/>
            <w:shd w:fill="F8FAFC"/>
            <w:vAlign w:val="center"/>
          </w:tcPr>
          <w:p>
            <w:pPr>
              <w:spacing w:after="0"/>
            </w:pPr>
            <w:r/>
            <w:r>
              <w:rPr>
                <w:rFonts w:ascii="Aptos" w:hAnsi="Aptos"/>
                <w:b w:val="0"/>
                <w:color w:val="374151"/>
                <w:sz w:val="17"/>
              </w:rPr>
              <w:t>n_clusters=2; random_state=42; n_init=20</w:t>
            </w:r>
          </w:p>
        </w:tc>
      </w:tr>
      <w:tr>
        <w:tc>
          <w:tcPr>
            <w:tcW w:type="dxa" w:w="4997"/>
            <w:shd w:fill="FFFFFF"/>
            <w:vAlign w:val="center"/>
          </w:tcPr>
          <w:p>
            <w:pPr>
              <w:spacing w:after="0"/>
            </w:pPr>
            <w:r/>
            <w:r>
              <w:rPr>
                <w:rFonts w:ascii="Aptos" w:hAnsi="Aptos"/>
                <w:b w:val="0"/>
                <w:color w:val="374151"/>
                <w:sz w:val="17"/>
              </w:rPr>
              <w:t>GMM</w:t>
            </w:r>
          </w:p>
        </w:tc>
        <w:tc>
          <w:tcPr>
            <w:tcW w:type="dxa" w:w="4997"/>
            <w:shd w:fill="FFFFFF"/>
            <w:vAlign w:val="center"/>
          </w:tcPr>
          <w:p>
            <w:pPr>
              <w:spacing w:after="0"/>
            </w:pPr>
            <w:r/>
            <w:r>
              <w:rPr>
                <w:rFonts w:ascii="Aptos" w:hAnsi="Aptos"/>
                <w:b w:val="0"/>
                <w:color w:val="374151"/>
                <w:sz w:val="17"/>
              </w:rPr>
              <w:t>n_components=2; random_state=42</w:t>
            </w:r>
          </w:p>
        </w:tc>
      </w:tr>
      <w:tr>
        <w:tc>
          <w:tcPr>
            <w:tcW w:type="dxa" w:w="4997"/>
            <w:shd w:fill="F8FAFC"/>
            <w:vAlign w:val="center"/>
          </w:tcPr>
          <w:p>
            <w:pPr>
              <w:spacing w:after="0"/>
            </w:pPr>
            <w:r/>
            <w:r>
              <w:rPr>
                <w:rFonts w:ascii="Aptos" w:hAnsi="Aptos"/>
                <w:b w:val="0"/>
                <w:color w:val="374151"/>
                <w:sz w:val="17"/>
              </w:rPr>
              <w:t>DBSCAN</w:t>
            </w:r>
          </w:p>
        </w:tc>
        <w:tc>
          <w:tcPr>
            <w:tcW w:type="dxa" w:w="4997"/>
            <w:shd w:fill="F8FAFC"/>
            <w:vAlign w:val="center"/>
          </w:tcPr>
          <w:p>
            <w:pPr>
              <w:spacing w:after="0"/>
            </w:pPr>
            <w:r/>
            <w:r>
              <w:rPr>
                <w:rFonts w:ascii="Aptos" w:hAnsi="Aptos"/>
                <w:b w:val="0"/>
                <w:color w:val="374151"/>
                <w:sz w:val="17"/>
              </w:rPr>
              <w:t>eps=1.5; min_samples=10</w:t>
            </w:r>
          </w:p>
        </w:tc>
      </w:tr>
      <w:tr>
        <w:tc>
          <w:tcPr>
            <w:tcW w:type="dxa" w:w="4997"/>
            <w:shd w:fill="FFFFFF"/>
            <w:vAlign w:val="center"/>
          </w:tcPr>
          <w:p>
            <w:pPr>
              <w:spacing w:after="0"/>
            </w:pPr>
            <w:r/>
            <w:r>
              <w:rPr>
                <w:rFonts w:ascii="Aptos" w:hAnsi="Aptos"/>
                <w:b w:val="0"/>
                <w:color w:val="374151"/>
                <w:sz w:val="17"/>
              </w:rPr>
              <w:t>Scaling</w:t>
            </w:r>
          </w:p>
        </w:tc>
        <w:tc>
          <w:tcPr>
            <w:tcW w:type="dxa" w:w="4997"/>
            <w:shd w:fill="FFFFFF"/>
            <w:vAlign w:val="center"/>
          </w:tcPr>
          <w:p>
            <w:pPr>
              <w:spacing w:after="0"/>
            </w:pPr>
            <w:r/>
            <w:r>
              <w:rPr>
                <w:rFonts w:ascii="Aptos" w:hAnsi="Aptos"/>
                <w:b w:val="0"/>
                <w:color w:val="374151"/>
                <w:sz w:val="17"/>
              </w:rPr>
              <w:t>StandardScaler</w:t>
            </w:r>
          </w:p>
        </w:tc>
      </w:tr>
      <w:tr>
        <w:tc>
          <w:tcPr>
            <w:tcW w:type="dxa" w:w="4997"/>
            <w:shd w:fill="F8FAFC"/>
            <w:vAlign w:val="center"/>
          </w:tcPr>
          <w:p>
            <w:pPr>
              <w:spacing w:after="0"/>
            </w:pPr>
            <w:r/>
            <w:r>
              <w:rPr>
                <w:rFonts w:ascii="Aptos" w:hAnsi="Aptos"/>
                <w:b w:val="0"/>
                <w:color w:val="374151"/>
                <w:sz w:val="17"/>
              </w:rPr>
              <w:t>Seasonal decomposition</w:t>
            </w:r>
          </w:p>
        </w:tc>
        <w:tc>
          <w:tcPr>
            <w:tcW w:type="dxa" w:w="4997"/>
            <w:shd w:fill="F8FAFC"/>
            <w:vAlign w:val="center"/>
          </w:tcPr>
          <w:p>
            <w:pPr>
              <w:spacing w:after="0"/>
            </w:pPr>
            <w:r/>
            <w:r>
              <w:rPr>
                <w:rFonts w:ascii="Aptos" w:hAnsi="Aptos"/>
                <w:b w:val="0"/>
                <w:color w:val="374151"/>
                <w:sz w:val="17"/>
              </w:rPr>
              <w:t>Additive; period=252</w:t>
            </w:r>
          </w:p>
        </w:tc>
      </w:tr>
      <w:tr>
        <w:tc>
          <w:tcPr>
            <w:tcW w:type="dxa" w:w="4997"/>
            <w:shd w:fill="FFFFFF"/>
            <w:vAlign w:val="center"/>
          </w:tcPr>
          <w:p>
            <w:pPr>
              <w:spacing w:after="0"/>
            </w:pPr>
            <w:r/>
            <w:r>
              <w:rPr>
                <w:rFonts w:ascii="Aptos" w:hAnsi="Aptos"/>
                <w:b w:val="0"/>
                <w:color w:val="374151"/>
                <w:sz w:val="17"/>
              </w:rPr>
              <w:t>Rolling window</w:t>
            </w:r>
          </w:p>
        </w:tc>
        <w:tc>
          <w:tcPr>
            <w:tcW w:type="dxa" w:w="4997"/>
            <w:shd w:fill="FFFFFF"/>
            <w:vAlign w:val="center"/>
          </w:tcPr>
          <w:p>
            <w:pPr>
              <w:spacing w:after="0"/>
            </w:pPr>
            <w:r/>
            <w:r>
              <w:rPr>
                <w:rFonts w:ascii="Aptos" w:hAnsi="Aptos"/>
                <w:b w:val="0"/>
                <w:color w:val="374151"/>
                <w:sz w:val="17"/>
              </w:rPr>
              <w:t>30 observations</w:t>
            </w:r>
          </w:p>
        </w:tc>
      </w:tr>
      <w:tr>
        <w:tc>
          <w:tcPr>
            <w:tcW w:type="dxa" w:w="4997"/>
            <w:shd w:fill="F8FAFC"/>
            <w:vAlign w:val="center"/>
          </w:tcPr>
          <w:p>
            <w:pPr>
              <w:spacing w:after="0"/>
            </w:pPr>
            <w:r/>
            <w:r>
              <w:rPr>
                <w:rFonts w:ascii="Aptos" w:hAnsi="Aptos"/>
                <w:b w:val="0"/>
                <w:color w:val="374151"/>
                <w:sz w:val="17"/>
              </w:rPr>
              <w:t>Significance level</w:t>
            </w:r>
          </w:p>
        </w:tc>
        <w:tc>
          <w:tcPr>
            <w:tcW w:type="dxa" w:w="4997"/>
            <w:shd w:fill="F8FAFC"/>
            <w:vAlign w:val="center"/>
          </w:tcPr>
          <w:p>
            <w:pPr>
              <w:spacing w:after="0"/>
            </w:pPr>
            <w:r/>
            <w:r>
              <w:rPr>
                <w:rFonts w:ascii="Aptos" w:hAnsi="Aptos"/>
                <w:b w:val="0"/>
                <w:color w:val="374151"/>
                <w:sz w:val="17"/>
              </w:rPr>
              <w:t>α=0.05</w:t>
            </w:r>
          </w:p>
        </w:tc>
      </w:tr>
    </w:tbl>
    <w:p>
      <w:pPr>
        <w:spacing w:after="20"/>
      </w:pPr>
    </w:p>
    <w:p>
      <w:pPr>
        <w:pStyle w:val="Heading2"/>
      </w:pPr>
      <w:r>
        <w:t>B.4 Deliverables Covered</w:t>
      </w:r>
    </w:p>
    <w:p>
      <w:pPr>
        <w:pStyle w:val="ListBullet"/>
        <w:spacing w:after="40"/>
        <w:ind w:left="259"/>
      </w:pPr>
      <w:r>
        <w:rPr>
          <w:rFonts w:ascii="Aptos" w:hAnsi="Aptos"/>
          <w:color w:val="374151"/>
          <w:sz w:val="20"/>
        </w:rPr>
        <w:t>EDA and statistical analysis presentation</w:t>
      </w:r>
    </w:p>
    <w:p>
      <w:pPr>
        <w:pStyle w:val="ListBullet"/>
        <w:spacing w:after="40"/>
        <w:ind w:left="259"/>
      </w:pPr>
      <w:r>
        <w:rPr>
          <w:rFonts w:ascii="Aptos" w:hAnsi="Aptos"/>
          <w:color w:val="374151"/>
          <w:sz w:val="20"/>
        </w:rPr>
        <w:t>Jupyter Notebook with the implemented analysis and clustering workflow</w:t>
      </w:r>
    </w:p>
    <w:p>
      <w:pPr>
        <w:pStyle w:val="ListBullet"/>
        <w:spacing w:after="40"/>
        <w:ind w:left="259"/>
      </w:pPr>
      <w:r>
        <w:rPr>
          <w:rFonts w:ascii="Aptos" w:hAnsi="Aptos"/>
          <w:color w:val="374151"/>
          <w:sz w:val="20"/>
        </w:rPr>
        <w:t>Detailed written report answering the task-sheet questions</w:t>
      </w:r>
    </w:p>
    <w:p>
      <w:pPr>
        <w:pStyle w:val="ListBullet"/>
        <w:spacing w:after="40"/>
        <w:ind w:left="259"/>
      </w:pPr>
      <w:r>
        <w:rPr>
          <w:rFonts w:ascii="Aptos" w:hAnsi="Aptos"/>
          <w:color w:val="374151"/>
          <w:sz w:val="20"/>
        </w:rPr>
        <w:t>Visual evidence through distribution, trend, rolling, clustering and model-comparison charts</w:t>
      </w:r>
    </w:p>
    <w:p>
      <w:pPr>
        <w:spacing w:before="280"/>
        <w:jc w:val="center"/>
      </w:pPr>
      <w:r>
        <w:rPr>
          <w:rFonts w:ascii="Aptos" w:hAnsi="Aptos"/>
          <w:b/>
          <w:color w:val="D62027"/>
          <w:sz w:val="18"/>
        </w:rPr>
        <w:t>— End of Report —</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Prince Kumar Singh  |  Data Analyst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2" w:color="D62027"/>
      </w:pBdr>
    </w:pPr>
    <w:r>
      <w:rPr>
        <w:rFonts w:ascii="Aptos" w:hAnsi="Aptos"/>
        <w:b/>
        <w:color w:val="64748B"/>
        <w:sz w:val="16"/>
      </w:rPr>
      <w:t>TESLA STOCK MARKET PERFORMANCE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5253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15253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D620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5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rPr>
      <w:rFonts w:ascii="Aptos" w:hAnsi="Aptos"/>
      <w:i/>
      <w:color w:val="64748B"/>
      <w:sz w:val="17"/>
    </w:rPr>
  </w:style>
  <w:style w:type="paragraph" w:customStyle="1" w:styleId="Callout">
    <w:name w:val="Callout"/>
    <w:pPr>
      <w:spacing w:before="60" w:after="60"/>
    </w:pPr>
    <w:rPr>
      <w:rFonts w:ascii="Aptos" w:hAnsi="Aptos"/>
      <w:color w:val="15253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