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960"/>
        <w:jc w:val="center"/>
      </w:pPr>
      <w:r>
        <w:rPr>
          <w:b/>
          <w:bCs/>
          <w:color w:val="9945FF"/>
          <w:sz w:val="52"/>
          <w:szCs w:val="52"/>
        </w:rPr>
        <w:t xml:space="preserve">Senior Solana Smart Contract Developer</w:t>
      </w:r>
    </w:p>
    <w:p>
      <w:pPr>
        <w:spacing w:after="480" w:before="0"/>
        <w:jc w:val="center"/>
      </w:pPr>
      <w:r>
        <w:rPr>
          <w:b/>
          <w:bCs/>
          <w:color w:val="1A2240"/>
          <w:sz w:val="44"/>
          <w:szCs w:val="44"/>
        </w:rPr>
        <w:t xml:space="preserve">Interview Preparation Guide</w:t>
      </w:r>
    </w:p>
    <w:p>
      <w:pPr>
        <w:spacing w:after="1440" w:before="0"/>
        <w:jc w:val="center"/>
      </w:pPr>
      <w:r>
        <w:rPr>
          <w:i/>
          <w:iCs/>
          <w:color w:val="555577"/>
          <w:sz w:val="24"/>
          <w:szCs w:val="24"/>
        </w:rPr>
        <w:t xml:space="preserve">A comprehensive, senior-level handbook covering Solana fundamentals, Rust programming, the Anchor framework, smart contract security, system design, coding challenges, portfolio expectations, advanced topics, and a structured study roadmap.</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60" w:before="480"/>
      </w:pPr>
      <w:r>
        <w:rPr>
          <w:b/>
          <w:bCs/>
          <w:caps/>
          <w:color w:val="9945FF"/>
          <w:sz w:val="18"/>
          <w:szCs w:val="18"/>
        </w:rPr>
        <w:t xml:space="preserve">SECTION 01  </w:t>
      </w:r>
      <w:r>
        <w:rPr>
          <w:b/>
          <w:bCs/>
          <w:caps/>
          <w:color w:val="9945FF"/>
          <w:sz w:val="18"/>
          <w:szCs w:val="18"/>
        </w:rPr>
        <w:t xml:space="preserve">The Senior Developer Interview Process</w:t>
      </w:r>
    </w:p>
    <w:p>
      <w:pPr>
        <w:pStyle w:val="Heading1"/>
        <w:spacing w:after="200" w:before="480"/>
      </w:pPr>
      <w:r>
        <w:rPr>
          <w:b/>
          <w:bCs/>
          <w:color w:val="1A1A2E"/>
        </w:rPr>
        <w:t xml:space="preserve">Interview Process Breakdown</w:t>
      </w:r>
    </w:p>
    <w:p>
      <w:pPr>
        <w:spacing w:after="80" w:before="80"/>
      </w:pPr>
      <w:r>
        <w:rPr>
          <w:color w:val="1A1A2E"/>
          <w:sz w:val="22"/>
          <w:szCs w:val="22"/>
        </w:rPr>
        <w:t xml:space="preserve">Hiring for senior Solana roles at top-tier organizations — from infrastructure providers like Helius and Jito to high-volume DeFi protocols such as Jupiter and Kamino — is notoriously rigorous. The primary objective is to filter out candidates who merely understand syntactic Rust in favor of engineers with a foundational grasp of distributed systems, economic security, and low-level hardware interactions specific to the Sealevel runtime.</w:t>
      </w:r>
    </w:p>
    <w:p>
      <w:pPr>
        <w:spacing w:after="80" w:before="80"/>
      </w:pPr>
      <w:r>
        <w:rPr>
          <w:color w:val="1A1A2E"/>
          <w:sz w:val="22"/>
          <w:szCs w:val="22"/>
        </w:rPr>
        <w:t xml:space="preserve">The evaluation process generally spans four to five distinct rounds, heavily weighted toward practical engineering over theoretical algorithms.</w:t>
      </w:r>
    </w:p>
    <w:p>
      <w:pPr>
        <w:pStyle w:val="Heading2"/>
        <w:spacing w:after="160" w:before="360"/>
      </w:pPr>
      <w:r>
        <w:rPr>
          <w:b/>
          <w:bCs/>
          <w:color w:val="16213E"/>
        </w:rPr>
        <w:t xml:space="preserve">Round 1 — Technical Screening (30–45 minutes)</w:t>
      </w:r>
    </w:p>
    <w:p>
      <w:pPr>
        <w:spacing w:after="80" w:before="80"/>
      </w:pPr>
      <w:r>
        <w:rPr>
          <w:color w:val="1A1A2E"/>
          <w:sz w:val="22"/>
          <w:szCs w:val="22"/>
        </w:rPr>
        <w:t xml:space="preserve">Conducted by a lead protocol engineer or technical founder. Unlike traditional Web2 interviews, Web3-native companies frequently bypass abstract data structure algorithms. This round focuses on domain-specific inquiries regarding the Solana Virtual Machine, memory management in Rust, and the lifecycle of a Solana transaction. Candidates are heavily scrutinized on:</w:t>
      </w:r>
    </w:p>
    <w:p>
      <w:pPr>
        <w:pStyle w:val="ListParagraph"/>
        <w:numPr>
          <w:ilvl w:val="0"/>
          <w:numId w:val="2"/>
        </w:numPr>
        <w:spacing w:after="60" w:before="60"/>
      </w:pPr>
      <w:r>
        <w:rPr>
          <w:color w:val="1A1A2E"/>
          <w:sz w:val="22"/>
          <w:szCs w:val="22"/>
        </w:rPr>
        <w:t xml:space="preserve">Understanding of the stateless account model and how programs are separated from state</w:t>
      </w:r>
    </w:p>
    <w:p>
      <w:pPr>
        <w:pStyle w:val="ListParagraph"/>
        <w:numPr>
          <w:ilvl w:val="0"/>
          <w:numId w:val="2"/>
        </w:numPr>
        <w:spacing w:after="60" w:before="60"/>
      </w:pPr>
      <w:r>
        <w:rPr>
          <w:color w:val="1A1A2E"/>
          <w:sz w:val="22"/>
          <w:szCs w:val="22"/>
        </w:rPr>
        <w:t xml:space="preserve">How compute budgets are allocated dynamically and how priority fees influence scheduling</w:t>
      </w:r>
    </w:p>
    <w:p>
      <w:pPr>
        <w:pStyle w:val="ListParagraph"/>
        <w:numPr>
          <w:ilvl w:val="0"/>
          <w:numId w:val="2"/>
        </w:numPr>
        <w:spacing w:after="60" w:before="60"/>
      </w:pPr>
      <w:r>
        <w:rPr>
          <w:color w:val="1A1A2E"/>
          <w:sz w:val="22"/>
          <w:szCs w:val="22"/>
        </w:rPr>
        <w:t xml:space="preserve">The mechanisms by which Proof of History (PoH) influences transaction sequencing</w:t>
      </w:r>
    </w:p>
    <w:p>
      <w:pPr>
        <w:pStyle w:val="ListParagraph"/>
        <w:numPr>
          <w:ilvl w:val="0"/>
          <w:numId w:val="2"/>
        </w:numPr>
        <w:spacing w:after="60" w:before="60"/>
      </w:pPr>
      <w:r>
        <w:rPr>
          <w:color w:val="1A1A2E"/>
          <w:sz w:val="22"/>
          <w:szCs w:val="22"/>
        </w:rPr>
        <w:t xml:space="preserve">Simple PDA derivation and basic Rust ownership concepts</w:t>
      </w:r>
    </w:p>
    <w:p>
      <w:pPr>
        <w:pStyle w:val="ListParagraph"/>
        <w:numPr>
          <w:ilvl w:val="0"/>
          <w:numId w:val="2"/>
        </w:numPr>
        <w:spacing w:after="60" w:before="60"/>
      </w:pPr>
      <w:r>
        <w:rPr>
          <w:color w:val="1A1A2E"/>
          <w:sz w:val="22"/>
          <w:szCs w:val="22"/>
        </w:rPr>
        <w:t xml:space="preserve">High-level DeFi/Solana ecosystem knowledge and past project experience</w:t>
      </w:r>
    </w:p>
    <w:p>
      <w:pPr>
        <w:pStyle w:val="Heading2"/>
        <w:spacing w:after="160" w:before="360"/>
      </w:pPr>
      <w:r>
        <w:rPr>
          <w:b/>
          <w:bCs/>
          <w:color w:val="16213E"/>
        </w:rPr>
        <w:t xml:space="preserve">Round 2 — Take-Home or Pair Programming (3–5 days)</w:t>
      </w:r>
    </w:p>
    <w:p>
      <w:pPr>
        <w:spacing w:after="80" w:before="80"/>
      </w:pPr>
      <w:r>
        <w:rPr>
          <w:color w:val="1A1A2E"/>
          <w:sz w:val="22"/>
          <w:szCs w:val="22"/>
        </w:rPr>
        <w:t xml:space="preserve">Senior candidates are tasked with developing complex state machines from scratch — not simply deploying standard token mints. A standard benchmark is the creation of a secure on-chain escrow, a simplified AMM pool, or fixing security bugs in a provided Anchor program. Evaluation criteria extend far beyond functional correctness:</w:t>
      </w:r>
    </w:p>
    <w:p>
      <w:pPr>
        <w:pStyle w:val="ListParagraph"/>
        <w:numPr>
          <w:ilvl w:val="0"/>
          <w:numId w:val="2"/>
        </w:numPr>
        <w:spacing w:after="60" w:before="60"/>
      </w:pPr>
      <w:r>
        <w:rPr>
          <w:color w:val="1A1A2E"/>
          <w:sz w:val="22"/>
          <w:szCs w:val="22"/>
        </w:rPr>
        <w:t xml:space="preserve">Compute Unit (CU) optimization and awareness</w:t>
      </w:r>
    </w:p>
    <w:p>
      <w:pPr>
        <w:pStyle w:val="ListParagraph"/>
        <w:numPr>
          <w:ilvl w:val="0"/>
          <w:numId w:val="2"/>
        </w:numPr>
        <w:spacing w:after="60" w:before="60"/>
      </w:pPr>
      <w:r>
        <w:rPr>
          <w:color w:val="1A1A2E"/>
          <w:sz w:val="22"/>
          <w:szCs w:val="22"/>
        </w:rPr>
        <w:t xml:space="preserve">Robust custom error handling using Anchor's #[error_code]</w:t>
      </w:r>
    </w:p>
    <w:p>
      <w:pPr>
        <w:pStyle w:val="ListParagraph"/>
        <w:numPr>
          <w:ilvl w:val="0"/>
          <w:numId w:val="2"/>
        </w:numPr>
        <w:spacing w:after="60" w:before="60"/>
      </w:pPr>
      <w:r>
        <w:rPr>
          <w:color w:val="1A1A2E"/>
          <w:sz w:val="22"/>
          <w:szCs w:val="22"/>
        </w:rPr>
        <w:t xml:space="preserve">Prevention of reentrancy vectors across Cross-Program Invocations (CPIs)</w:t>
      </w:r>
    </w:p>
    <w:p>
      <w:pPr>
        <w:pStyle w:val="ListParagraph"/>
        <w:numPr>
          <w:ilvl w:val="0"/>
          <w:numId w:val="2"/>
        </w:numPr>
        <w:spacing w:after="60" w:before="60"/>
      </w:pPr>
      <w:r>
        <w:rPr>
          <w:color w:val="1A1A2E"/>
          <w:sz w:val="22"/>
          <w:szCs w:val="22"/>
        </w:rPr>
        <w:t xml:space="preserve">Efficient caching of PDA bumps to minimize runtime cryptographic overhead</w:t>
      </w:r>
    </w:p>
    <w:p>
      <w:pPr>
        <w:pStyle w:val="ListParagraph"/>
        <w:numPr>
          <w:ilvl w:val="0"/>
          <w:numId w:val="2"/>
        </w:numPr>
        <w:spacing w:after="60" w:before="60"/>
      </w:pPr>
      <w:r>
        <w:rPr>
          <w:color w:val="1A1A2E"/>
          <w:sz w:val="22"/>
          <w:szCs w:val="22"/>
        </w:rPr>
        <w:t xml:space="preserve">Comprehensive test coverage: unit, integration, and ideally fuzz tests</w:t>
      </w:r>
    </w:p>
    <w:p>
      <w:pPr>
        <w:pStyle w:val="ListParagraph"/>
        <w:numPr>
          <w:ilvl w:val="0"/>
          <w:numId w:val="2"/>
        </w:numPr>
        <w:spacing w:after="60" w:before="60"/>
      </w:pPr>
      <w:r>
        <w:rPr>
          <w:color w:val="1A1A2E"/>
          <w:sz w:val="22"/>
          <w:szCs w:val="22"/>
        </w:rPr>
        <w:t xml:space="preserve">Quality of README and documentation</w:t>
      </w:r>
    </w:p>
    <w:p>
      <w:pPr>
        <w:pStyle w:val="Heading2"/>
        <w:spacing w:after="160" w:before="360"/>
      </w:pPr>
      <w:r>
        <w:rPr>
          <w:b/>
          <w:bCs/>
          <w:color w:val="16213E"/>
        </w:rPr>
        <w:t xml:space="preserve">Round 3 — Live Technical + Code Review (60–90 minutes)</w:t>
      </w:r>
    </w:p>
    <w:p>
      <w:pPr>
        <w:spacing w:after="80" w:before="80"/>
      </w:pPr>
      <w:r>
        <w:rPr>
          <w:color w:val="1A1A2E"/>
          <w:sz w:val="22"/>
          <w:szCs w:val="22"/>
        </w:rPr>
        <w:t xml:space="preserve">Candidates walk through their take-home submission and are then presented with new challenges live:</w:t>
      </w:r>
    </w:p>
    <w:p>
      <w:pPr>
        <w:pStyle w:val="ListParagraph"/>
        <w:numPr>
          <w:ilvl w:val="0"/>
          <w:numId w:val="2"/>
        </w:numPr>
        <w:spacing w:after="60" w:before="60"/>
      </w:pPr>
      <w:r>
        <w:rPr>
          <w:color w:val="1A1A2E"/>
          <w:sz w:val="22"/>
          <w:szCs w:val="22"/>
        </w:rPr>
        <w:t xml:space="preserve">Identify vulnerabilities in a provided code snippet</w:t>
      </w:r>
    </w:p>
    <w:p>
      <w:pPr>
        <w:pStyle w:val="ListParagraph"/>
        <w:numPr>
          <w:ilvl w:val="0"/>
          <w:numId w:val="2"/>
        </w:numPr>
        <w:spacing w:after="60" w:before="60"/>
      </w:pPr>
      <w:r>
        <w:rPr>
          <w:color w:val="1A1A2E"/>
          <w:sz w:val="22"/>
          <w:szCs w:val="22"/>
        </w:rPr>
        <w:t xml:space="preserve">Compute budget optimization exercise</w:t>
      </w:r>
    </w:p>
    <w:p>
      <w:pPr>
        <w:pStyle w:val="ListParagraph"/>
        <w:numPr>
          <w:ilvl w:val="0"/>
          <w:numId w:val="2"/>
        </w:numPr>
        <w:spacing w:after="60" w:before="60"/>
      </w:pPr>
      <w:r>
        <w:rPr>
          <w:color w:val="1A1A2E"/>
          <w:sz w:val="22"/>
          <w:szCs w:val="22"/>
        </w:rPr>
        <w:t xml:space="preserve">CPI design challenge</w:t>
      </w:r>
    </w:p>
    <w:p>
      <w:pPr>
        <w:pStyle w:val="ListParagraph"/>
        <w:numPr>
          <w:ilvl w:val="0"/>
          <w:numId w:val="2"/>
        </w:numPr>
        <w:spacing w:after="60" w:before="60"/>
      </w:pPr>
      <w:r>
        <w:rPr>
          <w:color w:val="1A1A2E"/>
          <w:sz w:val="22"/>
          <w:szCs w:val="22"/>
        </w:rPr>
        <w:t xml:space="preserve">Debug a failing test in real time</w:t>
      </w:r>
    </w:p>
    <w:p>
      <w:pPr>
        <w:pStyle w:val="Heading2"/>
        <w:spacing w:after="160" w:before="360"/>
      </w:pPr>
      <w:r>
        <w:rPr>
          <w:b/>
          <w:bCs/>
          <w:color w:val="16213E"/>
        </w:rPr>
        <w:t xml:space="preserve">Round 4 — System Design (60 minutes)</w:t>
      </w:r>
    </w:p>
    <w:p>
      <w:pPr>
        <w:spacing w:after="80" w:before="80"/>
      </w:pPr>
      <w:r>
        <w:rPr>
          <w:color w:val="1A1A2E"/>
          <w:sz w:val="22"/>
          <w:szCs w:val="22"/>
        </w:rPr>
        <w:t xml:space="preserve">The pinnacle of the technical evaluation. Candidates are presented with a high-level product requirement — e.g., architecting an on-chain prediction market or a concurrent DEX limit order book. Every architectural decision is challenged:</w:t>
      </w:r>
    </w:p>
    <w:p>
      <w:pPr>
        <w:pStyle w:val="ListParagraph"/>
        <w:numPr>
          <w:ilvl w:val="0"/>
          <w:numId w:val="2"/>
        </w:numPr>
        <w:spacing w:after="60" w:before="60"/>
      </w:pPr>
      <w:r>
        <w:rPr>
          <w:color w:val="1A1A2E"/>
          <w:sz w:val="22"/>
          <w:szCs w:val="22"/>
        </w:rPr>
        <w:t xml:space="preserve">Mapping abstract requirements into the rigid Solana account model</w:t>
      </w:r>
    </w:p>
    <w:p>
      <w:pPr>
        <w:pStyle w:val="ListParagraph"/>
        <w:numPr>
          <w:ilvl w:val="0"/>
          <w:numId w:val="2"/>
        </w:numPr>
        <w:spacing w:after="60" w:before="60"/>
      </w:pPr>
      <w:r>
        <w:rPr>
          <w:color w:val="1A1A2E"/>
          <w:sz w:val="22"/>
          <w:szCs w:val="22"/>
        </w:rPr>
        <w:t xml:space="preserve">Using deterministic sharding to resolve write contention</w:t>
      </w:r>
    </w:p>
    <w:p>
      <w:pPr>
        <w:pStyle w:val="ListParagraph"/>
        <w:numPr>
          <w:ilvl w:val="0"/>
          <w:numId w:val="2"/>
        </w:numPr>
        <w:spacing w:after="60" w:before="60"/>
      </w:pPr>
      <w:r>
        <w:rPr>
          <w:color w:val="1A1A2E"/>
          <w:sz w:val="22"/>
          <w:szCs w:val="22"/>
        </w:rPr>
        <w:t xml:space="preserve">Designing off-chain indexing infrastructure via Yellowstone gRPC</w:t>
      </w:r>
    </w:p>
    <w:p>
      <w:pPr>
        <w:pStyle w:val="ListParagraph"/>
        <w:numPr>
          <w:ilvl w:val="0"/>
          <w:numId w:val="2"/>
        </w:numPr>
        <w:spacing w:after="60" w:before="60"/>
      </w:pPr>
      <w:r>
        <w:rPr>
          <w:color w:val="1A1A2E"/>
          <w:sz w:val="22"/>
          <w:szCs w:val="22"/>
        </w:rPr>
        <w:t xml:space="preserve">Defending data structures against economic exploits and compute exhaustion attacks</w:t>
      </w:r>
    </w:p>
    <w:p>
      <w:pPr>
        <w:pStyle w:val="ListParagraph"/>
        <w:numPr>
          <w:ilvl w:val="0"/>
          <w:numId w:val="2"/>
        </w:numPr>
        <w:spacing w:after="60" w:before="60"/>
      </w:pPr>
      <w:r>
        <w:rPr>
          <w:color w:val="1A1A2E"/>
          <w:sz w:val="22"/>
          <w:szCs w:val="22"/>
        </w:rPr>
        <w:t xml:space="preserve">Upgrade strategy for a live protocol without disrupting active users</w:t>
      </w:r>
    </w:p>
    <w:p>
      <w:pPr>
        <w:pStyle w:val="Heading2"/>
        <w:spacing w:after="160" w:before="360"/>
      </w:pPr>
      <w:r>
        <w:rPr>
          <w:b/>
          <w:bCs/>
          <w:color w:val="16213E"/>
        </w:rPr>
        <w:t xml:space="preserve">Round 5 — Behavioral &amp; Leadership (45 minutes)</w:t>
      </w:r>
    </w:p>
    <w:p>
      <w:pPr>
        <w:spacing w:after="80" w:before="80"/>
      </w:pPr>
      <w:r>
        <w:rPr>
          <w:color w:val="1A1A2E"/>
          <w:sz w:val="22"/>
          <w:szCs w:val="22"/>
        </w:rPr>
        <w:t xml:space="preserve">Assesses cross-functional impact, autonomy, and ownership. Interviewers probe for:</w:t>
      </w:r>
    </w:p>
    <w:p>
      <w:pPr>
        <w:pStyle w:val="ListParagraph"/>
        <w:numPr>
          <w:ilvl w:val="0"/>
          <w:numId w:val="2"/>
        </w:numPr>
        <w:spacing w:after="60" w:before="60"/>
      </w:pPr>
      <w:r>
        <w:rPr>
          <w:color w:val="1A1A2E"/>
          <w:sz w:val="22"/>
          <w:szCs w:val="22"/>
        </w:rPr>
        <w:t xml:space="preserve">Experience managing complex, multi-auditor projects from inception to mainnet deployment</w:t>
      </w:r>
    </w:p>
    <w:p>
      <w:pPr>
        <w:pStyle w:val="ListParagraph"/>
        <w:numPr>
          <w:ilvl w:val="0"/>
          <w:numId w:val="2"/>
        </w:numPr>
        <w:spacing w:after="60" w:before="60"/>
      </w:pPr>
      <w:r>
        <w:rPr>
          <w:color w:val="1A1A2E"/>
          <w:sz w:val="22"/>
          <w:szCs w:val="22"/>
        </w:rPr>
        <w:t xml:space="preserve">Managing protocol upgrades without disrupting active users</w:t>
      </w:r>
    </w:p>
    <w:p>
      <w:pPr>
        <w:pStyle w:val="ListParagraph"/>
        <w:numPr>
          <w:ilvl w:val="0"/>
          <w:numId w:val="2"/>
        </w:numPr>
        <w:spacing w:after="60" w:before="60"/>
      </w:pPr>
      <w:r>
        <w:rPr>
          <w:color w:val="1A1A2E"/>
          <w:sz w:val="22"/>
          <w:szCs w:val="22"/>
        </w:rPr>
        <w:t xml:space="preserve">Coordinating with independent security firms during audits</w:t>
      </w:r>
    </w:p>
    <w:p>
      <w:pPr>
        <w:pStyle w:val="ListParagraph"/>
        <w:numPr>
          <w:ilvl w:val="0"/>
          <w:numId w:val="2"/>
        </w:numPr>
        <w:spacing w:after="60" w:before="60"/>
      </w:pPr>
      <w:r>
        <w:rPr>
          <w:color w:val="1A1A2E"/>
          <w:sz w:val="22"/>
          <w:szCs w:val="22"/>
        </w:rPr>
        <w:t xml:space="preserve">Establishing incident response mechanisms (multisig circuit breakers)</w:t>
      </w:r>
    </w:p>
    <w:p>
      <w:pPr>
        <w:pStyle w:val="ListParagraph"/>
        <w:numPr>
          <w:ilvl w:val="0"/>
          <w:numId w:val="2"/>
        </w:numPr>
        <w:spacing w:after="60" w:before="60"/>
      </w:pPr>
      <w:r>
        <w:rPr>
          <w:color w:val="1A1A2E"/>
          <w:sz w:val="22"/>
          <w:szCs w:val="22"/>
        </w:rPr>
        <w:t xml:space="preserve">Dealing with operational realities: RPC latency, sub-100ms gRPC streams, bare-metal vs. shared infrastructure</w:t>
      </w:r>
    </w:p>
    <w:p>
      <w:pPr>
        <w:pStyle w:val="Heading2"/>
        <w:spacing w:after="160" w:before="360"/>
      </w:pPr>
      <w:r>
        <w:rPr>
          <w:b/>
          <w:bCs/>
          <w:color w:val="16213E"/>
        </w:rPr>
        <w:t xml:space="preserve">What Differentiates Senior Candidates</w:t>
      </w:r>
    </w:p>
    <w:p>
      <w:pPr>
        <w:pStyle w:val="ListParagraph"/>
        <w:numPr>
          <w:ilvl w:val="0"/>
          <w:numId w:val="2"/>
        </w:numPr>
        <w:spacing w:after="60" w:before="60"/>
      </w:pPr>
      <w:r>
        <w:rPr>
          <w:color w:val="1A1A2E"/>
          <w:sz w:val="22"/>
          <w:szCs w:val="22"/>
        </w:rPr>
        <w:t xml:space="preserve">Deep security knowledge — able to spot CPI and PDA bugs immediately</w:t>
      </w:r>
    </w:p>
    <w:p>
      <w:pPr>
        <w:pStyle w:val="ListParagraph"/>
        <w:numPr>
          <w:ilvl w:val="0"/>
          <w:numId w:val="2"/>
        </w:numPr>
        <w:spacing w:after="60" w:before="60"/>
      </w:pPr>
      <w:r>
        <w:rPr>
          <w:color w:val="1A1A2E"/>
          <w:sz w:val="22"/>
          <w:szCs w:val="22"/>
        </w:rPr>
        <w:t xml:space="preserve">Compute budget awareness embedded in every design decision</w:t>
      </w:r>
    </w:p>
    <w:p>
      <w:pPr>
        <w:pStyle w:val="ListParagraph"/>
        <w:numPr>
          <w:ilvl w:val="0"/>
          <w:numId w:val="2"/>
        </w:numPr>
        <w:spacing w:after="60" w:before="60"/>
      </w:pPr>
      <w:r>
        <w:rPr>
          <w:color w:val="1A1A2E"/>
          <w:sz w:val="22"/>
          <w:szCs w:val="22"/>
        </w:rPr>
        <w:t xml:space="preserve">Experience auditing or being audited by external firms</w:t>
      </w:r>
    </w:p>
    <w:p>
      <w:pPr>
        <w:pStyle w:val="ListParagraph"/>
        <w:numPr>
          <w:ilvl w:val="0"/>
          <w:numId w:val="2"/>
        </w:numPr>
        <w:spacing w:after="60" w:before="60"/>
      </w:pPr>
      <w:r>
        <w:rPr>
          <w:color w:val="1A1A2E"/>
          <w:sz w:val="22"/>
          <w:szCs w:val="22"/>
        </w:rPr>
        <w:t xml:space="preserve">Understanding of MEV and its impact on protocol design</w:t>
      </w:r>
    </w:p>
    <w:p>
      <w:pPr>
        <w:pStyle w:val="ListParagraph"/>
        <w:numPr>
          <w:ilvl w:val="0"/>
          <w:numId w:val="2"/>
        </w:numPr>
        <w:spacing w:after="60" w:before="60"/>
      </w:pPr>
      <w:r>
        <w:rPr>
          <w:color w:val="1A1A2E"/>
          <w:sz w:val="22"/>
          <w:szCs w:val="22"/>
        </w:rPr>
        <w:t xml:space="preserve">GitHub portfolio with live, deployed Solana programs on mainnet</w:t>
      </w:r>
    </w:p>
    <w:p>
      <w:pPr>
        <w:pBdr>
          <w:bottom w:val="single" w:color="CCCCDD" w:sz="4" w:space="1"/>
        </w:pBdr>
        <w:spacing w:after="240" w:before="240"/>
      </w:pPr>
      <w:r>
        <w:t xml:space="preserve"/>
      </w:r>
    </w:p>
    <w:p>
      <w:r>
        <w:br w:type="page"/>
      </w:r>
    </w:p>
    <w:p>
      <w:pPr>
        <w:spacing w:after="60" w:before="480"/>
      </w:pPr>
      <w:r>
        <w:rPr>
          <w:b/>
          <w:bCs/>
          <w:caps/>
          <w:color w:val="9945FF"/>
          <w:sz w:val="18"/>
          <w:szCs w:val="18"/>
        </w:rPr>
        <w:t xml:space="preserve">SECTION 02  </w:t>
      </w:r>
      <w:r>
        <w:rPr>
          <w:b/>
          <w:bCs/>
          <w:caps/>
          <w:color w:val="9945FF"/>
          <w:sz w:val="18"/>
          <w:szCs w:val="18"/>
        </w:rPr>
        <w:t xml:space="preserve">Interview Questions by Topic</w:t>
      </w:r>
    </w:p>
    <w:p>
      <w:pPr>
        <w:pStyle w:val="Heading1"/>
        <w:spacing w:after="200" w:before="480"/>
      </w:pPr>
      <w:r>
        <w:rPr>
          <w:b/>
          <w:bCs/>
          <w:color w:val="1A1A2E"/>
        </w:rPr>
        <w:t xml:space="preserve">Categorized Interview Questions &amp; Expert Answers</w:t>
      </w:r>
    </w:p>
    <w:p>
      <w:pPr>
        <w:spacing w:after="80" w:before="80"/>
      </w:pPr>
      <w:r>
        <w:rPr>
          <w:color w:val="1A1A2E"/>
          <w:sz w:val="22"/>
          <w:szCs w:val="22"/>
        </w:rPr>
        <w:t xml:space="preserve">The following table summarizes the main topic categories, representative interview questions, and the primary assessment goal for each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Topic Category</w:t>
            </w:r>
          </w:p>
        </w:tc>
        <w:tc>
          <w:tcPr>
            <w:tcW w:type="dxa" w:w="38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Core Interview Questions</w:t>
            </w:r>
          </w:p>
        </w:tc>
        <w:tc>
          <w:tcPr>
            <w:tcW w:type="dxa" w:w="336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Assessment Goal</w:t>
            </w:r>
          </w:p>
        </w:tc>
      </w:tr>
      <w:tr>
        <w:tc>
          <w:tcPr>
            <w:tcW w:type="dxa" w:w="2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Solana Fundamentals</w:t>
            </w:r>
          </w:p>
        </w:tc>
        <w:tc>
          <w:tcPr>
            <w:tcW w:type="dxa" w:w="3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Explain PoH. How does Sealevel parallelize execution? Explain rent exemption and account storage.</w:t>
            </w:r>
          </w:p>
        </w:tc>
        <w:tc>
          <w:tcPr>
            <w:tcW w:type="dxa" w:w="33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Mastery of consensus and the execution environment.</w:t>
            </w:r>
          </w:p>
        </w:tc>
      </w:tr>
      <w:tr>
        <w:tc>
          <w:tcPr>
            <w:tcW w:type="dxa" w:w="22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Rust Programming</w:t>
            </w:r>
          </w:p>
        </w:tc>
        <w:tc>
          <w:tcPr>
            <w:tcW w:type="dxa" w:w="3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How do ownership and lifetimes interact with Solana's account model? When is unsafe Rust acceptable?</w:t>
            </w:r>
          </w:p>
        </w:tc>
        <w:tc>
          <w:tcPr>
            <w:tcW w:type="dxa" w:w="33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Deep fluency in memory safety and zero-copy optimization.</w:t>
            </w:r>
          </w:p>
        </w:tc>
      </w:tr>
      <w:tr>
        <w:tc>
          <w:tcPr>
            <w:tcW w:type="dxa" w:w="2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Anchor Framework</w:t>
            </w:r>
          </w:p>
        </w:tc>
        <w:tc>
          <w:tcPr>
            <w:tcW w:type="dxa" w:w="3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Detail the macro expansion of #[derive(Accounts)]. Explain PDA derivation and CPI contexts.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Architectural proficiency using the industry-standard framework.</w:t>
            </w:r>
          </w:p>
        </w:tc>
      </w:tr>
      <w:tr>
        <w:tc>
          <w:tcPr>
            <w:tcW w:type="dxa" w:w="22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Smart Contract Security</w:t>
            </w:r>
          </w:p>
        </w:tc>
        <w:tc>
          <w:tcPr>
            <w:tcW w:type="dxa" w:w="3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Define a Revival Attack. How do you prevent CPI depth exhaustion? Explain account substitution attacks.</w:t>
            </w:r>
          </w:p>
        </w:tc>
        <w:tc>
          <w:tcPr>
            <w:tcW w:type="dxa" w:w="33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Defensive engineering and proactive vulnerability mitigation.</w:t>
            </w:r>
          </w:p>
        </w:tc>
      </w:tr>
      <w:tr>
        <w:tc>
          <w:tcPr>
            <w:tcW w:type="dxa" w:w="2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System Design</w:t>
            </w:r>
          </w:p>
        </w:tc>
        <w:tc>
          <w:tcPr>
            <w:tcW w:type="dxa" w:w="3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How do you architect a prediction market? Explain deterministic sharding to avoid write contention.</w:t>
            </w:r>
          </w:p>
        </w:tc>
        <w:tc>
          <w:tcPr>
            <w:tcW w:type="dxa" w:w="33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Scalability, data modeling, and distributed system design.</w:t>
            </w:r>
          </w:p>
        </w:tc>
      </w:tr>
      <w:tr>
        <w:tc>
          <w:tcPr>
            <w:tcW w:type="dxa" w:w="22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Advanced Topics</w:t>
            </w:r>
          </w:p>
        </w:tc>
        <w:tc>
          <w:tcPr>
            <w:tcW w:type="dxa" w:w="3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How does MEV work on Solana? What is Firedancer? What are Token Extensions (Token-2022)?</w:t>
            </w:r>
          </w:p>
        </w:tc>
        <w:tc>
          <w:tcPr>
            <w:tcW w:type="dxa" w:w="33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Awareness of cutting-edge ecosystem trends and their protocol impact.</w:t>
            </w:r>
          </w:p>
        </w:tc>
      </w:tr>
    </w:tbl>
    <w:p>
      <w:pPr>
        <w:pStyle w:val="Heading2"/>
        <w:spacing w:after="160" w:before="360"/>
      </w:pPr>
      <w:r>
        <w:rPr>
          <w:b/>
          <w:bCs/>
          <w:color w:val="16213E"/>
        </w:rPr>
        <w:t xml:space="preserve">A. Solana Fundamentals</w:t>
      </w:r>
    </w:p>
    <w:p>
      <w:pPr>
        <w:pStyle w:val="Heading3"/>
        <w:spacing w:after="120" w:before="280"/>
      </w:pPr>
      <w:r>
        <w:rPr>
          <w:b/>
          <w:bCs/>
          <w:color w:val="333355"/>
        </w:rPr>
        <w:t xml:space="preserve">Q: Explain Proof of History (PoH) and how it enables Solana's performance.</w:t>
      </w:r>
    </w:p>
    <w:p>
      <w:pPr>
        <w:spacing w:after="80" w:before="80"/>
      </w:pPr>
      <w:r>
        <w:rPr>
          <w:color w:val="1A1A2E"/>
          <w:sz w:val="22"/>
          <w:szCs w:val="22"/>
        </w:rPr>
        <w:t xml:space="preserve">PoH is a cryptographic clock built on a Verifiable Delay Function (VDF) — specifically continuous, recursive SHA-256 hashing. It creates a historical record proving that events occurred at specific points in time without requiring validators to synchronize clocks externally. Each hash output becomes the input for the next, creating a sequential, verifiable chain. Because VDFs are inherently sequential and cannot be parallelized, the output provably took a certain number of CPU cycles to compute.</w:t>
      </w:r>
    </w:p>
    <w:p>
      <w:pPr>
        <w:spacing w:after="80" w:before="80"/>
      </w:pPr>
      <w:r>
        <w:rPr>
          <w:color w:val="1A1A2E"/>
          <w:sz w:val="22"/>
          <w:szCs w:val="22"/>
        </w:rPr>
        <w:t xml:space="preserve">Why this matters for performance:</w:t>
      </w:r>
    </w:p>
    <w:p>
      <w:pPr>
        <w:pStyle w:val="ListParagraph"/>
        <w:numPr>
          <w:ilvl w:val="0"/>
          <w:numId w:val="2"/>
        </w:numPr>
        <w:spacing w:after="60" w:before="60"/>
      </w:pPr>
      <w:r>
        <w:rPr>
          <w:color w:val="1A1A2E"/>
          <w:sz w:val="22"/>
          <w:szCs w:val="22"/>
        </w:rPr>
        <w:t xml:space="preserve">Eliminates inter-validator clock-sync messages, drastically reducing network communication overhead</w:t>
      </w:r>
    </w:p>
    <w:p>
      <w:pPr>
        <w:pStyle w:val="ListParagraph"/>
        <w:numPr>
          <w:ilvl w:val="0"/>
          <w:numId w:val="2"/>
        </w:numPr>
        <w:spacing w:after="60" w:before="60"/>
      </w:pPr>
      <w:r>
        <w:rPr>
          <w:color w:val="1A1A2E"/>
          <w:sz w:val="22"/>
          <w:szCs w:val="22"/>
        </w:rPr>
        <w:t xml:space="preserve">Tower BFT (Solana's consensus algorithm) can leverage PoH timestamps to finalize consensus faster with fewer voting rounds</w:t>
      </w:r>
    </w:p>
    <w:p>
      <w:pPr>
        <w:pStyle w:val="ListParagraph"/>
        <w:numPr>
          <w:ilvl w:val="0"/>
          <w:numId w:val="2"/>
        </w:numPr>
        <w:spacing w:after="60" w:before="60"/>
      </w:pPr>
      <w:r>
        <w:rPr>
          <w:color w:val="1A1A2E"/>
          <w:sz w:val="22"/>
          <w:szCs w:val="22"/>
        </w:rPr>
        <w:t xml:space="preserve">Validators trust the VDF chain rather than agreeing on time — enabling sub-second block times (~400 ms slots)</w:t>
      </w:r>
    </w:p>
    <w:p>
      <w:pPr>
        <w:pStyle w:val="ListParagraph"/>
        <w:numPr>
          <w:ilvl w:val="0"/>
          <w:numId w:val="2"/>
        </w:numPr>
        <w:spacing w:after="60" w:before="60"/>
      </w:pPr>
      <w:r>
        <w:rPr>
          <w:color w:val="1A1A2E"/>
          <w:sz w:val="22"/>
          <w:szCs w:val="22"/>
        </w:rPr>
        <w:t xml:space="preserve">Enables Gulf Stream's transaction forwarding: because the leader schedule is known in advance, clients can forward transactions directly to upcoming leaders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PoH conceptual model (simplified)</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let hash = sha256(prev_hash + counter);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Each iteration is one "tick" — provably sequential</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The count encodes elapsed time in CPU cycles</w:t>
      </w:r>
    </w:p>
    <w:p>
      <w:pPr>
        <w:pStyle w:val="Heading3"/>
        <w:spacing w:after="120" w:before="280"/>
      </w:pPr>
      <w:r>
        <w:rPr>
          <w:b/>
          <w:bCs/>
          <w:color w:val="333355"/>
        </w:rPr>
        <w:t xml:space="preserve">Q: Describe Solana's account model. How does it differ from Ethereum's contract model?</w:t>
      </w:r>
    </w:p>
    <w:p>
      <w:pPr>
        <w:spacing w:after="80" w:before="80"/>
      </w:pPr>
      <w:r>
        <w:rPr>
          <w:color w:val="1A1A2E"/>
          <w:sz w:val="22"/>
          <w:szCs w:val="22"/>
        </w:rPr>
        <w:t xml:space="preserve">In Solana, everything is an account. Unlike Ethereum where contract storage lives inside the contract, Solana strictly separates code from state:</w:t>
      </w:r>
    </w:p>
    <w:p>
      <w:pPr>
        <w:pStyle w:val="ListParagraph"/>
        <w:numPr>
          <w:ilvl w:val="0"/>
          <w:numId w:val="2"/>
        </w:numPr>
        <w:spacing w:after="60" w:before="60"/>
      </w:pPr>
      <w:r>
        <w:rPr>
          <w:color w:val="1A1A2E"/>
          <w:sz w:val="22"/>
          <w:szCs w:val="22"/>
        </w:rPr>
        <w:t xml:space="preserve">Program accounts — store executable bytecode (immutable once deployed without upgrade authority)</w:t>
      </w:r>
    </w:p>
    <w:p>
      <w:pPr>
        <w:pStyle w:val="ListParagraph"/>
        <w:numPr>
          <w:ilvl w:val="0"/>
          <w:numId w:val="2"/>
        </w:numPr>
        <w:spacing w:after="60" w:before="60"/>
      </w:pPr>
      <w:r>
        <w:rPr>
          <w:color w:val="1A1A2E"/>
          <w:sz w:val="22"/>
          <w:szCs w:val="22"/>
        </w:rPr>
        <w:t xml:space="preserve">Data accounts — store state, owned by a program; only that program can write to them</w:t>
      </w:r>
    </w:p>
    <w:p>
      <w:pPr>
        <w:pStyle w:val="ListParagraph"/>
        <w:numPr>
          <w:ilvl w:val="0"/>
          <w:numId w:val="2"/>
        </w:numPr>
        <w:spacing w:after="60" w:before="60"/>
      </w:pPr>
      <w:r>
        <w:rPr>
          <w:color w:val="1A1A2E"/>
          <w:sz w:val="22"/>
          <w:szCs w:val="22"/>
        </w:rPr>
        <w:t xml:space="preserve">Wallet accounts — hold SOL, owned by the System Program</w:t>
      </w:r>
    </w:p>
    <w:p>
      <w:pPr>
        <w:pStyle w:val="ListParagraph"/>
        <w:numPr>
          <w:ilvl w:val="0"/>
          <w:numId w:val="2"/>
        </w:numPr>
        <w:spacing w:after="60" w:before="60"/>
      </w:pPr>
      <w:r>
        <w:rPr>
          <w:color w:val="1A1A2E"/>
          <w:sz w:val="22"/>
          <w:szCs w:val="22"/>
        </w:rPr>
        <w:t xml:space="preserve">Token accounts — store token balances, owned by the SPL Token Program</w:t>
      </w:r>
    </w:p>
    <w:p>
      <w:pPr>
        <w:spacing w:after="80" w:before="80"/>
      </w:pPr>
      <w:r>
        <w:rPr>
          <w:color w:val="1A1A2E"/>
          <w:sz w:val="22"/>
          <w:szCs w:val="22"/>
        </w:rPr>
        <w:t xml:space="preserve">This separation enables Sealevel's parallel execution: transactions declare which accounts they access, so non-conflicting transactions run concurrently across multiple 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Feature</w:t>
            </w:r>
          </w:p>
        </w:tc>
        <w:tc>
          <w:tcPr>
            <w:tcW w:type="dxa" w:w="35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Solana</w:t>
            </w:r>
          </w:p>
        </w:tc>
        <w:tc>
          <w:tcPr>
            <w:tcW w:type="dxa" w:w="336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Ethereum</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State storage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Separate data accounts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Inside contract storage</w:t>
            </w:r>
          </w:p>
        </w:tc>
      </w:tr>
      <w:tr>
        <w:tc>
          <w:tcPr>
            <w:tcW w:type="dxa" w:w="25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Code mutability</w:t>
            </w:r>
          </w:p>
        </w:tc>
        <w:tc>
          <w:tcPr>
            <w:tcW w:type="dxa" w:w="35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Upgradeable (with authority)</w:t>
            </w:r>
          </w:p>
        </w:tc>
        <w:tc>
          <w:tcPr>
            <w:tcW w:type="dxa" w:w="33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Immutable (proxy pattern needed)</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Fee model</w:t>
            </w:r>
          </w:p>
        </w:tc>
        <w:tc>
          <w:tcPr>
            <w:tcW w:type="dxa" w:w="3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Compute Units (CUs)</w:t>
            </w:r>
          </w:p>
        </w:tc>
        <w:tc>
          <w:tcPr>
            <w:tcW w:type="dxa" w:w="33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Gas (EIP-1559)</w:t>
            </w:r>
          </w:p>
        </w:tc>
      </w:tr>
      <w:tr>
        <w:tc>
          <w:tcPr>
            <w:tcW w:type="dxa" w:w="25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Parallelism</w:t>
            </w:r>
          </w:p>
        </w:tc>
        <w:tc>
          <w:tcPr>
            <w:tcW w:type="dxa" w:w="35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Sealevel — explicit read/write sets</w:t>
            </w:r>
          </w:p>
        </w:tc>
        <w:tc>
          <w:tcPr>
            <w:tcW w:type="dxa" w:w="33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Single-threaded EVM</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Rent</w:t>
            </w:r>
          </w:p>
        </w:tc>
        <w:tc>
          <w:tcPr>
            <w:tcW w:type="dxa" w:w="3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Accounts require rent-exempt SOL deposit</w:t>
            </w:r>
          </w:p>
        </w:tc>
        <w:tc>
          <w:tcPr>
            <w:tcW w:type="dxa" w:w="33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Storage costs are gas-based</w:t>
            </w:r>
          </w:p>
        </w:tc>
      </w:tr>
      <w:tr>
        <w:tc>
          <w:tcPr>
            <w:tcW w:type="dxa" w:w="25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State access</w:t>
            </w:r>
          </w:p>
        </w:tc>
        <w:tc>
          <w:tcPr>
            <w:tcW w:type="dxa" w:w="35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Must declare all accounts upfront</w:t>
            </w:r>
          </w:p>
        </w:tc>
        <w:tc>
          <w:tcPr>
            <w:tcW w:type="dxa" w:w="33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Dynamic discovery during execution</w:t>
            </w:r>
          </w:p>
        </w:tc>
      </w:tr>
    </w:tbl>
    <w:p>
      <w:pPr>
        <w:pStyle w:val="Heading3"/>
        <w:spacing w:after="120" w:before="280"/>
      </w:pPr>
      <w:r>
        <w:rPr>
          <w:b/>
          <w:bCs/>
          <w:color w:val="333355"/>
        </w:rPr>
        <w:t xml:space="preserve">Q: What is a Program Derived Address (PDA)? When and why would you use one?</w:t>
      </w:r>
    </w:p>
    <w:p>
      <w:pPr>
        <w:spacing w:after="80" w:before="80"/>
      </w:pPr>
      <w:r>
        <w:rPr>
          <w:color w:val="1A1A2E"/>
          <w:sz w:val="22"/>
          <w:szCs w:val="22"/>
        </w:rPr>
        <w:t xml:space="preserve">A PDA is a deterministic account address derived from a program ID and seeds, but it does not lie on the ed25519 elliptic curve — meaning no private key can sign for it. Only the program itself can sign via invoke_signed(). This makes PDAs the cornerstone of trustless, program-controlled state.</w:t>
      </w:r>
    </w:p>
    <w:p>
      <w:pPr>
        <w:spacing w:after="80" w:before="80"/>
      </w:pPr>
      <w:r>
        <w:rPr>
          <w:color w:val="1A1A2E"/>
          <w:sz w:val="22"/>
          <w:szCs w:val="22"/>
        </w:rPr>
        <w:t xml:space="preserve">Why use PDAs:</w:t>
      </w:r>
    </w:p>
    <w:p>
      <w:pPr>
        <w:pStyle w:val="ListParagraph"/>
        <w:numPr>
          <w:ilvl w:val="0"/>
          <w:numId w:val="2"/>
        </w:numPr>
        <w:spacing w:after="60" w:before="60"/>
      </w:pPr>
      <w:r>
        <w:rPr>
          <w:color w:val="1A1A2E"/>
          <w:sz w:val="22"/>
          <w:szCs w:val="22"/>
        </w:rPr>
        <w:t xml:space="preserve">Program-controlled accounts — the program is the sole authority, enabling trustless escrow, vaults, and liquidity pools</w:t>
      </w:r>
    </w:p>
    <w:p>
      <w:pPr>
        <w:pStyle w:val="ListParagraph"/>
        <w:numPr>
          <w:ilvl w:val="0"/>
          <w:numId w:val="2"/>
        </w:numPr>
        <w:spacing w:after="60" w:before="60"/>
      </w:pPr>
      <w:r>
        <w:rPr>
          <w:color w:val="1A1A2E"/>
          <w:sz w:val="22"/>
          <w:szCs w:val="22"/>
        </w:rPr>
        <w:t xml:space="preserve">Deterministic addressing — any client can re-derive the address from seeds without storing it</w:t>
      </w:r>
    </w:p>
    <w:p>
      <w:pPr>
        <w:pStyle w:val="ListParagraph"/>
        <w:numPr>
          <w:ilvl w:val="0"/>
          <w:numId w:val="2"/>
        </w:numPr>
        <w:spacing w:after="60" w:before="60"/>
      </w:pPr>
      <w:r>
        <w:rPr>
          <w:color w:val="1A1A2E"/>
          <w:sz w:val="22"/>
          <w:szCs w:val="22"/>
        </w:rPr>
        <w:t xml:space="preserve">Namespacing — seeds like [b"user", user_pubkey] create per-user accounts that cannot collide</w:t>
      </w:r>
    </w:p>
    <w:p>
      <w:pPr>
        <w:pStyle w:val="ListParagraph"/>
        <w:numPr>
          <w:ilvl w:val="0"/>
          <w:numId w:val="2"/>
        </w:numPr>
        <w:spacing w:after="60" w:before="60"/>
      </w:pPr>
      <w:r>
        <w:rPr>
          <w:color w:val="1A1A2E"/>
          <w:sz w:val="22"/>
          <w:szCs w:val="22"/>
        </w:rPr>
        <w:t xml:space="preserve">Bump caching — always cache the bump seed in the account to avoid expensive re-computation on every instruction</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Deriving a PDA (native)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let (pda, bump) = Pubkey::find_program_address(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&amp;[b"vault", user.key().as_ref()],</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program_id,</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In Anchor — declarative and cleaner: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#[account(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init,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payer = user,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space = 8 + Vault::LEN,</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seeds = [b"vault", user.key().as_ref()],</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bump</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vault: Account&lt;'info, Vault&gt;,</w:t>
      </w:r>
    </w:p>
    <w:p>
      <w:pPr>
        <w:pBdr>
          <w:left w:val="single" w:color="9945FF" w:sz="8" w:space="4"/>
        </w:pBdr>
        <w:shd w:fill="EEF0FF" w:val="clear"/>
        <w:spacing w:after="120" w:before="120"/>
        <w:ind w:left="360" w:right="360"/>
      </w:pPr>
      <w:r>
        <w:rPr>
          <w:b/>
          <w:bCs/>
          <w:color w:val="9945FF"/>
          <w:sz w:val="20"/>
          <w:szCs w:val="20"/>
        </w:rPr>
        <w:t xml:space="preserve">Common Use-Cases:  </w:t>
      </w:r>
      <w:r>
        <w:rPr>
          <w:color w:val="1A1A2E"/>
          <w:sz w:val="20"/>
          <w:szCs w:val="20"/>
        </w:rPr>
        <w:t xml:space="preserve">Token vaults, escrow accounts, stake pools, DAO treasuries, user profile accounts, and any account that a program — not a user — must own and control.</w:t>
      </w:r>
    </w:p>
    <w:p>
      <w:pPr>
        <w:pStyle w:val="Heading3"/>
        <w:spacing w:after="120" w:before="280"/>
      </w:pPr>
      <w:r>
        <w:rPr>
          <w:b/>
          <w:bCs/>
          <w:color w:val="333355"/>
        </w:rPr>
        <w:t xml:space="preserve">Q: How does Sealevel enable parallel transaction execution? What are its constraints?</w:t>
      </w:r>
    </w:p>
    <w:p>
      <w:pPr>
        <w:spacing w:after="80" w:before="80"/>
      </w:pPr>
      <w:r>
        <w:rPr>
          <w:color w:val="1A1A2E"/>
          <w:sz w:val="22"/>
          <w:szCs w:val="22"/>
        </w:rPr>
        <w:t xml:space="preserve">Sealevel is Solana's parallel smart-contract runtime. Every transaction must declare all accounts it will read and write before execution. The scheduler then:</w:t>
      </w:r>
    </w:p>
    <w:p>
      <w:pPr>
        <w:pStyle w:val="ListParagraph"/>
        <w:numPr>
          <w:ilvl w:val="0"/>
          <w:numId w:val="2"/>
        </w:numPr>
        <w:spacing w:after="60" w:before="60"/>
      </w:pPr>
      <w:r>
        <w:rPr>
          <w:color w:val="1A1A2E"/>
          <w:sz w:val="22"/>
          <w:szCs w:val="22"/>
        </w:rPr>
        <w:t xml:space="preserve">Groups transactions by their read/write account sets</w:t>
      </w:r>
    </w:p>
    <w:p>
      <w:pPr>
        <w:pStyle w:val="ListParagraph"/>
        <w:numPr>
          <w:ilvl w:val="0"/>
          <w:numId w:val="2"/>
        </w:numPr>
        <w:spacing w:after="60" w:before="60"/>
      </w:pPr>
      <w:r>
        <w:rPr>
          <w:color w:val="1A1A2E"/>
          <w:sz w:val="22"/>
          <w:szCs w:val="22"/>
        </w:rPr>
        <w:t xml:space="preserve">Executes transactions touching disjoint accounts concurrently across CPU cores (and even GPU threads via SIMD optimizations)</w:t>
      </w:r>
    </w:p>
    <w:p>
      <w:pPr>
        <w:pStyle w:val="ListParagraph"/>
        <w:numPr>
          <w:ilvl w:val="0"/>
          <w:numId w:val="2"/>
        </w:numPr>
        <w:spacing w:after="60" w:before="60"/>
      </w:pPr>
      <w:r>
        <w:rPr>
          <w:color w:val="1A1A2E"/>
          <w:sz w:val="22"/>
          <w:szCs w:val="22"/>
        </w:rPr>
        <w:t xml:space="preserve">Serializes only transactions that share a writable account (lock contention)</w:t>
      </w:r>
    </w:p>
    <w:p>
      <w:pPr>
        <w:pStyle w:val="ListParagraph"/>
        <w:numPr>
          <w:ilvl w:val="0"/>
          <w:numId w:val="2"/>
        </w:numPr>
        <w:spacing w:after="60" w:before="60"/>
      </w:pPr>
      <w:r>
        <w:rPr>
          <w:color w:val="1A1A2E"/>
          <w:sz w:val="22"/>
          <w:szCs w:val="22"/>
        </w:rPr>
        <w:t xml:space="preserve">Sorts transactions by program ID and runs the same program over multiple independent accounts in parallel — leveraging SIMD instructions</w:t>
      </w:r>
    </w:p>
    <w:p>
      <w:pPr>
        <w:spacing w:after="80" w:before="80"/>
      </w:pPr>
      <w:r>
        <w:rPr>
          <w:color w:val="1A1A2E"/>
          <w:sz w:val="22"/>
          <w:szCs w:val="22"/>
        </w:rPr>
        <w:t xml:space="preserve">Design constraints and implications:</w:t>
      </w:r>
    </w:p>
    <w:p>
      <w:pPr>
        <w:pStyle w:val="ListParagraph"/>
        <w:numPr>
          <w:ilvl w:val="0"/>
          <w:numId w:val="2"/>
        </w:numPr>
        <w:spacing w:after="60" w:before="60"/>
      </w:pPr>
      <w:r>
        <w:rPr>
          <w:color w:val="1A1A2E"/>
          <w:sz w:val="22"/>
          <w:szCs w:val="22"/>
        </w:rPr>
        <w:t xml:space="preserve">Hot accounts (e.g., a single AMM pool) become throughput bottlenecks when many transactions write to them simultaneously, creating localized fee markets</w:t>
      </w:r>
    </w:p>
    <w:p>
      <w:pPr>
        <w:pStyle w:val="ListParagraph"/>
        <w:numPr>
          <w:ilvl w:val="0"/>
          <w:numId w:val="2"/>
        </w:numPr>
        <w:spacing w:after="60" w:before="60"/>
      </w:pPr>
      <w:r>
        <w:rPr>
          <w:color w:val="1A1A2E"/>
          <w:sz w:val="22"/>
          <w:szCs w:val="22"/>
        </w:rPr>
        <w:t xml:space="preserve">Dynamic account discovery during execution is not possible — all accounts must be declared upfront</w:t>
      </w:r>
    </w:p>
    <w:p>
      <w:pPr>
        <w:pStyle w:val="ListParagraph"/>
        <w:numPr>
          <w:ilvl w:val="0"/>
          <w:numId w:val="2"/>
        </w:numPr>
        <w:spacing w:after="60" w:before="60"/>
      </w:pPr>
      <w:r>
        <w:rPr>
          <w:color w:val="1A1A2E"/>
          <w:sz w:val="22"/>
          <w:szCs w:val="22"/>
        </w:rPr>
        <w:t xml:space="preserve">To maximize parallelism: split large shared state into many smaller accounts (e.g., per-user rather than one global account)</w:t>
      </w:r>
    </w:p>
    <w:p>
      <w:pPr>
        <w:pStyle w:val="ListParagraph"/>
        <w:numPr>
          <w:ilvl w:val="0"/>
          <w:numId w:val="2"/>
        </w:numPr>
        <w:spacing w:after="60" w:before="60"/>
      </w:pPr>
      <w:r>
        <w:rPr>
          <w:color w:val="1A1A2E"/>
          <w:sz w:val="22"/>
          <w:szCs w:val="22"/>
        </w:rPr>
        <w:t xml:space="preserve">CPIs that write to accounts block parallel execution on those accounts</w:t>
      </w:r>
    </w:p>
    <w:p>
      <w:pPr>
        <w:pStyle w:val="Heading3"/>
        <w:spacing w:after="120" w:before="280"/>
      </w:pPr>
      <w:r>
        <w:rPr>
          <w:b/>
          <w:bCs/>
          <w:color w:val="333355"/>
        </w:rPr>
        <w:t xml:space="preserve">Q: Explain rent exemption. What happens to accounts that fall below the threshold?</w:t>
      </w:r>
    </w:p>
    <w:p>
      <w:pPr>
        <w:spacing w:after="80" w:before="80"/>
      </w:pPr>
      <w:r>
        <w:rPr>
          <w:color w:val="1A1A2E"/>
          <w:sz w:val="22"/>
          <w:szCs w:val="22"/>
        </w:rPr>
        <w:t xml:space="preserve">Accounts on Solana must hold a minimum SOL balance proportional to their data size to be rent-exempt. This prevents unbounded state growth by making storage economically sustainable. The threshold is approximately 0.00203 SOL per 128 bytes of account data.</w:t>
      </w:r>
    </w:p>
    <w:p>
      <w:pPr>
        <w:pStyle w:val="ListParagraph"/>
        <w:numPr>
          <w:ilvl w:val="0"/>
          <w:numId w:val="2"/>
        </w:numPr>
        <w:spacing w:after="60" w:before="60"/>
      </w:pPr>
      <w:r>
        <w:rPr>
          <w:color w:val="1A1A2E"/>
          <w:sz w:val="22"/>
          <w:szCs w:val="22"/>
        </w:rPr>
        <w:t xml:space="preserve">Accounts below this threshold are subject to periodic rent deduction; if a balance hits zero, the account is purged by the garbage collector</w:t>
      </w:r>
    </w:p>
    <w:p>
      <w:pPr>
        <w:pStyle w:val="ListParagraph"/>
        <w:numPr>
          <w:ilvl w:val="0"/>
          <w:numId w:val="2"/>
        </w:numPr>
        <w:spacing w:after="60" w:before="60"/>
      </w:pPr>
      <w:r>
        <w:rPr>
          <w:color w:val="1A1A2E"/>
          <w:sz w:val="22"/>
          <w:szCs w:val="22"/>
        </w:rPr>
        <w:t xml:space="preserve">Best practice: always initialize accounts with enough SOL to be rent-exempt from the start</w:t>
      </w:r>
    </w:p>
    <w:p>
      <w:pPr>
        <w:pStyle w:val="ListParagraph"/>
        <w:numPr>
          <w:ilvl w:val="0"/>
          <w:numId w:val="2"/>
        </w:numPr>
        <w:spacing w:after="60" w:before="60"/>
      </w:pPr>
      <w:r>
        <w:rPr>
          <w:color w:val="1A1A2E"/>
          <w:sz w:val="22"/>
          <w:szCs w:val="22"/>
        </w:rPr>
        <w:t xml:space="preserve">When closing an account: return all lamports to the payer AND zero the data — failure to do so enables account resurrection attacks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Closing an account properly in Anchor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#[account(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mut,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close = user // transfers lamports to user, zeroes data, invalidates discriminator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data_account: Account&lt;'info, MyData&gt;,</w:t>
      </w:r>
    </w:p>
    <w:p>
      <w:pPr>
        <w:pStyle w:val="Heading3"/>
        <w:spacing w:after="120" w:before="280"/>
      </w:pPr>
      <w:r>
        <w:rPr>
          <w:b/>
          <w:bCs/>
          <w:color w:val="333355"/>
        </w:rPr>
        <w:t xml:space="preserve">Q: What is Gulf Stream and how does it reduce confirmation latency?</w:t>
      </w:r>
    </w:p>
    <w:p>
      <w:pPr>
        <w:spacing w:after="80" w:before="80"/>
      </w:pPr>
      <w:r>
        <w:rPr>
          <w:color w:val="1A1A2E"/>
          <w:sz w:val="22"/>
          <w:szCs w:val="22"/>
        </w:rPr>
        <w:t xml:space="preserve">Gulf Stream is Solana's mempool-less transaction forwarding protocol. Because Solana's leader schedule is known in advance via PoH, clients and validators can forward transactions directly to the upcoming leader rather than broadcasting to the entire network.</w:t>
      </w:r>
    </w:p>
    <w:p>
      <w:pPr>
        <w:pStyle w:val="ListParagraph"/>
        <w:numPr>
          <w:ilvl w:val="0"/>
          <w:numId w:val="2"/>
        </w:numPr>
        <w:spacing w:after="60" w:before="60"/>
      </w:pPr>
      <w:r>
        <w:rPr>
          <w:color w:val="1A1A2E"/>
          <w:sz w:val="22"/>
          <w:szCs w:val="22"/>
        </w:rPr>
        <w:t xml:space="preserve">Validators pre-process and cache transactions before their slot begins — reducing slot time</w:t>
      </w:r>
    </w:p>
    <w:p>
      <w:pPr>
        <w:pStyle w:val="ListParagraph"/>
        <w:numPr>
          <w:ilvl w:val="0"/>
          <w:numId w:val="2"/>
        </w:numPr>
        <w:spacing w:after="60" w:before="60"/>
      </w:pPr>
      <w:r>
        <w:rPr>
          <w:color w:val="1A1A2E"/>
          <w:sz w:val="22"/>
          <w:szCs w:val="22"/>
        </w:rPr>
        <w:t xml:space="preserve">No traditional mempool means no mempool-based front-running (though searchers use Jito bundles for MEV)</w:t>
      </w:r>
    </w:p>
    <w:p>
      <w:pPr>
        <w:pStyle w:val="ListParagraph"/>
        <w:numPr>
          <w:ilvl w:val="0"/>
          <w:numId w:val="2"/>
        </w:numPr>
        <w:spacing w:after="60" w:before="60"/>
      </w:pPr>
      <w:r>
        <w:rPr>
          <w:color w:val="1A1A2E"/>
          <w:sz w:val="22"/>
          <w:szCs w:val="22"/>
        </w:rPr>
        <w:t xml:space="preserve">Reduces unconfirmed transactions held in memory across the network</w:t>
      </w:r>
    </w:p>
    <w:p>
      <w:pPr>
        <w:pStyle w:val="ListParagraph"/>
        <w:numPr>
          <w:ilvl w:val="0"/>
          <w:numId w:val="2"/>
        </w:numPr>
        <w:spacing w:after="60" w:before="60"/>
      </w:pPr>
      <w:r>
        <w:rPr>
          <w:color w:val="1A1A2E"/>
          <w:sz w:val="22"/>
          <w:szCs w:val="22"/>
        </w:rPr>
        <w:t xml:space="preserve">Enables ~400 ms optimistic confirmation and ~13 s full finality</w:t>
      </w:r>
    </w:p>
    <w:p>
      <w:pPr>
        <w:pBdr>
          <w:left w:val="single" w:color="9945FF" w:sz="8" w:space="4"/>
        </w:pBdr>
        <w:shd w:fill="EEF0FF" w:val="clear"/>
        <w:spacing w:after="120" w:before="120"/>
        <w:ind w:left="360" w:right="360"/>
      </w:pPr>
      <w:r>
        <w:rPr>
          <w:b/>
          <w:bCs/>
          <w:color w:val="9945FF"/>
          <w:sz w:val="20"/>
          <w:szCs w:val="20"/>
        </w:rPr>
        <w:t xml:space="preserve">⚠️ Caveat:  </w:t>
      </w:r>
      <w:r>
        <w:rPr>
          <w:color w:val="1A1A2E"/>
          <w:sz w:val="20"/>
          <w:szCs w:val="20"/>
        </w:rPr>
        <w:t xml:space="preserve">If you send a transaction to the wrong leader or a leader is skipped, your transaction may expire. Use durable nonces or retry with fresh blockhashes for critical flows.</w:t>
      </w:r>
    </w:p>
    <w:p>
      <w:pPr>
        <w:pStyle w:val="Heading2"/>
        <w:spacing w:after="160" w:before="360"/>
      </w:pPr>
      <w:r>
        <w:rPr>
          <w:b/>
          <w:bCs/>
          <w:color w:val="16213E"/>
        </w:rPr>
        <w:t xml:space="preserve">B. Rust Programming</w:t>
      </w:r>
    </w:p>
    <w:p>
      <w:pPr>
        <w:pStyle w:val="Heading3"/>
        <w:spacing w:after="120" w:before="280"/>
      </w:pPr>
      <w:r>
        <w:rPr>
          <w:b/>
          <w:bCs/>
          <w:color w:val="333355"/>
        </w:rPr>
        <w:t xml:space="preserve">Q: Explain Rust's ownership model. Why is it well-suited for Solana program development?</w:t>
      </w:r>
    </w:p>
    <w:p>
      <w:pPr>
        <w:spacing w:after="80" w:before="80"/>
      </w:pPr>
      <w:r>
        <w:rPr>
          <w:color w:val="1A1A2E"/>
          <w:sz w:val="22"/>
          <w:szCs w:val="22"/>
        </w:rPr>
        <w:t xml:space="preserve">Rust enforces three ownership rules at compile time:</w:t>
      </w:r>
    </w:p>
    <w:p>
      <w:pPr>
        <w:pStyle w:val="ListParagraph"/>
        <w:numPr>
          <w:ilvl w:val="0"/>
          <w:numId w:val="2"/>
        </w:numPr>
        <w:spacing w:after="60" w:before="60"/>
      </w:pPr>
      <w:r>
        <w:rPr>
          <w:color w:val="1A1A2E"/>
          <w:sz w:val="22"/>
          <w:szCs w:val="22"/>
        </w:rPr>
        <w:t xml:space="preserve">Every value has exactly one owner at any time</w:t>
      </w:r>
    </w:p>
    <w:p>
      <w:pPr>
        <w:pStyle w:val="ListParagraph"/>
        <w:numPr>
          <w:ilvl w:val="0"/>
          <w:numId w:val="2"/>
        </w:numPr>
        <w:spacing w:after="60" w:before="60"/>
      </w:pPr>
      <w:r>
        <w:rPr>
          <w:color w:val="1A1A2E"/>
          <w:sz w:val="22"/>
          <w:szCs w:val="22"/>
        </w:rPr>
        <w:t xml:space="preserve">When the owner goes out of scope, the value is dropped (no GC needed)</w:t>
      </w:r>
    </w:p>
    <w:p>
      <w:pPr>
        <w:pStyle w:val="ListParagraph"/>
        <w:numPr>
          <w:ilvl w:val="0"/>
          <w:numId w:val="2"/>
        </w:numPr>
        <w:spacing w:after="60" w:before="60"/>
      </w:pPr>
      <w:r>
        <w:rPr>
          <w:color w:val="1A1A2E"/>
          <w:sz w:val="22"/>
          <w:szCs w:val="22"/>
        </w:rPr>
        <w:t xml:space="preserve">Borrowing (references) allows temporary access without transferring ownership</w:t>
      </w:r>
    </w:p>
    <w:p>
      <w:pPr>
        <w:spacing w:after="80" w:before="80"/>
      </w:pPr>
      <w:r>
        <w:rPr>
          <w:color w:val="1A1A2E"/>
          <w:sz w:val="22"/>
          <w:szCs w:val="22"/>
        </w:rPr>
        <w:t xml:space="preserve">Why ownership is critical for Solana:</w:t>
      </w:r>
    </w:p>
    <w:p>
      <w:pPr>
        <w:pStyle w:val="ListParagraph"/>
        <w:numPr>
          <w:ilvl w:val="0"/>
          <w:numId w:val="2"/>
        </w:numPr>
        <w:spacing w:after="60" w:before="60"/>
      </w:pPr>
      <w:r>
        <w:rPr>
          <w:b/>
          <w:bCs/>
          <w:color w:val="1A1A2E"/>
          <w:sz w:val="22"/>
          <w:szCs w:val="22"/>
        </w:rPr>
        <w:t xml:space="preserve">No garbage collector — </w:t>
      </w:r>
      <w:r>
        <w:rPr>
          <w:color w:val="1A1A2E"/>
          <w:sz w:val="22"/>
          <w:szCs w:val="22"/>
        </w:rPr>
        <w:t xml:space="preserve">GC pauses would be catastrophic for a blockchain runtime targeting ~400 ms slots</w:t>
      </w:r>
    </w:p>
    <w:p>
      <w:pPr>
        <w:pStyle w:val="ListParagraph"/>
        <w:numPr>
          <w:ilvl w:val="0"/>
          <w:numId w:val="2"/>
        </w:numPr>
        <w:spacing w:after="60" w:before="60"/>
      </w:pPr>
      <w:r>
        <w:rPr>
          <w:b/>
          <w:bCs/>
          <w:color w:val="1A1A2E"/>
          <w:sz w:val="22"/>
          <w:szCs w:val="22"/>
        </w:rPr>
        <w:t xml:space="preserve">Zero-cost abstractions — </w:t>
      </w:r>
      <w:r>
        <w:rPr>
          <w:color w:val="1A1A2E"/>
          <w:sz w:val="22"/>
          <w:szCs w:val="22"/>
        </w:rPr>
        <w:t xml:space="preserve">high-level code compiles to the same machine instructions as hand-optimized C</w:t>
      </w:r>
    </w:p>
    <w:p>
      <w:pPr>
        <w:pStyle w:val="ListParagraph"/>
        <w:numPr>
          <w:ilvl w:val="0"/>
          <w:numId w:val="2"/>
        </w:numPr>
        <w:spacing w:after="60" w:before="60"/>
      </w:pPr>
      <w:r>
        <w:rPr>
          <w:b/>
          <w:bCs/>
          <w:color w:val="1A1A2E"/>
          <w:sz w:val="22"/>
          <w:szCs w:val="22"/>
        </w:rPr>
        <w:t xml:space="preserve">Memory safety without a VM — </w:t>
      </w:r>
      <w:r>
        <w:rPr>
          <w:color w:val="1A1A2E"/>
          <w:sz w:val="22"/>
          <w:szCs w:val="22"/>
        </w:rPr>
        <w:t xml:space="preserve">eliminates buffer overflows, use-after-free, and null pointer dereferences at compile time. Microsoft estimates these account for ~70% of CVEs in C/C++ codebases</w:t>
      </w:r>
    </w:p>
    <w:p>
      <w:pPr>
        <w:pStyle w:val="ListParagraph"/>
        <w:numPr>
          <w:ilvl w:val="0"/>
          <w:numId w:val="2"/>
        </w:numPr>
        <w:spacing w:after="60" w:before="60"/>
      </w:pPr>
      <w:r>
        <w:rPr>
          <w:b/>
          <w:bCs/>
          <w:color w:val="1A1A2E"/>
          <w:sz w:val="22"/>
          <w:szCs w:val="22"/>
        </w:rPr>
        <w:t xml:space="preserve">Fearless concurrency — </w:t>
      </w:r>
      <w:r>
        <w:rPr>
          <w:color w:val="1A1A2E"/>
          <w:sz w:val="22"/>
          <w:szCs w:val="22"/>
        </w:rPr>
        <w:t xml:space="preserve">the borrow checker prevents data races, directly enabling Sealevel's parallel execution model</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Single owner — s2 gets ownership, s1 is invalid</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let s1 = String::from("solana");</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let s2 = s1;  // s1 moved; using s1 here = compile error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Borrowing — no transfer of ownership</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fn print_len(s: &amp;String)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println!("{}", s.len());  // just borrows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let s3 = String::from("anchor");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print_len(&amp;s3);  // s3 still valid here</w:t>
      </w:r>
    </w:p>
    <w:p>
      <w:pPr>
        <w:pStyle w:val="Heading3"/>
        <w:spacing w:after="120" w:before="280"/>
      </w:pPr>
      <w:r>
        <w:rPr>
          <w:b/>
          <w:bCs/>
          <w:color w:val="333355"/>
        </w:rPr>
        <w:t xml:space="preserve">Q: What are lifetimes in Rust? Give a Solana-specific example.</w:t>
      </w:r>
    </w:p>
    <w:p>
      <w:pPr>
        <w:spacing w:after="80" w:before="80"/>
      </w:pPr>
      <w:r>
        <w:rPr>
          <w:color w:val="1A1A2E"/>
          <w:sz w:val="22"/>
          <w:szCs w:val="22"/>
        </w:rPr>
        <w:t xml:space="preserve">Lifetimes are Rust's way of tracking how long references remain valid, preventing dangling references at compile time. They are denoted with 'a syntax. In Solana, the AccountInfo struct uses lifetimes to ensure references to account data cannot outlive the transaction execution context — preventing a whole class of bugs where stale account data is used after the execution context has gone.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AccountInfo borrows from the transaction context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Its lifetime 'info must not outlive the transaction</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struct AccountInfo&lt;'info&gt;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key: &amp;'info Pubkey,</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lamports: Rc&lt;RefCell&lt;&amp;'info mut u64&gt;&gt;,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data: Rc&lt;RefCell&lt;&amp;'info mut [u8]&gt;&gt;,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owner: &amp;'info Pubkey,</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Anchor's Context ties all account lifetimes together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struct Context&lt;'a, 'b, 'c, 'info, T&gt;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accounts: &amp;'b mut 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remaining_accounts: &amp;'c [AccountInfo&lt;'info&gt;],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Style w:val="Heading3"/>
        <w:spacing w:after="120" w:before="280"/>
      </w:pPr>
      <w:r>
        <w:rPr>
          <w:b/>
          <w:bCs/>
          <w:color w:val="333355"/>
        </w:rPr>
        <w:t xml:space="preserve">Q: How does Rust prevent data races, and how does this relate to Sealevel?</w:t>
      </w:r>
    </w:p>
    <w:p>
      <w:pPr>
        <w:spacing w:after="80" w:before="80"/>
      </w:pPr>
      <w:r>
        <w:rPr>
          <w:color w:val="1A1A2E"/>
          <w:sz w:val="22"/>
          <w:szCs w:val="22"/>
        </w:rPr>
        <w:t xml:space="preserve">Rust's borrow checker enforces that at any given time, for any piece of data, you can have either many immutable references OR one mutable reference — never both. This is checked at compile time, eliminating data races without needing mutexes for most use cases. Solana's account locking mechanism mirrors Rust's borrow rules at the runtime level:</w:t>
      </w:r>
    </w:p>
    <w:p>
      <w:pPr>
        <w:pStyle w:val="ListParagraph"/>
        <w:numPr>
          <w:ilvl w:val="0"/>
          <w:numId w:val="2"/>
        </w:numPr>
        <w:spacing w:after="60" w:before="60"/>
      </w:pPr>
      <w:r>
        <w:rPr>
          <w:color w:val="1A1A2E"/>
          <w:sz w:val="22"/>
          <w:szCs w:val="22"/>
        </w:rPr>
        <w:t xml:space="preserve">Multiple transactions can read the same account concurrently (shared read)</w:t>
      </w:r>
    </w:p>
    <w:p>
      <w:pPr>
        <w:pStyle w:val="ListParagraph"/>
        <w:numPr>
          <w:ilvl w:val="0"/>
          <w:numId w:val="2"/>
        </w:numPr>
        <w:spacing w:after="60" w:before="60"/>
      </w:pPr>
      <w:r>
        <w:rPr>
          <w:color w:val="1A1A2E"/>
          <w:sz w:val="22"/>
          <w:szCs w:val="22"/>
        </w:rPr>
        <w:t xml:space="preserve">Only one transaction can write to an account at a time (exclusive write lock)</w:t>
      </w:r>
    </w:p>
    <w:p>
      <w:pPr>
        <w:spacing w:after="80" w:before="80"/>
      </w:pPr>
      <w:r>
        <w:rPr>
          <w:color w:val="1A1A2E"/>
          <w:sz w:val="22"/>
          <w:szCs w:val="22"/>
        </w:rPr>
        <w:t xml:space="preserve">For sharing state within a transaction, Solana uses Rc&lt;RefCell&lt;T&gt;&gt; for AccountInfo.lamports and data — enforcing runtime borrow checks for mutable access within the same transaction scope.</w:t>
      </w:r>
    </w:p>
    <w:p>
      <w:pPr>
        <w:pStyle w:val="Heading3"/>
        <w:spacing w:after="120" w:before="280"/>
      </w:pPr>
      <w:r>
        <w:rPr>
          <w:b/>
          <w:bCs/>
          <w:color w:val="333355"/>
        </w:rPr>
        <w:t xml:space="preserve">Q: Explain Box&lt;T&gt;, Rc&lt;T&gt;, and Arc&lt;T&gt;. Where does each appear in Solana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000"/>
        <w:gridCol w:w="3660"/>
      </w:tblGrid>
      <w:tr>
        <w:trPr>
          <w:tblHeader/>
        </w:trPr>
        <w:tc>
          <w:tcPr>
            <w:tcW w:type="dxa" w:w="12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Type</w:t>
            </w:r>
          </w:p>
        </w:tc>
        <w:tc>
          <w:tcPr>
            <w:tcW w:type="dxa" w:w="25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Ownership Model</w:t>
            </w:r>
          </w:p>
        </w:tc>
        <w:tc>
          <w:tcPr>
            <w:tcW w:type="dxa" w:w="20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Thread Safety</w:t>
            </w:r>
          </w:p>
        </w:tc>
        <w:tc>
          <w:tcPr>
            <w:tcW w:type="dxa" w:w="366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Solana Context</w:t>
            </w:r>
          </w:p>
        </w:tc>
      </w:tr>
      <w:tr>
        <w:tc>
          <w:tcPr>
            <w:tcW w:type="dxa" w:w="1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Box&lt;T&gt;</w:t>
            </w:r>
          </w:p>
        </w:tc>
        <w:tc>
          <w:tcPr>
            <w:tcW w:type="dxa" w:w="2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Single owner, heap-allocated</w:t>
            </w:r>
          </w:p>
        </w:tc>
        <w:tc>
          <w:tcPr>
            <w:tcW w:type="dxa" w:w="20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N/A</w:t>
            </w:r>
          </w:p>
        </w:tc>
        <w:tc>
          <w:tcPr>
            <w:tcW w:type="dxa" w:w="36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Trait objects (Box&lt;dyn Error&gt;), recursive structs</w:t>
            </w:r>
          </w:p>
        </w:tc>
      </w:tr>
      <w:tr>
        <w:tc>
          <w:tcPr>
            <w:tcW w:type="dxa" w:w="12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Rc&lt;T&gt;</w:t>
            </w:r>
          </w:p>
        </w:tc>
        <w:tc>
          <w:tcPr>
            <w:tcW w:type="dxa" w:w="25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Reference-counted, multiple owners</w:t>
            </w:r>
          </w:p>
        </w:tc>
        <w:tc>
          <w:tcPr>
            <w:tcW w:type="dxa" w:w="20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Single-threaded only</w:t>
            </w:r>
          </w:p>
        </w:tc>
        <w:tc>
          <w:tcPr>
            <w:tcW w:type="dxa" w:w="36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AccountInfo.lamports and data — shared within one instruction</w:t>
            </w:r>
          </w:p>
        </w:tc>
      </w:tr>
      <w:tr>
        <w:tc>
          <w:tcPr>
            <w:tcW w:type="dxa" w:w="1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Arc&lt;T&gt;</w:t>
            </w:r>
          </w:p>
        </w:tc>
        <w:tc>
          <w:tcPr>
            <w:tcW w:type="dxa" w:w="2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Atomic reference-counted</w:t>
            </w:r>
          </w:p>
        </w:tc>
        <w:tc>
          <w:tcPr>
            <w:tcW w:type="dxa" w:w="20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Thread-safe</w:t>
            </w:r>
          </w:p>
        </w:tc>
        <w:tc>
          <w:tcPr>
            <w:tcW w:type="dxa" w:w="36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Solana validator/runtime internals; rarely in on-chain program code</w:t>
            </w:r>
          </w:p>
        </w:tc>
      </w:tr>
    </w:tbl>
    <w:p>
      <w:pPr>
        <w:pStyle w:val="Heading3"/>
        <w:spacing w:after="120" w:before="280"/>
      </w:pPr>
      <w:r>
        <w:rPr>
          <w:b/>
          <w:bCs/>
          <w:color w:val="333355"/>
        </w:rPr>
        <w:t xml:space="preserve">Q: How does error handling work in Rust Solana programs?</w:t>
      </w:r>
    </w:p>
    <w:p>
      <w:pPr>
        <w:spacing w:after="80" w:before="80"/>
      </w:pPr>
      <w:r>
        <w:rPr>
          <w:color w:val="1A1A2E"/>
          <w:sz w:val="22"/>
          <w:szCs w:val="22"/>
        </w:rPr>
        <w:t xml:space="preserve">Rust has no exceptions. Errors are values returned as Result&lt;T, E&gt; (recoverable) or Option&lt;T&gt; (present/absent). This forces explicit error handling at every call site and makes errors visible in function signatures — they cannot be silently ignored. The ? operator provides ergonomic early-return propagation with zero runtime cost.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Native Solana error handling</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fn process(amount: u64, balance: u64) -&gt; Result&lt;(), ProgramError&gt;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balance.checked_sub(amount)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.ok_or(ProgramError::InsufficientFunds)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Anchor — custom errors with #[error_code]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#[error_code]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enum MyError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#[msg("Amount exceeds available balance")]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InsufficientFunds,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#[msg("Authority mismatch")]</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UnauthorizedAccess,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fn withdraw(ctx: Context&lt;Withdraw&gt;, amount: u64) -&gt; Result&lt;()&gt;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require!(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ctx.accounts.vault.balance &gt;= amount,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MyError::InsufficientFunds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Ok(())</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Style w:val="Heading3"/>
        <w:spacing w:after="120" w:before="280"/>
      </w:pPr>
      <w:r>
        <w:rPr>
          <w:b/>
          <w:bCs/>
          <w:color w:val="333355"/>
        </w:rPr>
        <w:t xml:space="preserve">Q: When is unsafe Rust acceptable in Solana programs?</w:t>
      </w:r>
    </w:p>
    <w:p>
      <w:pPr>
        <w:spacing w:after="80" w:before="80"/>
      </w:pPr>
      <w:r>
        <w:rPr>
          <w:color w:val="1A1A2E"/>
          <w:sz w:val="22"/>
          <w:szCs w:val="22"/>
        </w:rPr>
        <w:t xml:space="preserve">While unsafe Rust is generally avoided in application-level programming, it is sometimes required in high-performance Solana programs:</w:t>
      </w:r>
    </w:p>
    <w:p>
      <w:pPr>
        <w:pStyle w:val="ListParagraph"/>
        <w:numPr>
          <w:ilvl w:val="0"/>
          <w:numId w:val="2"/>
        </w:numPr>
        <w:spacing w:after="60" w:before="60"/>
      </w:pPr>
      <w:r>
        <w:rPr>
          <w:color w:val="1A1A2E"/>
          <w:sz w:val="22"/>
          <w:szCs w:val="22"/>
        </w:rPr>
        <w:t xml:space="preserve">Zero-copy deserialization: casting raw byte slices directly into Rust structs using pointer arithmetic (via bytemuck crate) — critical for large accounts like decentralized order books</w:t>
      </w:r>
    </w:p>
    <w:p>
      <w:pPr>
        <w:pStyle w:val="ListParagraph"/>
        <w:numPr>
          <w:ilvl w:val="0"/>
          <w:numId w:val="2"/>
        </w:numPr>
        <w:spacing w:after="60" w:before="60"/>
      </w:pPr>
      <w:r>
        <w:rPr>
          <w:color w:val="1A1A2E"/>
          <w:sz w:val="22"/>
          <w:szCs w:val="22"/>
        </w:rPr>
        <w:t xml:space="preserve">Direct interaction with low-level runtime syscalls</w:t>
      </w:r>
    </w:p>
    <w:p>
      <w:pPr>
        <w:pStyle w:val="ListParagraph"/>
        <w:numPr>
          <w:ilvl w:val="0"/>
          <w:numId w:val="2"/>
        </w:numPr>
        <w:spacing w:after="60" w:before="60"/>
      </w:pPr>
      <w:r>
        <w:rPr>
          <w:color w:val="1A1A2E"/>
          <w:sz w:val="22"/>
          <w:szCs w:val="22"/>
        </w:rPr>
        <w:t xml:space="preserve">Interoperability with C foreign functions in specialized cases</w:t>
      </w:r>
    </w:p>
    <w:p>
      <w:pPr>
        <w:pBdr>
          <w:left w:val="single" w:color="9945FF" w:sz="8" w:space="4"/>
        </w:pBdr>
        <w:shd w:fill="EEF0FF" w:val="clear"/>
        <w:spacing w:after="120" w:before="120"/>
        <w:ind w:left="360" w:right="360"/>
      </w:pPr>
      <w:r>
        <w:rPr>
          <w:b/>
          <w:bCs/>
          <w:color w:val="9945FF"/>
          <w:sz w:val="20"/>
          <w:szCs w:val="20"/>
        </w:rPr>
        <w:t xml:space="preserve">⚠️ Warning:  </w:t>
      </w:r>
      <w:r>
        <w:rPr>
          <w:color w:val="1A1A2E"/>
          <w:sz w:val="20"/>
          <w:szCs w:val="20"/>
        </w:rPr>
        <w:t xml:space="preserve">unsafe blocks carry severe risks — buffer overflows, use-after-free, memory misalignment. Any use must be highly audited and justified by measurable performance gains that cannot be achieved safely.</w:t>
      </w:r>
    </w:p>
    <w:p>
      <w:pPr>
        <w:pStyle w:val="Heading2"/>
        <w:spacing w:after="160" w:before="360"/>
      </w:pPr>
      <w:r>
        <w:rPr>
          <w:b/>
          <w:bCs/>
          <w:color w:val="16213E"/>
        </w:rPr>
        <w:t xml:space="preserve">C. Anchor Framework</w:t>
      </w:r>
    </w:p>
    <w:p>
      <w:pPr>
        <w:pStyle w:val="Heading3"/>
        <w:spacing w:after="120" w:before="280"/>
      </w:pPr>
      <w:r>
        <w:rPr>
          <w:b/>
          <w:bCs/>
          <w:color w:val="333355"/>
        </w:rPr>
        <w:t xml:space="preserve">Q: What does Anchor abstract over raw Solana program development?</w:t>
      </w:r>
    </w:p>
    <w:p>
      <w:pPr>
        <w:spacing w:after="80" w:before="80"/>
      </w:pPr>
      <w:r>
        <w:rPr>
          <w:color w:val="1A1A2E"/>
          <w:sz w:val="22"/>
          <w:szCs w:val="22"/>
        </w:rPr>
        <w:t xml:space="preserve">Anchor automates several security-critical and boilerplate tasks that developers must handle manually in native Rust:</w:t>
      </w:r>
    </w:p>
    <w:p>
      <w:pPr>
        <w:pStyle w:val="ListParagraph"/>
        <w:numPr>
          <w:ilvl w:val="0"/>
          <w:numId w:val="2"/>
        </w:numPr>
        <w:spacing w:after="60" w:before="60"/>
      </w:pPr>
      <w:r>
        <w:rPr>
          <w:b/>
          <w:bCs/>
          <w:color w:val="1A1A2E"/>
          <w:sz w:val="22"/>
          <w:szCs w:val="22"/>
        </w:rPr>
        <w:t xml:space="preserve">Account discriminators — </w:t>
      </w:r>
      <w:r>
        <w:rPr>
          <w:color w:val="1A1A2E"/>
          <w:sz w:val="22"/>
          <w:szCs w:val="22"/>
        </w:rPr>
        <w:t xml:space="preserve">8-byte SHA256 hash prepended to every account, preventing type confusion attacks where an attacker passes a different account type</w:t>
      </w:r>
    </w:p>
    <w:p>
      <w:pPr>
        <w:pStyle w:val="ListParagraph"/>
        <w:numPr>
          <w:ilvl w:val="0"/>
          <w:numId w:val="2"/>
        </w:numPr>
        <w:spacing w:after="60" w:before="60"/>
      </w:pPr>
      <w:r>
        <w:rPr>
          <w:b/>
          <w:bCs/>
          <w:color w:val="1A1A2E"/>
          <w:sz w:val="22"/>
          <w:szCs w:val="22"/>
        </w:rPr>
        <w:t xml:space="preserve">Automatic deserialization — </w:t>
      </w:r>
      <w:r>
        <w:rPr>
          <w:color w:val="1A1A2E"/>
          <w:sz w:val="22"/>
          <w:szCs w:val="22"/>
        </w:rPr>
        <w:t xml:space="preserve">#[account] macro generates try_deserialize with discriminator checks</w:t>
      </w:r>
    </w:p>
    <w:p>
      <w:pPr>
        <w:pStyle w:val="ListParagraph"/>
        <w:numPr>
          <w:ilvl w:val="0"/>
          <w:numId w:val="2"/>
        </w:numPr>
        <w:spacing w:after="60" w:before="60"/>
      </w:pPr>
      <w:r>
        <w:rPr>
          <w:b/>
          <w:bCs/>
          <w:color w:val="1A1A2E"/>
          <w:sz w:val="22"/>
          <w:szCs w:val="22"/>
        </w:rPr>
        <w:t xml:space="preserve">Constraint macros — </w:t>
      </w:r>
      <w:r>
        <w:rPr>
          <w:color w:val="1A1A2E"/>
          <w:sz w:val="22"/>
          <w:szCs w:val="22"/>
        </w:rPr>
        <w:t xml:space="preserve">has_one, constraint, owner, signer declarations generate inline validation code, enforcing the Principle of Least Privilege</w:t>
      </w:r>
    </w:p>
    <w:p>
      <w:pPr>
        <w:pStyle w:val="ListParagraph"/>
        <w:numPr>
          <w:ilvl w:val="0"/>
          <w:numId w:val="2"/>
        </w:numPr>
        <w:spacing w:after="60" w:before="60"/>
      </w:pPr>
      <w:r>
        <w:rPr>
          <w:b/>
          <w:bCs/>
          <w:color w:val="1A1A2E"/>
          <w:sz w:val="22"/>
          <w:szCs w:val="22"/>
        </w:rPr>
        <w:t xml:space="preserve">IDL generation — </w:t>
      </w:r>
      <w:r>
        <w:rPr>
          <w:color w:val="1A1A2E"/>
          <w:sz w:val="22"/>
          <w:szCs w:val="22"/>
        </w:rPr>
        <w:t xml:space="preserve">produces a JSON Interface Definition Language file enabling TypeScript client generation via @coral-xyz/anchor</w:t>
      </w:r>
    </w:p>
    <w:p>
      <w:pPr>
        <w:pStyle w:val="ListParagraph"/>
        <w:numPr>
          <w:ilvl w:val="0"/>
          <w:numId w:val="2"/>
        </w:numPr>
        <w:spacing w:after="60" w:before="60"/>
      </w:pPr>
      <w:r>
        <w:rPr>
          <w:b/>
          <w:bCs/>
          <w:color w:val="1A1A2E"/>
          <w:sz w:val="22"/>
          <w:szCs w:val="22"/>
        </w:rPr>
        <w:t xml:space="preserve">CPI helpers — </w:t>
      </w:r>
      <w:r>
        <w:rPr>
          <w:color w:val="1A1A2E"/>
          <w:sz w:val="22"/>
          <w:szCs w:val="22"/>
        </w:rPr>
        <w:t xml:space="preserve">auto-generates type-safe CPI modules for common SPL programs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Without Anchor: manual security checks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if ctx.accounts.authority.key != &amp;expected_key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return Err(ProgramError::InvalidAccountData);</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if !ctx.accounts.authority.is_signer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return Err(ProgramError::MissingRequiredSignature);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With Anchor: declarative, compile-time verified</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#[derive(Accounts)]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struct UpdateConfig&lt;'info&gt;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#[account(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mut,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has_one = authority,  // checks config.authority == authority.key</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config: Account&lt;'info, Config&gt;,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authority: Signer&lt;'info&gt;,  // ensures authority is a signer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Style w:val="Heading3"/>
        <w:spacing w:after="120" w:before="280"/>
      </w:pPr>
      <w:r>
        <w:rPr>
          <w:b/>
          <w:bCs/>
          <w:color w:val="333355"/>
        </w:rPr>
        <w:t xml:space="preserve">Q: How do you perform a Cross-Program Invocation (CPI) in Anchor? Security considerations?</w:t>
      </w:r>
    </w:p>
    <w:p>
      <w:pPr>
        <w:spacing w:after="80" w:before="80"/>
      </w:pPr>
      <w:r>
        <w:rPr>
          <w:color w:val="1A1A2E"/>
          <w:sz w:val="22"/>
          <w:szCs w:val="22"/>
        </w:rPr>
        <w:t xml:space="preserve">CPIs let your program call instructions on other programs. There are two types: invoke() (no PDA signing) and invoke_signed() (PDA signs as signer). Anchor provides type-safe CPI modules for common programs like SPL Token.</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CPI to SPL Token Transfer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use anchor_spl::token::{self, Transfer, Token};</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fn transfer_tokens(ctx: Context&lt;TransferCtx&gt;, amount: u64) -&gt; Result&lt;()&gt;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let cpi_accounts = Transfer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from: ctx.accounts.from_ata.to_account_info(),</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to: ctx.accounts.to_ata.to_account_info(),</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authority: ctx.accounts.authority.to_account_info(),</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let cpi_program = ctx.accounts.token_program.to_account_info();</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token::transfer(CpiContext::new(cpi_program, cpi_accounts), amount)?;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Ok(())</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CPI signed by a PDA</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let seeds = &amp;[b"vault", &amp;[bump]];</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let signer_seeds = &amp;[&amp;seeds[..]];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token::transfer(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CpiContext::new_with_signer(cpi_program, cpi_accounts, signer_seeds),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amount,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spacing w:after="80" w:before="80"/>
      </w:pPr>
      <w:r>
        <w:rPr>
          <w:color w:val="1A1A2E"/>
          <w:sz w:val="22"/>
          <w:szCs w:val="22"/>
        </w:rPr>
        <w:t xml:space="preserve">Critical security considerations for CPIs:</w:t>
      </w:r>
    </w:p>
    <w:p>
      <w:pPr>
        <w:pStyle w:val="ListParagraph"/>
        <w:numPr>
          <w:ilvl w:val="0"/>
          <w:numId w:val="2"/>
        </w:numPr>
        <w:spacing w:after="60" w:before="60"/>
      </w:pPr>
      <w:r>
        <w:rPr>
          <w:b/>
          <w:bCs/>
          <w:color w:val="1A1A2E"/>
          <w:sz w:val="22"/>
          <w:szCs w:val="22"/>
        </w:rPr>
        <w:t xml:space="preserve">Arbitrary CPI — </w:t>
      </w:r>
      <w:r>
        <w:rPr>
          <w:color w:val="1A1A2E"/>
          <w:sz w:val="22"/>
          <w:szCs w:val="22"/>
        </w:rPr>
        <w:t xml:space="preserve">never call a user-supplied program ID without validating it matches an expected, trusted address. An attacker can pass a malicious program.</w:t>
      </w:r>
    </w:p>
    <w:p>
      <w:pPr>
        <w:pStyle w:val="ListParagraph"/>
        <w:numPr>
          <w:ilvl w:val="0"/>
          <w:numId w:val="2"/>
        </w:numPr>
        <w:spacing w:after="60" w:before="60"/>
      </w:pPr>
      <w:r>
        <w:rPr>
          <w:b/>
          <w:bCs/>
          <w:color w:val="1A1A2E"/>
          <w:sz w:val="22"/>
          <w:szCs w:val="22"/>
        </w:rPr>
        <w:t xml:space="preserve">Account reloading — </w:t>
      </w:r>
      <w:r>
        <w:rPr>
          <w:color w:val="1A1A2E"/>
          <w:sz w:val="22"/>
          <w:szCs w:val="22"/>
        </w:rPr>
        <w:t xml:space="preserve">Anchor does not auto-reload deserialized accounts after a CPI. If the CPI modifies account state, you must reload: ctx.accounts.vault.reload()?</w:t>
      </w:r>
    </w:p>
    <w:p>
      <w:pPr>
        <w:pStyle w:val="ListParagraph"/>
        <w:numPr>
          <w:ilvl w:val="0"/>
          <w:numId w:val="2"/>
        </w:numPr>
        <w:spacing w:after="60" w:before="60"/>
      </w:pPr>
      <w:r>
        <w:rPr>
          <w:b/>
          <w:bCs/>
          <w:color w:val="1A1A2E"/>
          <w:sz w:val="22"/>
          <w:szCs w:val="22"/>
        </w:rPr>
        <w:t xml:space="preserve">CPI depth exhaustion — </w:t>
      </w:r>
      <w:r>
        <w:rPr>
          <w:color w:val="1A1A2E"/>
          <w:sz w:val="22"/>
          <w:szCs w:val="22"/>
        </w:rPr>
        <w:t xml:space="preserve">Solana caps CPI depth at 4 levels. Malicious actors can deliberately approach this limit, forcing your protocol's internal CPIs to fail</w:t>
      </w:r>
    </w:p>
    <w:p>
      <w:pPr>
        <w:pStyle w:val="ListParagraph"/>
        <w:numPr>
          <w:ilvl w:val="0"/>
          <w:numId w:val="2"/>
        </w:numPr>
        <w:spacing w:after="60" w:before="60"/>
      </w:pPr>
      <w:r>
        <w:rPr>
          <w:b/>
          <w:bCs/>
          <w:color w:val="1A1A2E"/>
          <w:sz w:val="22"/>
          <w:szCs w:val="22"/>
        </w:rPr>
        <w:t xml:space="preserve">Confused deputy — </w:t>
      </w:r>
      <w:r>
        <w:rPr>
          <w:color w:val="1A1A2E"/>
          <w:sz w:val="22"/>
          <w:szCs w:val="22"/>
        </w:rPr>
        <w:t xml:space="preserve">if your program forwards a signer account to another program without checking it, that other program can misuse the authority</w:t>
      </w:r>
    </w:p>
    <w:p>
      <w:pPr>
        <w:pStyle w:val="Heading3"/>
        <w:spacing w:after="120" w:before="280"/>
      </w:pPr>
      <w:r>
        <w:rPr>
          <w:b/>
          <w:bCs/>
          <w:color w:val="333355"/>
        </w:rPr>
        <w:t xml:space="preserve">Q: What is an account discriminator in Anchor and how does it prevent account substitution attacks?</w:t>
      </w:r>
    </w:p>
    <w:p>
      <w:pPr>
        <w:spacing w:after="80" w:before="80"/>
      </w:pPr>
      <w:r>
        <w:rPr>
          <w:color w:val="1A1A2E"/>
          <w:sz w:val="22"/>
          <w:szCs w:val="22"/>
        </w:rPr>
        <w:t xml:space="preserve">When Anchor serializes an account, it prepends an 8-byte discriminator that is the first 8 bytes of sha256("account:&lt;TypeName&gt;"). On deserialization, Anchor checks this discriminator before deserializing the data. Without discriminators, an attacker could create an account with the same data layout as a UserAccount but initialize it as a VaultAccount and pass it to an instruction expecting a UserAccount. The discriminator check prevents this type confusion at no runtime cost beyond 8 bytes of storage.</w:t>
      </w:r>
    </w:p>
    <w:p>
      <w:pPr>
        <w:pStyle w:val="Heading3"/>
        <w:spacing w:after="120" w:before="280"/>
      </w:pPr>
      <w:r>
        <w:rPr>
          <w:b/>
          <w:bCs/>
          <w:color w:val="333355"/>
        </w:rPr>
        <w:t xml:space="preserve">Q: How do you handle dynamic account structures not known at compile time?</w:t>
      </w:r>
    </w:p>
    <w:p>
      <w:pPr>
        <w:spacing w:after="80" w:before="80"/>
      </w:pPr>
      <w:r>
        <w:rPr>
          <w:color w:val="1A1A2E"/>
          <w:sz w:val="22"/>
          <w:szCs w:val="22"/>
        </w:rPr>
        <w:t xml:space="preserve">Use the remaining_accounts array within the Anchor context. This requires deep familiarity with manual deserialization techniques to process variable-length data structures and execute dynamic iterations within a single transaction pipeline without breaching compute limits. This pattern is used in protocols where the set of accounts for an instruction depends on runtime state — for example, processing a variable number of positions during liquidation.</w:t>
      </w:r>
    </w:p>
    <w:p>
      <w:r>
        <w:br w:type="page"/>
      </w:r>
    </w:p>
    <w:p>
      <w:pPr>
        <w:pStyle w:val="Heading2"/>
        <w:spacing w:after="160" w:before="360"/>
      </w:pPr>
      <w:r>
        <w:rPr>
          <w:b/>
          <w:bCs/>
          <w:color w:val="16213E"/>
        </w:rPr>
        <w:t xml:space="preserve">D. Smart Contract Security</w:t>
      </w:r>
    </w:p>
    <w:p>
      <w:pPr>
        <w:pStyle w:val="Heading3"/>
        <w:spacing w:after="120" w:before="280"/>
      </w:pPr>
      <w:r>
        <w:rPr>
          <w:b/>
          <w:bCs/>
          <w:color w:val="333355"/>
        </w:rPr>
        <w:t xml:space="preserve">Q: What are the most critical security vulnerabilities specific to Solana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Vulnerability</w:t>
            </w:r>
          </w:p>
        </w:tc>
        <w:tc>
          <w:tcPr>
            <w:tcW w:type="dxa" w:w="36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Description</w:t>
            </w:r>
          </w:p>
        </w:tc>
        <w:tc>
          <w:tcPr>
            <w:tcW w:type="dxa" w:w="376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Mitigation</w:t>
            </w:r>
          </w:p>
        </w:tc>
      </w:tr>
      <w:tr>
        <w:tc>
          <w:tcPr>
            <w:tcW w:type="dxa" w:w="20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Missing Ownership Check</w:t>
            </w:r>
          </w:p>
        </w:tc>
        <w:tc>
          <w:tcPr>
            <w:tcW w:type="dxa" w:w="36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Failing to verify that an account is owned by the expected program. Attacker creates a malicious account with right data layout but owned by their program.</w:t>
            </w:r>
          </w:p>
        </w:tc>
        <w:tc>
          <w:tcPr>
            <w:tcW w:type="dxa" w:w="37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Use Account&lt;'info, T&gt; in Anchor (auto-checks owner = program_id)</w:t>
            </w:r>
          </w:p>
        </w:tc>
      </w:tr>
      <w:tr>
        <w:tc>
          <w:tcPr>
            <w:tcW w:type="dxa" w:w="20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Missing Signer Check</w:t>
            </w:r>
          </w:p>
        </w:tc>
        <w:tc>
          <w:tcPr>
            <w:tcW w:type="dxa" w:w="36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Not verifying that a critical authority account actually signed the transaction. Allows anyone to call privileged instructions.</w:t>
            </w:r>
          </w:p>
        </w:tc>
        <w:tc>
          <w:tcPr>
            <w:tcW w:type="dxa" w:w="37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Use Signer&lt;'info&gt; type or require!(authority.is_signer, ...)</w:t>
            </w:r>
          </w:p>
        </w:tc>
      </w:tr>
      <w:tr>
        <w:tc>
          <w:tcPr>
            <w:tcW w:type="dxa" w:w="20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Arbitrary CPI</w:t>
            </w:r>
          </w:p>
        </w:tc>
        <w:tc>
          <w:tcPr>
            <w:tcW w:type="dxa" w:w="36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Passing a user-supplied program ID to CPI without validation. Attacker injects malicious program that modifies unexpected state.</w:t>
            </w:r>
          </w:p>
        </w:tc>
        <w:tc>
          <w:tcPr>
            <w:tcW w:type="dxa" w:w="37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Use Anchor CPI modules with hardcoded program IDs (Program&lt;'info, Token&gt;)</w:t>
            </w:r>
          </w:p>
        </w:tc>
      </w:tr>
      <w:tr>
        <w:tc>
          <w:tcPr>
            <w:tcW w:type="dxa" w:w="20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Integer Overflow/Underflow</w:t>
            </w:r>
          </w:p>
        </w:tc>
        <w:tc>
          <w:tcPr>
            <w:tcW w:type="dxa" w:w="36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Raw arithmetic (+, -, *, /) that wraps silently in release mode.</w:t>
            </w:r>
          </w:p>
        </w:tc>
        <w:tc>
          <w:tcPr>
            <w:tcW w:type="dxa" w:w="37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Use checked_add(), checked_sub(), checked_mul() or require! macros</w:t>
            </w:r>
          </w:p>
        </w:tc>
      </w:tr>
      <w:tr>
        <w:tc>
          <w:tcPr>
            <w:tcW w:type="dxa" w:w="20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Account Reloading After CPI</w:t>
            </w:r>
          </w:p>
        </w:tc>
        <w:tc>
          <w:tcPr>
            <w:tcW w:type="dxa" w:w="36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Using stale deserialized data after a CPI that modified an account.</w:t>
            </w:r>
          </w:p>
        </w:tc>
        <w:tc>
          <w:tcPr>
            <w:tcW w:type="dxa" w:w="37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Call ctx.accounts.my_account.reload()? after every CPI</w:t>
            </w:r>
          </w:p>
        </w:tc>
      </w:tr>
      <w:tr>
        <w:tc>
          <w:tcPr>
            <w:tcW w:type="dxa" w:w="20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PDA Seed Collisions</w:t>
            </w:r>
          </w:p>
        </w:tc>
        <w:tc>
          <w:tcPr>
            <w:tcW w:type="dxa" w:w="36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Non-unique seeds allow attacker to predict and pre-initialize accounts, or cause two logical accounts to map to the same PDA.</w:t>
            </w:r>
          </w:p>
        </w:tc>
        <w:tc>
          <w:tcPr>
            <w:tcW w:type="dxa" w:w="37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Include unique fields in seeds (user pubkey, unique ID, constant prefix)</w:t>
            </w:r>
          </w:p>
        </w:tc>
      </w:tr>
      <w:tr>
        <w:tc>
          <w:tcPr>
            <w:tcW w:type="dxa" w:w="20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Revival Attack</w:t>
            </w:r>
          </w:p>
        </w:tc>
        <w:tc>
          <w:tcPr>
            <w:tcW w:type="dxa" w:w="36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Closing account by draining lamports without zeroing data; attacker re-deposits lamports in same tx, reviving the account.</w:t>
            </w:r>
          </w:p>
        </w:tc>
        <w:tc>
          <w:tcPr>
            <w:tcW w:type="dxa" w:w="37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Use Anchor's close = destination constraint which zeroes data and invalidates discriminator</w:t>
            </w:r>
          </w:p>
        </w:tc>
      </w:tr>
      <w:tr>
        <w:tc>
          <w:tcPr>
            <w:tcW w:type="dxa" w:w="20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CPI Depth Exhaustion</w:t>
            </w:r>
          </w:p>
        </w:tc>
        <w:tc>
          <w:tcPr>
            <w:tcW w:type="dxa" w:w="36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Solana caps CPI depth at 4. Attackers approach this limit to force your CPIs to fail.</w:t>
            </w:r>
          </w:p>
        </w:tc>
        <w:tc>
          <w:tcPr>
            <w:tcW w:type="dxa" w:w="37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Design async state machines; limit unbounded Transfer Hooks in Token-2022</w:t>
            </w:r>
          </w:p>
        </w:tc>
      </w:tr>
    </w:tbl>
    <w:p>
      <w:pPr>
        <w:pStyle w:val="Heading3"/>
        <w:spacing w:after="120" w:before="280"/>
      </w:pPr>
      <w:r>
        <w:rPr>
          <w:b/>
          <w:bCs/>
          <w:color w:val="333355"/>
        </w:rPr>
        <w:t xml:space="preserve">Q: Explain the account resurrection (revival) attack in detail.</w:t>
      </w:r>
    </w:p>
    <w:p>
      <w:pPr>
        <w:spacing w:after="80" w:before="80"/>
      </w:pPr>
      <w:r>
        <w:rPr>
          <w:color w:val="1A1A2E"/>
          <w:sz w:val="22"/>
          <w:szCs w:val="22"/>
        </w:rPr>
        <w:t xml:space="preserve">When a program closes an account, it traditionally transfers out all remaining lamports. Because Solana's garbage collection occurs post-transaction, an attacker can append a subsequent instruction within the same transaction that transfers lamports back into the closed account. This "resurrects" the account — if the program's subsequent logic assumes the account was permanently destroyed, the attacker can reuse it maliciously, often extracting double refunds or manipulating staking vaults.</w:t>
      </w:r>
    </w:p>
    <w:p>
      <w:pPr>
        <w:spacing w:after="80" w:before="80"/>
      </w:pPr>
      <w:r>
        <w:rPr>
          <w:color w:val="1A1A2E"/>
          <w:sz w:val="22"/>
          <w:szCs w:val="22"/>
        </w:rPr>
        <w:t xml:space="preserve">Prevention: always zero the account's data buffer and alter its discriminator during the closure instruction so that even if the account is revived via lamport injection, the program's deserializer will reject it as invalid state.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Manual closure — correct approach</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**dest_account.lamports.borrow_mut() += **source.lamports.borrow();</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**source.lamports.borrow_mut() = 0;</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CRITICAL: Zero the data</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source.data.borrow_mut().fill(0);</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In Anchor — preferred: use close = destination constraint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#[account(mut, close = destination)]</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data_account: Account&lt;'info, MyData&gt;,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Anchor handles lamport transfer, data zeroing, AND discriminator invalidation</w:t>
      </w:r>
    </w:p>
    <w:p>
      <w:pPr>
        <w:pStyle w:val="Heading3"/>
        <w:spacing w:after="120" w:before="280"/>
      </w:pPr>
      <w:r>
        <w:rPr>
          <w:b/>
          <w:bCs/>
          <w:color w:val="333355"/>
        </w:rPr>
        <w:t xml:space="preserve">Q: How do you design an upgradeable but trustless program? What tradeoffs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Approach</w:t>
            </w:r>
          </w:p>
        </w:tc>
        <w:tc>
          <w:tcPr>
            <w:tcW w:type="dxa" w:w="28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Trust Model</w:t>
            </w:r>
          </w:p>
        </w:tc>
        <w:tc>
          <w:tcPr>
            <w:tcW w:type="dxa" w:w="376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Tradeoff</w:t>
            </w:r>
          </w:p>
        </w:tc>
      </w:tr>
      <w:tr>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Single upgrade authority (EOA)</w:t>
            </w:r>
          </w:p>
        </w:tc>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Trust the team</w:t>
            </w:r>
          </w:p>
        </w:tc>
        <w:tc>
          <w:tcPr>
            <w:tcW w:type="dxa" w:w="37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Full upgradeability, centralized risk</w:t>
            </w:r>
          </w:p>
        </w:tc>
      </w:tr>
      <w:tr>
        <w:tc>
          <w:tcPr>
            <w:tcW w:type="dxa" w:w="2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Multisig upgrade authority (e.g., Squads)</w:t>
            </w:r>
          </w:p>
        </w:tc>
        <w:tc>
          <w:tcPr>
            <w:tcW w:type="dxa" w:w="2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M-of-N signers</w:t>
            </w:r>
          </w:p>
        </w:tc>
        <w:tc>
          <w:tcPr>
            <w:tcW w:type="dxa" w:w="37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Decentralized, but signers can collude</w:t>
            </w:r>
          </w:p>
        </w:tc>
      </w:tr>
      <w:tr>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Timelock + multisig</w:t>
            </w:r>
          </w:p>
        </w:tc>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Community reaction window</w:t>
            </w:r>
          </w:p>
        </w:tc>
        <w:tc>
          <w:tcPr>
            <w:tcW w:type="dxa" w:w="37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Users can exit before changes take effect</w:t>
            </w:r>
          </w:p>
        </w:tc>
      </w:tr>
      <w:tr>
        <w:tc>
          <w:tcPr>
            <w:tcW w:type="dxa" w:w="2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Upgrade authority = None</w:t>
            </w:r>
          </w:p>
        </w:tc>
        <w:tc>
          <w:tcPr>
            <w:tcW w:type="dxa" w:w="2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Fully immutable</w:t>
            </w:r>
          </w:p>
        </w:tc>
        <w:tc>
          <w:tcPr>
            <w:tcW w:type="dxa" w:w="37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Cannot fix bugs; requires full migration</w:t>
            </w:r>
          </w:p>
        </w:tc>
      </w:tr>
    </w:tbl>
    <w:p>
      <w:pPr>
        <w:pBdr>
          <w:left w:val="single" w:color="9945FF" w:sz="8" w:space="4"/>
        </w:pBdr>
        <w:shd w:fill="EEF0FF" w:val="clear"/>
        <w:spacing w:after="120" w:before="120"/>
        <w:ind w:left="360" w:right="360"/>
      </w:pPr>
      <w:r>
        <w:rPr>
          <w:b/>
          <w:bCs/>
          <w:color w:val="9945FF"/>
          <w:sz w:val="20"/>
          <w:szCs w:val="20"/>
        </w:rPr>
        <w:t xml:space="preserve">Best Practice:  </w:t>
      </w:r>
      <w:r>
        <w:rPr>
          <w:color w:val="1A1A2E"/>
          <w:sz w:val="20"/>
          <w:szCs w:val="20"/>
        </w:rPr>
        <w:t xml:space="preserve">Launch with a multisig (e.g., Squads Protocol v4) with a 3/5 or 4/7 key structure, add a 48–72hr timelock for sensitive operations, publish a clear upgrade policy, and verify all upgrades with changelogs from an audit firm.</w:t>
      </w:r>
    </w:p>
    <w:p>
      <w:pPr>
        <w:pStyle w:val="Heading2"/>
        <w:spacing w:after="160" w:before="360"/>
      </w:pPr>
      <w:r>
        <w:rPr>
          <w:b/>
          <w:bCs/>
          <w:color w:val="16213E"/>
        </w:rPr>
        <w:t xml:space="preserve">E. System Design &amp; Architecture</w:t>
      </w:r>
    </w:p>
    <w:p>
      <w:pPr>
        <w:pStyle w:val="Heading3"/>
        <w:spacing w:after="120" w:before="280"/>
      </w:pPr>
      <w:r>
        <w:rPr>
          <w:b/>
          <w:bCs/>
          <w:color w:val="333355"/>
        </w:rPr>
        <w:t xml:space="preserve">Q: Design a decentralized AMM on Solana. Walk through the account structure and trade-offs.</w:t>
      </w:r>
    </w:p>
    <w:p>
      <w:pPr>
        <w:spacing w:after="80" w:before="80"/>
      </w:pPr>
      <w:r>
        <w:rPr>
          <w:color w:val="1A1A2E"/>
          <w:sz w:val="22"/>
          <w:szCs w:val="22"/>
        </w:rPr>
        <w:t xml:space="preserve">Core accounts for a constant-product AMM (x * y = k):</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Pool state account (PDA: seeds = [token_a_mint, token_b_mint])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struct Pool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token_a_mint: Pubkey,</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token_b_mint: Pubkey,</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token_a_vault: Pubkey, // PDA-owned ATA for token A</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token_b_vault: Pubkey, // PDA-owned ATA for token B</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lp_mint: Pubkey,       // LP token mint (PDA-owned)</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fee_rate_bps: u16,     // e.g., 30 = 0.3%</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bump: u8,</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spacing w:after="80" w:before="80"/>
      </w:pPr>
      <w:r>
        <w:rPr>
          <w:color w:val="1A1A2E"/>
          <w:sz w:val="22"/>
          <w:szCs w:val="22"/>
        </w:rPr>
        <w:t xml:space="preserve">Key design decisions for Solana:</w:t>
      </w:r>
    </w:p>
    <w:p>
      <w:pPr>
        <w:pStyle w:val="ListParagraph"/>
        <w:numPr>
          <w:ilvl w:val="0"/>
          <w:numId w:val="2"/>
        </w:numPr>
        <w:spacing w:after="60" w:before="60"/>
      </w:pPr>
      <w:r>
        <w:rPr>
          <w:b/>
          <w:bCs/>
          <w:color w:val="1A1A2E"/>
          <w:sz w:val="22"/>
          <w:szCs w:val="22"/>
        </w:rPr>
        <w:t xml:space="preserve">Hot account mitigation — </w:t>
      </w:r>
      <w:r>
        <w:rPr>
          <w:color w:val="1A1A2E"/>
          <w:sz w:val="22"/>
          <w:szCs w:val="22"/>
        </w:rPr>
        <w:t xml:space="preserve">a single pool account is a Sealevel bottleneck. Consider dynamic liquidity bins (Meteora model) to spread writes across multiple accounts</w:t>
      </w:r>
    </w:p>
    <w:p>
      <w:pPr>
        <w:pStyle w:val="ListParagraph"/>
        <w:numPr>
          <w:ilvl w:val="0"/>
          <w:numId w:val="2"/>
        </w:numPr>
        <w:spacing w:after="60" w:before="60"/>
      </w:pPr>
      <w:r>
        <w:rPr>
          <w:b/>
          <w:bCs/>
          <w:color w:val="1A1A2E"/>
          <w:sz w:val="22"/>
          <w:szCs w:val="22"/>
        </w:rPr>
        <w:t xml:space="preserve">Concentrated liquidity — </w:t>
      </w:r>
      <w:r>
        <w:rPr>
          <w:color w:val="1A1A2E"/>
          <w:sz w:val="22"/>
          <w:szCs w:val="22"/>
        </w:rPr>
        <w:t xml:space="preserve">tick-based positions (Orca Whirlpools model) reduce impermanent loss but increase account complexity</w:t>
      </w:r>
    </w:p>
    <w:p>
      <w:pPr>
        <w:pStyle w:val="ListParagraph"/>
        <w:numPr>
          <w:ilvl w:val="0"/>
          <w:numId w:val="2"/>
        </w:numPr>
        <w:spacing w:after="60" w:before="60"/>
      </w:pPr>
      <w:r>
        <w:rPr>
          <w:b/>
          <w:bCs/>
          <w:color w:val="1A1A2E"/>
          <w:sz w:val="22"/>
          <w:szCs w:val="22"/>
        </w:rPr>
        <w:t xml:space="preserve">Oracle integration — </w:t>
      </w:r>
      <w:r>
        <w:rPr>
          <w:color w:val="1A1A2E"/>
          <w:sz w:val="22"/>
          <w:szCs w:val="22"/>
        </w:rPr>
        <w:t xml:space="preserve">use Pyth Network with staleness and confidence checks. Never rely solely on on-chain price as an oracle (manipulation risk)</w:t>
      </w:r>
    </w:p>
    <w:p>
      <w:pPr>
        <w:pStyle w:val="ListParagraph"/>
        <w:numPr>
          <w:ilvl w:val="0"/>
          <w:numId w:val="2"/>
        </w:numPr>
        <w:spacing w:after="60" w:before="60"/>
      </w:pPr>
      <w:r>
        <w:rPr>
          <w:b/>
          <w:bCs/>
          <w:color w:val="1A1A2E"/>
          <w:sz w:val="22"/>
          <w:szCs w:val="22"/>
        </w:rPr>
        <w:t xml:space="preserve">Fee collection — </w:t>
      </w:r>
      <w:r>
        <w:rPr>
          <w:color w:val="1A1A2E"/>
          <w:sz w:val="22"/>
          <w:szCs w:val="22"/>
        </w:rPr>
        <w:t xml:space="preserve">store fees inline in the pool or in separate PDA fee accounts; consider protocol fee vs. LP fee split</w:t>
      </w:r>
    </w:p>
    <w:p>
      <w:pPr>
        <w:pStyle w:val="Heading3"/>
        <w:spacing w:after="120" w:before="280"/>
      </w:pPr>
      <w:r>
        <w:rPr>
          <w:b/>
          <w:bCs/>
          <w:color w:val="333355"/>
        </w:rPr>
        <w:t xml:space="preserve">Q: Design a prediction market on Solana. How do you handle massive user concurrency?</w:t>
      </w:r>
    </w:p>
    <w:p>
      <w:pPr>
        <w:spacing w:after="80" w:before="80"/>
      </w:pPr>
      <w:r>
        <w:rPr>
          <w:color w:val="1A1A2E"/>
          <w:sz w:val="22"/>
          <w:szCs w:val="22"/>
        </w:rPr>
        <w:t xml:space="preserve">The core architecture revolves around hierarchical PDAs: Events, Outcomes, and Bets.</w:t>
      </w:r>
    </w:p>
    <w:p>
      <w:pPr>
        <w:pStyle w:val="ListParagraph"/>
        <w:numPr>
          <w:ilvl w:val="0"/>
          <w:numId w:val="2"/>
        </w:numPr>
        <w:spacing w:after="60" w:before="60"/>
      </w:pPr>
      <w:r>
        <w:rPr>
          <w:color w:val="1A1A2E"/>
          <w:sz w:val="22"/>
          <w:szCs w:val="22"/>
        </w:rPr>
        <w:t xml:space="preserve">Event account — root PDA holding metadata (resolution oracle address, total liquidity pool)</w:t>
      </w:r>
    </w:p>
    <w:p>
      <w:pPr>
        <w:pStyle w:val="ListParagraph"/>
        <w:numPr>
          <w:ilvl w:val="0"/>
          <w:numId w:val="2"/>
        </w:numPr>
        <w:spacing w:after="60" w:before="60"/>
      </w:pPr>
      <w:r>
        <w:rPr>
          <w:color w:val="1A1A2E"/>
          <w:sz w:val="22"/>
          <w:szCs w:val="22"/>
        </w:rPr>
        <w:t xml:space="preserve">Outcome accounts — derived using Event PDA + outcome index integer as seeds</w:t>
      </w:r>
    </w:p>
    <w:p>
      <w:pPr>
        <w:pStyle w:val="ListParagraph"/>
        <w:numPr>
          <w:ilvl w:val="0"/>
          <w:numId w:val="2"/>
        </w:numPr>
        <w:spacing w:after="60" w:before="60"/>
      </w:pPr>
      <w:r>
        <w:rPr>
          <w:color w:val="1A1A2E"/>
          <w:sz w:val="22"/>
          <w:szCs w:val="22"/>
        </w:rPr>
        <w:t xml:space="preserve">Individual Bet accounts — one per user position (NOT a single array inside Outcome)</w:t>
      </w:r>
    </w:p>
    <w:p>
      <w:pPr>
        <w:pBdr>
          <w:left w:val="single" w:color="9945FF" w:sz="8" w:space="4"/>
        </w:pBdr>
        <w:shd w:fill="EEF0FF" w:val="clear"/>
        <w:spacing w:after="120" w:before="120"/>
        <w:ind w:left="360" w:right="360"/>
      </w:pPr>
      <w:r>
        <w:rPr>
          <w:b/>
          <w:bCs/>
          <w:color w:val="9945FF"/>
          <w:sz w:val="20"/>
          <w:szCs w:val="20"/>
        </w:rPr>
        <w:t xml:space="preserve">⚠️ Anti-Pattern:  </w:t>
      </w:r>
      <w:r>
        <w:rPr>
          <w:color w:val="1A1A2E"/>
          <w:sz w:val="20"/>
          <w:szCs w:val="20"/>
        </w:rPr>
        <w:t xml:space="preserve">Storing all participant wallets in a single array inside the Outcome account is catastrophic — the array rapidly exceeds the 10 MB account size limit, and iterating linearly to calculate payouts will breach compute limits instantly.</w:t>
      </w:r>
    </w:p>
    <w:p>
      <w:pPr>
        <w:spacing w:after="80" w:before="80"/>
      </w:pPr>
      <w:r>
        <w:rPr>
          <w:color w:val="1A1A2E"/>
          <w:sz w:val="22"/>
          <w:szCs w:val="22"/>
        </w:rPr>
        <w:t xml:space="preserve">Optimal solution: maintain a running mathematical invariant in the Outcome account (total amount wagered). Payouts are calculated dynamically per claim instruction: (win_pool × individual_bet) / total_bets_on_winning_outcome. This reduces payout time complexity from O(n) to O(1).</w:t>
      </w:r>
    </w:p>
    <w:p>
      <w:pPr>
        <w:pStyle w:val="Heading3"/>
        <w:spacing w:after="120" w:before="280"/>
      </w:pPr>
      <w:r>
        <w:rPr>
          <w:b/>
          <w:bCs/>
          <w:color w:val="333355"/>
        </w:rPr>
        <w:t xml:space="preserve">Q: How would you approach off-chain indexing and data availability for a DeFi protocol?</w:t>
      </w:r>
    </w:p>
    <w:p>
      <w:pPr>
        <w:spacing w:after="80" w:before="80"/>
      </w:pPr>
      <w:r>
        <w:rPr>
          <w:color w:val="1A1A2E"/>
          <w:sz w:val="22"/>
          <w:szCs w:val="22"/>
        </w:rPr>
        <w:t xml:space="preserve">Solana's high throughput means on-chain data accumulates rapidly. Production DeFi requires robust off-chain infrastructure:</w:t>
      </w:r>
    </w:p>
    <w:p>
      <w:pPr>
        <w:pStyle w:val="ListParagraph"/>
        <w:numPr>
          <w:ilvl w:val="0"/>
          <w:numId w:val="2"/>
        </w:numPr>
        <w:spacing w:after="60" w:before="60"/>
      </w:pPr>
      <w:r>
        <w:rPr>
          <w:b/>
          <w:bCs/>
          <w:color w:val="1A1A2E"/>
          <w:sz w:val="22"/>
          <w:szCs w:val="22"/>
        </w:rPr>
        <w:t xml:space="preserve">Geyser Plugins — </w:t>
      </w:r>
      <w:r>
        <w:rPr>
          <w:color w:val="1A1A2E"/>
          <w:sz w:val="22"/>
          <w:szCs w:val="22"/>
        </w:rPr>
        <w:t xml:space="preserve">validators stream account updates and transaction logs via a gRPC/plugin interface; used for real-time dashboards, MEV bots, and event-driven systems</w:t>
      </w:r>
    </w:p>
    <w:p>
      <w:pPr>
        <w:pStyle w:val="ListParagraph"/>
        <w:numPr>
          <w:ilvl w:val="0"/>
          <w:numId w:val="2"/>
        </w:numPr>
        <w:spacing w:after="60" w:before="60"/>
      </w:pPr>
      <w:r>
        <w:rPr>
          <w:b/>
          <w:bCs/>
          <w:color w:val="1A1A2E"/>
          <w:sz w:val="22"/>
          <w:szCs w:val="22"/>
        </w:rPr>
        <w:t xml:space="preserve">Yellowstone Geyser gRPC — </w:t>
      </w:r>
      <w:r>
        <w:rPr>
          <w:color w:val="1A1A2E"/>
          <w:sz w:val="22"/>
          <w:szCs w:val="22"/>
        </w:rPr>
        <w:t xml:space="preserve">direct streaming from validators for ultra-low latency (sub-100 ms); used by searchers and MEV bots</w:t>
      </w:r>
    </w:p>
    <w:p>
      <w:pPr>
        <w:pStyle w:val="ListParagraph"/>
        <w:numPr>
          <w:ilvl w:val="0"/>
          <w:numId w:val="2"/>
        </w:numPr>
        <w:spacing w:after="60" w:before="60"/>
      </w:pPr>
      <w:r>
        <w:rPr>
          <w:b/>
          <w:bCs/>
          <w:color w:val="1A1A2E"/>
          <w:sz w:val="22"/>
          <w:szCs w:val="22"/>
        </w:rPr>
        <w:t xml:space="preserve">Managed providers — </w:t>
      </w:r>
      <w:r>
        <w:rPr>
          <w:color w:val="1A1A2E"/>
          <w:sz w:val="22"/>
          <w:szCs w:val="22"/>
        </w:rPr>
        <w:t xml:space="preserve">Helius, Triton, QuickNode offer managed RPC + Geyser endpoints with webhooks for account change notifications without polling</w:t>
      </w:r>
    </w:p>
    <w:p>
      <w:pPr>
        <w:pStyle w:val="ListParagraph"/>
        <w:numPr>
          <w:ilvl w:val="0"/>
          <w:numId w:val="2"/>
        </w:numPr>
        <w:spacing w:after="60" w:before="60"/>
      </w:pPr>
      <w:r>
        <w:rPr>
          <w:b/>
          <w:bCs/>
          <w:color w:val="1A1A2E"/>
          <w:sz w:val="22"/>
          <w:szCs w:val="22"/>
        </w:rPr>
        <w:t xml:space="preserve">The Graph (Solana subgraphs) — </w:t>
      </w:r>
      <w:r>
        <w:rPr>
          <w:color w:val="1A1A2E"/>
          <w:sz w:val="22"/>
          <w:szCs w:val="22"/>
        </w:rPr>
        <w:t xml:space="preserve">Solana Firehose support added; define a subgraph schema, map transaction logs, query via GraphQL</w:t>
      </w:r>
    </w:p>
    <w:p>
      <w:pPr>
        <w:pStyle w:val="ListParagraph"/>
        <w:numPr>
          <w:ilvl w:val="0"/>
          <w:numId w:val="2"/>
        </w:numPr>
        <w:spacing w:after="60" w:before="60"/>
      </w:pPr>
      <w:r>
        <w:rPr>
          <w:b/>
          <w:bCs/>
          <w:color w:val="1A1A2E"/>
          <w:sz w:val="22"/>
          <w:szCs w:val="22"/>
        </w:rPr>
        <w:t xml:space="preserve">Custom indexers (Rust + PostgreSQL/ClickHouse) — </w:t>
      </w:r>
      <w:r>
        <w:rPr>
          <w:color w:val="1A1A2E"/>
          <w:sz w:val="22"/>
          <w:szCs w:val="22"/>
        </w:rPr>
        <w:t xml:space="preserve">decode instruction data using your program's IDL; store in time-series-friendly DB</w:t>
      </w:r>
    </w:p>
    <w:p>
      <w:pPr>
        <w:spacing w:after="80" w:before="80"/>
      </w:pPr>
      <w:r>
        <w:rPr>
          <w:color w:val="1A1A2E"/>
          <w:sz w:val="22"/>
          <w:szCs w:val="22"/>
        </w:rPr>
        <w:t xml:space="preserve">For event emission, use Anchor's emit!() macro which logs a CPI to a self-calling program, producing structured logs that indexers can decode from transaction logs.</w:t>
      </w:r>
    </w:p>
    <w:p>
      <w:pPr>
        <w:pBdr>
          <w:bottom w:val="single" w:color="CCCCDD" w:sz="4" w:space="1"/>
        </w:pBdr>
        <w:spacing w:after="240" w:before="240"/>
      </w:pPr>
      <w:r>
        <w:t xml:space="preserve"/>
      </w:r>
    </w:p>
    <w:p>
      <w:r>
        <w:br w:type="page"/>
      </w:r>
    </w:p>
    <w:p>
      <w:pPr>
        <w:spacing w:after="60" w:before="480"/>
      </w:pPr>
      <w:r>
        <w:rPr>
          <w:b/>
          <w:bCs/>
          <w:caps/>
          <w:color w:val="9945FF"/>
          <w:sz w:val="18"/>
          <w:szCs w:val="18"/>
        </w:rPr>
        <w:t xml:space="preserve">SECTION 03  </w:t>
      </w:r>
      <w:r>
        <w:rPr>
          <w:b/>
          <w:bCs/>
          <w:caps/>
          <w:color w:val="9945FF"/>
          <w:sz w:val="18"/>
          <w:szCs w:val="18"/>
        </w:rPr>
        <w:t xml:space="preserve">Coding &amp; Practical Challenges</w:t>
      </w:r>
    </w:p>
    <w:p>
      <w:pPr>
        <w:pStyle w:val="Heading1"/>
        <w:spacing w:after="200" w:before="480"/>
      </w:pPr>
      <w:r>
        <w:rPr>
          <w:b/>
          <w:bCs/>
          <w:color w:val="1A1A2E"/>
        </w:rPr>
        <w:t xml:space="preserve">Coding Challenges &amp; Solutions</w:t>
      </w:r>
    </w:p>
    <w:p>
      <w:pPr>
        <w:pStyle w:val="Heading2"/>
        <w:spacing w:after="160" w:before="360"/>
      </w:pPr>
      <w:r>
        <w:rPr>
          <w:b/>
          <w:bCs/>
          <w:color w:val="16213E"/>
        </w:rPr>
        <w:t xml:space="preserve">Challenge 1 — Token Escrow / Atomic Swap</w:t>
      </w:r>
    </w:p>
    <w:p>
      <w:pPr>
        <w:spacing w:after="80" w:before="80"/>
      </w:pPr>
      <w:r>
        <w:rPr>
          <w:color w:val="1A1A2E"/>
          <w:sz w:val="22"/>
          <w:szCs w:val="22"/>
        </w:rPr>
        <w:t xml:space="preserve">One of the most common take-home problems. The solution must use PDAs for the escrow vault, handle failure cases, and be idempotent. The architecture revolves around three key instructions: make (lock Token A), take (atomic exchange), and refund (safe exit for maker).</w:t>
      </w:r>
    </w:p>
    <w:p>
      <w:pPr>
        <w:spacing w:after="80" w:before="80"/>
      </w:pPr>
      <w:r>
        <w:rPr>
          <w:color w:val="1A1A2E"/>
          <w:sz w:val="22"/>
          <w:szCs w:val="22"/>
        </w:rPr>
        <w:t xml:space="preserve">Key design points a senior developer must get right:</w:t>
      </w:r>
    </w:p>
    <w:p>
      <w:pPr>
        <w:pStyle w:val="ListParagraph"/>
        <w:numPr>
          <w:ilvl w:val="0"/>
          <w:numId w:val="2"/>
        </w:numPr>
        <w:spacing w:after="60" w:before="60"/>
      </w:pPr>
      <w:r>
        <w:rPr>
          <w:color w:val="1A1A2E"/>
          <w:sz w:val="22"/>
          <w:szCs w:val="22"/>
        </w:rPr>
        <w:t xml:space="preserve">PDA seeds should include the maker's pubkey plus a unique salt/seed integer, allowing multiple concurrent escrows per maker without address collisions</w:t>
      </w:r>
    </w:p>
    <w:p>
      <w:pPr>
        <w:pStyle w:val="ListParagraph"/>
        <w:numPr>
          <w:ilvl w:val="0"/>
          <w:numId w:val="2"/>
        </w:numPr>
        <w:spacing w:after="60" w:before="60"/>
      </w:pPr>
      <w:r>
        <w:rPr>
          <w:color w:val="1A1A2E"/>
          <w:sz w:val="22"/>
          <w:szCs w:val="22"/>
        </w:rPr>
        <w:t xml:space="preserve">Bump seed must be cached in the EscrowState account during initialization to avoid expensive re-computation on every future invocation</w:t>
      </w:r>
    </w:p>
    <w:p>
      <w:pPr>
        <w:pStyle w:val="ListParagraph"/>
        <w:numPr>
          <w:ilvl w:val="0"/>
          <w:numId w:val="2"/>
        </w:numPr>
        <w:spacing w:after="60" w:before="60"/>
      </w:pPr>
      <w:r>
        <w:rPr>
          <w:color w:val="1A1A2E"/>
          <w:sz w:val="22"/>
          <w:szCs w:val="22"/>
        </w:rPr>
        <w:t xml:space="preserve">Follow Checks-Effects-Interactions: verify the taker transfers the correct amount of Token B before releasing Token A from the vault</w:t>
      </w:r>
    </w:p>
    <w:p>
      <w:pPr>
        <w:pStyle w:val="ListParagraph"/>
        <w:numPr>
          <w:ilvl w:val="0"/>
          <w:numId w:val="2"/>
        </w:numPr>
        <w:spacing w:after="60" w:before="60"/>
      </w:pPr>
      <w:r>
        <w:rPr>
          <w:color w:val="1A1A2E"/>
          <w:sz w:val="22"/>
          <w:szCs w:val="22"/>
        </w:rPr>
        <w:t xml:space="preserve">Include a robust refund instruction with a secure escape hatch for the maker to retrieve locked assets and reclaim rent lamports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Anchor Escrow Program — Senior-Level Implementation</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#[program]</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mod escrow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use super::*;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fn initialize(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ctx: Context&lt;Initialize&gt;,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initializer_amount: u64,</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taker_amount: u64,</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 -&gt; Result&lt;()&gt;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let escrow = &amp;mut ctx.accounts.escrow_state;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escrow.initializer = *ctx.accounts.initializer.key;</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escrow.initializer_deposit_token_account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*ctx.accounts.initializer_deposit_token_account.key;</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escrow.initializer_receive_token_account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*ctx.accounts.initializer_receive_token_account.key;</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escrow.initializer_amount = initializer_amount;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escrow.taker_amount = taker_amount;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escrow.bump = ctx.bumps.escrow_state; // Cache bump for future CPIs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 Transfer Token A from initializer ATA -&gt; escrow vault (PDA)</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token::transfer(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CpiContext::new(</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ctx.accounts.token_program.to_account_info(),</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Transfer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from: ctx.accounts.initializer_deposit_token_account.to_account_info(),</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to: ctx.accounts.vault.to_account_info(),</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authority: ctx.accounts.initializer.to_account_info(),</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initializer_amount,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Ok(())</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fn exchange(ctx: Context&lt;Exchange&gt;) -&gt; Result&lt;()&gt;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let escrow = &amp;ctx.accounts.escrow_state;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let seeds = &amp;[</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b"escrow".as_ref(),</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escrow.initializer.as_ref(),</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&amp;[escrow.bump], // Use cached bump — no recomputation</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let signer_seeds = &amp;[&amp;seeds[..]];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 Taker sends Token B to initializer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token::transfer(/* ... taker_amount ...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 PDA-signed release: vault Token A -&gt; taker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token::transfer(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CpiContext::new_with_signer(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ctx.accounts.token_program.to_account_info(),</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Transfer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from: ctx.accounts.vault.to_account_info(),</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to: ctx.accounts.taker_receive_token_account.to_account_info(),</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authority: ctx.accounts.escrow_state.to_account_info(),</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signer_seeds,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escrow.initializer_amount,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Ok(())</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#[account]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struct EscrowState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initializer: Pubkey,</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initializer_deposit_token_account: Pubkey,</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initializer_receive_token_account: Pubkey,</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initializer_amount: u64,</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taker_amount: u64,</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bump: u8,  // Cached to minimize CU consumption</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impl EscrowState { pub const LEN: usize = 32 + 32 + 32 + 8 + 8 + 1; }</w:t>
      </w:r>
    </w:p>
    <w:p>
      <w:pPr>
        <w:pStyle w:val="Heading2"/>
        <w:spacing w:after="160" w:before="360"/>
      </w:pPr>
      <w:r>
        <w:rPr>
          <w:b/>
          <w:bCs/>
          <w:color w:val="16213E"/>
        </w:rPr>
        <w:t xml:space="preserve">Challenge 2 — Compute Budget Optimization</w:t>
      </w:r>
    </w:p>
    <w:p>
      <w:pPr>
        <w:spacing w:after="80" w:before="80"/>
      </w:pPr>
      <w:r>
        <w:rPr>
          <w:color w:val="1A1A2E"/>
          <w:sz w:val="22"/>
          <w:szCs w:val="22"/>
        </w:rPr>
        <w:t xml:space="preserve">The default compute unit limit is 200,000 CUs per transaction; complex programs may need up to 1.4M CUs. Hitting the cap causes immediate transaction failure — catastrophic during high-volatility events like cascading liquidations. Senior candidates are expected to:</w:t>
      </w:r>
    </w:p>
    <w:p>
      <w:pPr>
        <w:pStyle w:val="ListParagraph"/>
        <w:numPr>
          <w:ilvl w:val="0"/>
          <w:numId w:val="2"/>
        </w:numPr>
        <w:spacing w:after="60" w:before="60"/>
      </w:pPr>
      <w:r>
        <w:rPr>
          <w:color w:val="1A1A2E"/>
          <w:sz w:val="22"/>
          <w:szCs w:val="22"/>
        </w:rPr>
        <w:t xml:space="preserve">Request more CUs upfront via ComputeBudgetProgram.setComputeUnitLimit</w:t>
      </w:r>
    </w:p>
    <w:p>
      <w:pPr>
        <w:pStyle w:val="ListParagraph"/>
        <w:numPr>
          <w:ilvl w:val="0"/>
          <w:numId w:val="2"/>
        </w:numPr>
        <w:spacing w:after="60" w:before="60"/>
      </w:pPr>
      <w:r>
        <w:rPr>
          <w:color w:val="1A1A2E"/>
          <w:sz w:val="22"/>
          <w:szCs w:val="22"/>
        </w:rPr>
        <w:t xml:space="preserve">Add priority fees via setComputeUnitPrice to ensure inclusion during congestion</w:t>
      </w:r>
    </w:p>
    <w:p>
      <w:pPr>
        <w:pStyle w:val="ListParagraph"/>
        <w:numPr>
          <w:ilvl w:val="0"/>
          <w:numId w:val="2"/>
        </w:numPr>
        <w:spacing w:after="60" w:before="60"/>
      </w:pPr>
      <w:r>
        <w:rPr>
          <w:color w:val="1A1A2E"/>
          <w:sz w:val="22"/>
          <w:szCs w:val="22"/>
        </w:rPr>
        <w:t xml:space="preserve">Cache PDA bumps — Pubkey::find_program_address consumes thousands of CUs due to recursive SHA-256; always pass the bump as a u8 argument and cache it on-chain</w:t>
      </w:r>
    </w:p>
    <w:p>
      <w:pPr>
        <w:pStyle w:val="ListParagraph"/>
        <w:numPr>
          <w:ilvl w:val="0"/>
          <w:numId w:val="2"/>
        </w:numPr>
        <w:spacing w:after="60" w:before="60"/>
      </w:pPr>
      <w:r>
        <w:rPr>
          <w:color w:val="1A1A2E"/>
          <w:sz w:val="22"/>
          <w:szCs w:val="22"/>
        </w:rPr>
        <w:t xml:space="preserve">Use zero-copy accounts (#[account(zero_copy)]) for large data structures — eliminates deserialization overhead entirely</w:t>
      </w:r>
    </w:p>
    <w:p>
      <w:pPr>
        <w:pStyle w:val="ListParagraph"/>
        <w:numPr>
          <w:ilvl w:val="0"/>
          <w:numId w:val="2"/>
        </w:numPr>
        <w:spacing w:after="60" w:before="60"/>
      </w:pPr>
      <w:r>
        <w:rPr>
          <w:color w:val="1A1A2E"/>
          <w:sz w:val="22"/>
          <w:szCs w:val="22"/>
        </w:rPr>
        <w:t xml:space="preserve">Prefer stack allocations over Vec&lt;T&gt; where possible</w:t>
      </w:r>
    </w:p>
    <w:p>
      <w:pPr>
        <w:pStyle w:val="ListParagraph"/>
        <w:numPr>
          <w:ilvl w:val="0"/>
          <w:numId w:val="2"/>
        </w:numPr>
        <w:spacing w:after="60" w:before="60"/>
      </w:pPr>
      <w:r>
        <w:rPr>
          <w:color w:val="1A1A2E"/>
          <w:sz w:val="22"/>
          <w:szCs w:val="22"/>
        </w:rPr>
        <w:t xml:space="preserve">Use checked arithmetic (checked_add, checked_mul) — not just for safety, but because panics in debug mode are expensive</w:t>
      </w:r>
    </w:p>
    <w:p>
      <w:pPr>
        <w:pStyle w:val="ListParagraph"/>
        <w:numPr>
          <w:ilvl w:val="0"/>
          <w:numId w:val="2"/>
        </w:numPr>
        <w:spacing w:after="60" w:before="60"/>
      </w:pPr>
      <w:r>
        <w:rPr>
          <w:color w:val="1A1A2E"/>
          <w:sz w:val="22"/>
          <w:szCs w:val="22"/>
        </w:rPr>
        <w:t xml:space="preserve">Avoid string formatting and dynamic allocations in hot paths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TypeScript client — set compute budget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const modifyComputeUnits = ComputeBudgetProgram.setComputeUnitLimit({ units: 400_000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const addPriorityFee = ComputeBudgetProgram.setComputeUnitPrice({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microLamports: 10_000,  // priority fee per CU</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Zero-copy account — eliminates deserialization overhead</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#[account(zero_copy)]  // stored as raw bytes, no copy on read</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struct LargeOrderBook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bids: [Order; 512],</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asks: [Order; 512],</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Log CU consumption during development (remove in production)</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use solana_program::log::sol_log_compute_units;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sol_log_compute_units();  // logs remaining CUs</w:t>
      </w:r>
    </w:p>
    <w:p>
      <w:pPr>
        <w:pStyle w:val="Heading2"/>
        <w:spacing w:after="160" w:before="360"/>
      </w:pPr>
      <w:r>
        <w:rPr>
          <w:b/>
          <w:bCs/>
          <w:color w:val="16213E"/>
        </w:rPr>
        <w:t xml:space="preserve">Challenge 3 — Debug This Vulnerable Program</w:t>
      </w:r>
    </w:p>
    <w:p>
      <w:pPr>
        <w:spacing w:after="80" w:before="80"/>
      </w:pPr>
      <w:r>
        <w:rPr>
          <w:color w:val="1A1A2E"/>
          <w:sz w:val="22"/>
          <w:szCs w:val="22"/>
        </w:rPr>
        <w:t xml:space="preserve">A classic interview exercise: identify all security bugs in the following snippet.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VULNERABLE CODE — find the bugs!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fn withdraw(ctx: Context&lt;Withdraw&gt;, amount: u64) -&gt; Result&lt;()&gt;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let vault = &amp;mut ctx.accounts.vault;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 Bug 1: No authority check — anyone can call this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 Bug 2: No signer check on authority</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 Bug 3: Arithmetic underflow — wraps silently to huge number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vault.balance = vault.balance - amount;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 Bug 4: No check that authority.key == vault.authority</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token::transfer(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CpiContext::new(/* ... */),  // Bug 5: passing user-provided program_id</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amount,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Ok(())</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CORRECTED VERSION</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fn withdraw(ctx: Context&lt;Withdraw&gt;, amount: u64) -&gt; Result&lt;()&gt;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let vault = &amp;mut ctx.accounts.vault;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vault.balance = vault.balance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.checked_sub(amount)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.ok_or(ErrorCode::InsufficientFunds)?;  // overflow-safe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token::transfer(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CpiContext::new_with_signer(</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ctx.accounts.token_program.to_account_info(),  // verified SPL Token</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Transfer { /* ... */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&amp;[&amp;[b"vault", &amp;[ctx.accounts.vault.bump]]],</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amount,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#[derive(Accounts)]</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pub struct Withdraw&lt;'info&gt; {</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#[account(mut, has_one = authority)]</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vault: Account&lt;'info, Vault&gt;,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authority: Signer&lt;'info&gt;,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    pub token_program: Program&lt;'info, Token&gt;,</w:t>
      </w:r>
    </w:p>
    <w:p>
      <w:pPr>
        <w:pBdr>
          <w:left w:val="single" w:color="9945FF" w:sz="8"/>
        </w:pBdr>
        <w:shd w:fill="F0F2F8" w:val="clear"/>
        <w:spacing w:after="0" w:before="0"/>
        <w:ind w:left="360"/>
      </w:pPr>
      <w:r>
        <w:rPr>
          <w:rFonts w:ascii="Courier New" w:cs="Courier New" w:eastAsia="Courier New" w:hAnsi="Courier New"/>
          <w:color w:val="1a1a4e"/>
          <w:sz w:val="18"/>
          <w:szCs w:val="18"/>
        </w:rPr>
        <w:t xml:space="preserve">}</w:t>
      </w:r>
    </w:p>
    <w:p>
      <w:pPr>
        <w:pBdr>
          <w:bottom w:val="single" w:color="CCCCDD" w:sz="4" w:space="1"/>
        </w:pBdr>
        <w:spacing w:after="240" w:before="240"/>
      </w:pPr>
      <w:r>
        <w:t xml:space="preserve"/>
      </w:r>
    </w:p>
    <w:p>
      <w:r>
        <w:br w:type="page"/>
      </w:r>
    </w:p>
    <w:p>
      <w:pPr>
        <w:spacing w:after="60" w:before="480"/>
      </w:pPr>
      <w:r>
        <w:rPr>
          <w:b/>
          <w:bCs/>
          <w:caps/>
          <w:color w:val="9945FF"/>
          <w:sz w:val="18"/>
          <w:szCs w:val="18"/>
        </w:rPr>
        <w:t xml:space="preserve">SECTION 04  </w:t>
      </w:r>
      <w:r>
        <w:rPr>
          <w:b/>
          <w:bCs/>
          <w:caps/>
          <w:color w:val="9945FF"/>
          <w:sz w:val="18"/>
          <w:szCs w:val="18"/>
        </w:rPr>
        <w:t xml:space="preserve">Project Portfolio Expectations</w:t>
      </w:r>
    </w:p>
    <w:p>
      <w:pPr>
        <w:pStyle w:val="Heading1"/>
        <w:spacing w:after="200" w:before="480"/>
      </w:pPr>
      <w:r>
        <w:rPr>
          <w:b/>
          <w:bCs/>
          <w:color w:val="1A1A2E"/>
        </w:rPr>
        <w:t xml:space="preserve">Portfolio Requirements for Senior Candidates</w:t>
      </w:r>
    </w:p>
    <w:p>
      <w:pPr>
        <w:spacing w:after="80" w:before="80"/>
      </w:pPr>
      <w:r>
        <w:rPr>
          <w:color w:val="1A1A2E"/>
          <w:sz w:val="22"/>
          <w:szCs w:val="22"/>
        </w:rPr>
        <w:t xml:space="preserve">A senior candidate's GitHub portfolio must reflect production-grade engineering rather than simplistic tutorial clones. To bypass initial screening filters, projects must model complex financial primitives, incorporate rigorous test coverage, document deployment pipelines, and explicitly handle adversarial edge cases.</w:t>
      </w:r>
    </w:p>
    <w:p>
      <w:pPr>
        <w:pStyle w:val="Heading2"/>
        <w:spacing w:after="160" w:before="360"/>
      </w:pPr>
      <w:r>
        <w:rPr>
          <w:b/>
          <w:bCs/>
          <w:color w:val="16213E"/>
        </w:rPr>
        <w:t xml:space="preserve">What Makes a Project "Senior-Level"?</w:t>
      </w:r>
    </w:p>
    <w:p>
      <w:pPr>
        <w:pStyle w:val="ListParagraph"/>
        <w:numPr>
          <w:ilvl w:val="0"/>
          <w:numId w:val="2"/>
        </w:numPr>
        <w:spacing w:after="60" w:before="60"/>
      </w:pPr>
      <w:r>
        <w:rPr>
          <w:b/>
          <w:bCs/>
          <w:color w:val="1A1A2E"/>
          <w:sz w:val="22"/>
          <w:szCs w:val="22"/>
        </w:rPr>
        <w:t xml:space="preserve">Production deployment — </w:t>
      </w:r>
      <w:r>
        <w:rPr>
          <w:color w:val="1A1A2E"/>
          <w:sz w:val="22"/>
          <w:szCs w:val="22"/>
        </w:rPr>
        <w:t xml:space="preserve">mainnet-beta with real TVL or real users. Devnet projects signal junior experience</w:t>
      </w:r>
    </w:p>
    <w:p>
      <w:pPr>
        <w:pStyle w:val="ListParagraph"/>
        <w:numPr>
          <w:ilvl w:val="0"/>
          <w:numId w:val="2"/>
        </w:numPr>
        <w:spacing w:after="60" w:before="60"/>
      </w:pPr>
      <w:r>
        <w:rPr>
          <w:b/>
          <w:bCs/>
          <w:color w:val="1A1A2E"/>
          <w:sz w:val="22"/>
          <w:szCs w:val="22"/>
        </w:rPr>
        <w:t xml:space="preserve">Security-first design — </w:t>
      </w:r>
      <w:r>
        <w:rPr>
          <w:color w:val="1A1A2E"/>
          <w:sz w:val="22"/>
          <w:szCs w:val="22"/>
        </w:rPr>
        <w:t xml:space="preserve">documented threat model, access control matrix, and ideally an external audit or peer review from firms like Neodyme or OtterSec</w:t>
      </w:r>
    </w:p>
    <w:p>
      <w:pPr>
        <w:pStyle w:val="ListParagraph"/>
        <w:numPr>
          <w:ilvl w:val="0"/>
          <w:numId w:val="2"/>
        </w:numPr>
        <w:spacing w:after="60" w:before="60"/>
      </w:pPr>
      <w:r>
        <w:rPr>
          <w:b/>
          <w:bCs/>
          <w:color w:val="1A1A2E"/>
          <w:sz w:val="22"/>
          <w:szCs w:val="22"/>
        </w:rPr>
        <w:t xml:space="preserve">Compute efficiency — </w:t>
      </w:r>
      <w:r>
        <w:rPr>
          <w:color w:val="1A1A2E"/>
          <w:sz w:val="22"/>
          <w:szCs w:val="22"/>
        </w:rPr>
        <w:t xml:space="preserve">evidence of CU profiling, zero-copy usage where appropriate, and transaction size optimization</w:t>
      </w:r>
    </w:p>
    <w:p>
      <w:pPr>
        <w:pStyle w:val="ListParagraph"/>
        <w:numPr>
          <w:ilvl w:val="0"/>
          <w:numId w:val="2"/>
        </w:numPr>
        <w:spacing w:after="60" w:before="60"/>
      </w:pPr>
      <w:r>
        <w:rPr>
          <w:b/>
          <w:bCs/>
          <w:color w:val="1A1A2E"/>
          <w:sz w:val="22"/>
          <w:szCs w:val="22"/>
        </w:rPr>
        <w:t xml:space="preserve">Comprehensive test suite — </w:t>
      </w:r>
      <w:r>
        <w:rPr>
          <w:color w:val="1A1A2E"/>
          <w:sz w:val="22"/>
          <w:szCs w:val="22"/>
        </w:rPr>
        <w:t xml:space="preserve">unit tests (LiteSVM for fast Rust tests), TypeScript integration tests, fuzz tests (Trident), and attack vector tests</w:t>
      </w:r>
    </w:p>
    <w:p>
      <w:pPr>
        <w:pStyle w:val="ListParagraph"/>
        <w:numPr>
          <w:ilvl w:val="0"/>
          <w:numId w:val="2"/>
        </w:numPr>
        <w:spacing w:after="60" w:before="60"/>
      </w:pPr>
      <w:r>
        <w:rPr>
          <w:b/>
          <w:bCs/>
          <w:color w:val="1A1A2E"/>
          <w:sz w:val="22"/>
          <w:szCs w:val="22"/>
        </w:rPr>
        <w:t xml:space="preserve">Upgrade path documented — </w:t>
      </w:r>
      <w:r>
        <w:rPr>
          <w:color w:val="1A1A2E"/>
          <w:sz w:val="22"/>
          <w:szCs w:val="22"/>
        </w:rPr>
        <w:t xml:space="preserve">clear upgrade authority plan, migration scripts, and backwards-compatibility strategy</w:t>
      </w:r>
    </w:p>
    <w:p>
      <w:pPr>
        <w:pStyle w:val="ListParagraph"/>
        <w:numPr>
          <w:ilvl w:val="0"/>
          <w:numId w:val="2"/>
        </w:numPr>
        <w:spacing w:after="60" w:before="60"/>
      </w:pPr>
      <w:r>
        <w:rPr>
          <w:b/>
          <w:bCs/>
          <w:color w:val="1A1A2E"/>
          <w:sz w:val="22"/>
          <w:szCs w:val="22"/>
        </w:rPr>
        <w:t xml:space="preserve">Well-documented IDL — </w:t>
      </w:r>
      <w:r>
        <w:rPr>
          <w:color w:val="1A1A2E"/>
          <w:sz w:val="22"/>
          <w:szCs w:val="22"/>
        </w:rPr>
        <w:t xml:space="preserve">usable by other developers without asking the author</w:t>
      </w:r>
    </w:p>
    <w:p>
      <w:pPr>
        <w:pStyle w:val="Heading2"/>
        <w:spacing w:after="160" w:before="360"/>
      </w:pPr>
      <w:r>
        <w:rPr>
          <w:b/>
          <w:bCs/>
          <w:color w:val="16213E"/>
        </w:rPr>
        <w:t xml:space="preserve">Required Portfolio Categories</w:t>
      </w:r>
    </w:p>
    <w:p>
      <w:pPr>
        <w:pStyle w:val="Heading3"/>
        <w:spacing w:after="120" w:before="280"/>
      </w:pPr>
      <w:r>
        <w:rPr>
          <w:b/>
          <w:bCs/>
          <w:color w:val="333355"/>
        </w:rPr>
        <w:t xml:space="preserve">DeFi Protocol (Required)</w:t>
      </w:r>
    </w:p>
    <w:p>
      <w:pPr>
        <w:pStyle w:val="ListParagraph"/>
        <w:numPr>
          <w:ilvl w:val="0"/>
          <w:numId w:val="2"/>
        </w:numPr>
        <w:spacing w:after="60" w:before="60"/>
      </w:pPr>
      <w:r>
        <w:rPr>
          <w:color w:val="1A1A2E"/>
          <w:sz w:val="22"/>
          <w:szCs w:val="22"/>
        </w:rPr>
        <w:t xml:space="preserve">AMM or CLOB DEX with liquidity provision; ideally concentrated liquidity (Orca Whirlpools model)</w:t>
      </w:r>
    </w:p>
    <w:p>
      <w:pPr>
        <w:pStyle w:val="ListParagraph"/>
        <w:numPr>
          <w:ilvl w:val="0"/>
          <w:numId w:val="2"/>
        </w:numPr>
        <w:spacing w:after="60" w:before="60"/>
      </w:pPr>
      <w:r>
        <w:rPr>
          <w:color w:val="1A1A2E"/>
          <w:sz w:val="22"/>
          <w:szCs w:val="22"/>
        </w:rPr>
        <w:t xml:space="preserve">Lending/borrowing protocol with liquidations and an interest rate model</w:t>
      </w:r>
    </w:p>
    <w:p>
      <w:pPr>
        <w:pStyle w:val="ListParagraph"/>
        <w:numPr>
          <w:ilvl w:val="0"/>
          <w:numId w:val="2"/>
        </w:numPr>
        <w:spacing w:after="60" w:before="60"/>
      </w:pPr>
      <w:r>
        <w:rPr>
          <w:color w:val="1A1A2E"/>
          <w:sz w:val="22"/>
          <w:szCs w:val="22"/>
        </w:rPr>
        <w:t xml:space="preserve">Yield aggregator / auto-compounding vault</w:t>
      </w:r>
    </w:p>
    <w:p>
      <w:pPr>
        <w:pStyle w:val="ListParagraph"/>
        <w:numPr>
          <w:ilvl w:val="0"/>
          <w:numId w:val="2"/>
        </w:numPr>
        <w:spacing w:after="60" w:before="60"/>
      </w:pPr>
      <w:r>
        <w:rPr>
          <w:color w:val="1A1A2E"/>
          <w:sz w:val="22"/>
          <w:szCs w:val="22"/>
        </w:rPr>
        <w:t xml:space="preserve">Perpentuals or options protocol</w:t>
      </w:r>
    </w:p>
    <w:p>
      <w:pPr>
        <w:pBdr>
          <w:left w:val="single" w:color="9945FF" w:sz="8" w:space="4"/>
        </w:pBdr>
        <w:shd w:fill="EEF0FF" w:val="clear"/>
        <w:spacing w:after="120" w:before="120"/>
        <w:ind w:left="360" w:right="360"/>
      </w:pPr>
      <w:r>
        <w:rPr>
          <w:b/>
          <w:bCs/>
          <w:color w:val="9945FF"/>
          <w:sz w:val="20"/>
          <w:szCs w:val="20"/>
        </w:rPr>
        <w:t xml:space="preserve">Senior Signal:  </w:t>
      </w:r>
      <w:r>
        <w:rPr>
          <w:color w:val="1A1A2E"/>
          <w:sz w:val="20"/>
          <w:szCs w:val="20"/>
        </w:rPr>
        <w:t xml:space="preserve">Price oracle integration (Pyth), liquidation engine, flash loan resistance, custom oracle manipulation protections</w:t>
      </w:r>
    </w:p>
    <w:p>
      <w:pPr>
        <w:pStyle w:val="Heading3"/>
        <w:spacing w:after="120" w:before="280"/>
      </w:pPr>
      <w:r>
        <w:rPr>
          <w:b/>
          <w:bCs/>
          <w:color w:val="333355"/>
        </w:rPr>
        <w:t xml:space="preserve">DAO / Governance (Strong Signal)</w:t>
      </w:r>
    </w:p>
    <w:p>
      <w:pPr>
        <w:pStyle w:val="ListParagraph"/>
        <w:numPr>
          <w:ilvl w:val="0"/>
          <w:numId w:val="2"/>
        </w:numPr>
        <w:spacing w:after="60" w:before="60"/>
      </w:pPr>
      <w:r>
        <w:rPr>
          <w:color w:val="1A1A2E"/>
          <w:sz w:val="22"/>
          <w:szCs w:val="22"/>
        </w:rPr>
        <w:t xml:space="preserve">On-chain proposal + voting system with token-weighted or quadratic voting</w:t>
      </w:r>
    </w:p>
    <w:p>
      <w:pPr>
        <w:pStyle w:val="ListParagraph"/>
        <w:numPr>
          <w:ilvl w:val="0"/>
          <w:numId w:val="2"/>
        </w:numPr>
        <w:spacing w:after="60" w:before="60"/>
      </w:pPr>
      <w:r>
        <w:rPr>
          <w:color w:val="1A1A2E"/>
          <w:sz w:val="22"/>
          <w:szCs w:val="22"/>
        </w:rPr>
        <w:t xml:space="preserve">Timelock execution of governance actions</w:t>
      </w:r>
    </w:p>
    <w:p>
      <w:pPr>
        <w:pStyle w:val="ListParagraph"/>
        <w:numPr>
          <w:ilvl w:val="0"/>
          <w:numId w:val="2"/>
        </w:numPr>
        <w:spacing w:after="60" w:before="60"/>
      </w:pPr>
      <w:r>
        <w:rPr>
          <w:color w:val="1A1A2E"/>
          <w:sz w:val="22"/>
          <w:szCs w:val="22"/>
        </w:rPr>
        <w:t xml:space="preserve">Integration with Realms (SPL Governance)</w:t>
      </w:r>
    </w:p>
    <w:p>
      <w:pPr>
        <w:pBdr>
          <w:left w:val="single" w:color="9945FF" w:sz="8" w:space="4"/>
        </w:pBdr>
        <w:shd w:fill="EEF0FF" w:val="clear"/>
        <w:spacing w:after="120" w:before="120"/>
        <w:ind w:left="360" w:right="360"/>
      </w:pPr>
      <w:r>
        <w:rPr>
          <w:b/>
          <w:bCs/>
          <w:color w:val="9945FF"/>
          <w:sz w:val="20"/>
          <w:szCs w:val="20"/>
        </w:rPr>
        <w:t xml:space="preserve">Senior Signal:  </w:t>
      </w:r>
      <w:r>
        <w:rPr>
          <w:color w:val="1A1A2E"/>
          <w:sz w:val="20"/>
          <w:szCs w:val="20"/>
        </w:rPr>
        <w:t xml:space="preserve">Multi-sig execution, veto mechanisms, delegation, and documented governance process</w:t>
      </w:r>
    </w:p>
    <w:p>
      <w:pPr>
        <w:pStyle w:val="Heading3"/>
        <w:spacing w:after="120" w:before="280"/>
      </w:pPr>
      <w:r>
        <w:rPr>
          <w:b/>
          <w:bCs/>
          <w:color w:val="333355"/>
        </w:rPr>
        <w:t xml:space="preserve">NFT Infrastructure</w:t>
      </w:r>
    </w:p>
    <w:p>
      <w:pPr>
        <w:pStyle w:val="ListParagraph"/>
        <w:numPr>
          <w:ilvl w:val="0"/>
          <w:numId w:val="2"/>
        </w:numPr>
        <w:spacing w:after="60" w:before="60"/>
      </w:pPr>
      <w:r>
        <w:rPr>
          <w:color w:val="1A1A2E"/>
          <w:sz w:val="22"/>
          <w:szCs w:val="22"/>
        </w:rPr>
        <w:t xml:space="preserve">Compressed NFT minting at scale using Bubblegum (Light Protocol/ZK Compression)</w:t>
      </w:r>
    </w:p>
    <w:p>
      <w:pPr>
        <w:pStyle w:val="ListParagraph"/>
        <w:numPr>
          <w:ilvl w:val="0"/>
          <w:numId w:val="2"/>
        </w:numPr>
        <w:spacing w:after="60" w:before="60"/>
      </w:pPr>
      <w:r>
        <w:rPr>
          <w:color w:val="1A1A2E"/>
          <w:sz w:val="22"/>
          <w:szCs w:val="22"/>
        </w:rPr>
        <w:t xml:space="preserve">Royalty enforcement system or dynamic NFT metadata updates on-chain</w:t>
      </w:r>
    </w:p>
    <w:p>
      <w:pPr>
        <w:pStyle w:val="ListParagraph"/>
        <w:numPr>
          <w:ilvl w:val="0"/>
          <w:numId w:val="2"/>
        </w:numPr>
        <w:spacing w:after="60" w:before="60"/>
      </w:pPr>
      <w:r>
        <w:rPr>
          <w:color w:val="1A1A2E"/>
          <w:sz w:val="22"/>
          <w:szCs w:val="22"/>
        </w:rPr>
        <w:t xml:space="preserve">NFT marketplace with escrow</w:t>
      </w:r>
    </w:p>
    <w:p>
      <w:pPr>
        <w:pBdr>
          <w:left w:val="single" w:color="9945FF" w:sz="8" w:space="4"/>
        </w:pBdr>
        <w:shd w:fill="EEF0FF" w:val="clear"/>
        <w:spacing w:after="120" w:before="120"/>
        <w:ind w:left="360" w:right="360"/>
      </w:pPr>
      <w:r>
        <w:rPr>
          <w:b/>
          <w:bCs/>
          <w:color w:val="9945FF"/>
          <w:sz w:val="20"/>
          <w:szCs w:val="20"/>
        </w:rPr>
        <w:t xml:space="preserve">Senior Signal:  </w:t>
      </w:r>
      <w:r>
        <w:rPr>
          <w:color w:val="1A1A2E"/>
          <w:sz w:val="20"/>
          <w:szCs w:val="20"/>
        </w:rPr>
        <w:t xml:space="preserve">Metaplex Core integration, concurrent Merkle tree management, ZK-compressed state operations</w:t>
      </w:r>
    </w:p>
    <w:p>
      <w:pPr>
        <w:pStyle w:val="Heading3"/>
        <w:spacing w:after="120" w:before="280"/>
      </w:pPr>
      <w:r>
        <w:rPr>
          <w:b/>
          <w:bCs/>
          <w:color w:val="333355"/>
        </w:rPr>
        <w:t xml:space="preserve">Security-Focused Contributions</w:t>
      </w:r>
    </w:p>
    <w:p>
      <w:pPr>
        <w:pStyle w:val="ListParagraph"/>
        <w:numPr>
          <w:ilvl w:val="0"/>
          <w:numId w:val="2"/>
        </w:numPr>
        <w:spacing w:after="60" w:before="60"/>
      </w:pPr>
      <w:r>
        <w:rPr>
          <w:color w:val="1A1A2E"/>
          <w:sz w:val="22"/>
          <w:szCs w:val="22"/>
        </w:rPr>
        <w:t xml:space="preserve">Smart contract audit reports (even self-audits with documented methodology)</w:t>
      </w:r>
    </w:p>
    <w:p>
      <w:pPr>
        <w:pStyle w:val="ListParagraph"/>
        <w:numPr>
          <w:ilvl w:val="0"/>
          <w:numId w:val="2"/>
        </w:numPr>
        <w:spacing w:after="60" w:before="60"/>
      </w:pPr>
      <w:r>
        <w:rPr>
          <w:color w:val="1A1A2E"/>
          <w:sz w:val="22"/>
          <w:szCs w:val="22"/>
        </w:rPr>
        <w:t xml:space="preserve">Contributions to security research / CTFs (Neodyme, OtterSec workshops)</w:t>
      </w:r>
    </w:p>
    <w:p>
      <w:pPr>
        <w:pStyle w:val="ListParagraph"/>
        <w:numPr>
          <w:ilvl w:val="0"/>
          <w:numId w:val="2"/>
        </w:numPr>
        <w:spacing w:after="60" w:before="60"/>
      </w:pPr>
      <w:r>
        <w:rPr>
          <w:color w:val="1A1A2E"/>
          <w:sz w:val="22"/>
          <w:szCs w:val="22"/>
        </w:rPr>
        <w:t xml:space="preserve">Open-source security tooling (fuzzer, scanner)</w:t>
      </w:r>
    </w:p>
    <w:p>
      <w:pPr>
        <w:pStyle w:val="ListParagraph"/>
        <w:numPr>
          <w:ilvl w:val="0"/>
          <w:numId w:val="2"/>
        </w:numPr>
        <w:spacing w:after="60" w:before="60"/>
      </w:pPr>
      <w:r>
        <w:rPr>
          <w:color w:val="1A1A2E"/>
          <w:sz w:val="22"/>
          <w:szCs w:val="22"/>
        </w:rPr>
        <w:t xml:space="preserve">Bug bounty findings</w:t>
      </w:r>
    </w:p>
    <w:p>
      <w:pPr>
        <w:pStyle w:val="Heading3"/>
        <w:spacing w:after="120" w:before="280"/>
      </w:pPr>
      <w:r>
        <w:rPr>
          <w:b/>
          <w:bCs/>
          <w:color w:val="333355"/>
        </w:rPr>
        <w:t xml:space="preserve">Performance / Infrastructure</w:t>
      </w:r>
    </w:p>
    <w:p>
      <w:pPr>
        <w:pStyle w:val="ListParagraph"/>
        <w:numPr>
          <w:ilvl w:val="0"/>
          <w:numId w:val="2"/>
        </w:numPr>
        <w:spacing w:after="60" w:before="60"/>
      </w:pPr>
      <w:r>
        <w:rPr>
          <w:color w:val="1A1A2E"/>
          <w:sz w:val="22"/>
          <w:szCs w:val="22"/>
        </w:rPr>
        <w:t xml:space="preserve">Custom Geyser plugin or real-time indexer</w:t>
      </w:r>
    </w:p>
    <w:p>
      <w:pPr>
        <w:pStyle w:val="ListParagraph"/>
        <w:numPr>
          <w:ilvl w:val="0"/>
          <w:numId w:val="2"/>
        </w:numPr>
        <w:spacing w:after="60" w:before="60"/>
      </w:pPr>
      <w:r>
        <w:rPr>
          <w:color w:val="1A1A2E"/>
          <w:sz w:val="22"/>
          <w:szCs w:val="22"/>
        </w:rPr>
        <w:t xml:space="preserve">MEV bot (arbitrage, liquidation)</w:t>
      </w:r>
    </w:p>
    <w:p>
      <w:pPr>
        <w:pStyle w:val="ListParagraph"/>
        <w:numPr>
          <w:ilvl w:val="0"/>
          <w:numId w:val="2"/>
        </w:numPr>
        <w:spacing w:after="60" w:before="60"/>
      </w:pPr>
      <w:r>
        <w:rPr>
          <w:color w:val="1A1A2E"/>
          <w:sz w:val="22"/>
          <w:szCs w:val="22"/>
        </w:rPr>
        <w:t xml:space="preserve">High-frequency trading infrastructure with latency benchmarking</w:t>
      </w:r>
    </w:p>
    <w:p>
      <w:pPr>
        <w:pBdr>
          <w:left w:val="single" w:color="9945FF" w:sz="8" w:space="4"/>
        </w:pBdr>
        <w:shd w:fill="EEF0FF" w:val="clear"/>
        <w:spacing w:after="120" w:before="120"/>
        <w:ind w:left="360" w:right="360"/>
      </w:pPr>
      <w:r>
        <w:rPr>
          <w:b/>
          <w:bCs/>
          <w:color w:val="9945FF"/>
          <w:sz w:val="20"/>
          <w:szCs w:val="20"/>
        </w:rPr>
        <w:t xml:space="preserve">Senior Signal:  </w:t>
      </w:r>
      <w:r>
        <w:rPr>
          <w:color w:val="1A1A2E"/>
          <w:sz w:val="20"/>
          <w:szCs w:val="20"/>
        </w:rPr>
        <w:t xml:space="preserve">Jito bundle integration, latency benchmarking with concrete metrics, Yellowstone gRPC streaming</w:t>
      </w:r>
    </w:p>
    <w:p>
      <w:pPr>
        <w:pStyle w:val="Heading3"/>
        <w:spacing w:after="120" w:before="280"/>
      </w:pPr>
      <w:r>
        <w:rPr>
          <w:b/>
          <w:bCs/>
          <w:color w:val="333355"/>
        </w:rPr>
        <w:t xml:space="preserve">Cross-Chain / Interoperability</w:t>
      </w:r>
    </w:p>
    <w:p>
      <w:pPr>
        <w:pStyle w:val="ListParagraph"/>
        <w:numPr>
          <w:ilvl w:val="0"/>
          <w:numId w:val="2"/>
        </w:numPr>
        <w:spacing w:after="60" w:before="60"/>
      </w:pPr>
      <w:r>
        <w:rPr>
          <w:color w:val="1A1A2E"/>
          <w:sz w:val="22"/>
          <w:szCs w:val="22"/>
        </w:rPr>
        <w:t xml:space="preserve">Wormhole message passing integration</w:t>
      </w:r>
    </w:p>
    <w:p>
      <w:pPr>
        <w:pStyle w:val="ListParagraph"/>
        <w:numPr>
          <w:ilvl w:val="0"/>
          <w:numId w:val="2"/>
        </w:numPr>
        <w:spacing w:after="60" w:before="60"/>
      </w:pPr>
      <w:r>
        <w:rPr>
          <w:color w:val="1A1A2E"/>
          <w:sz w:val="22"/>
          <w:szCs w:val="22"/>
        </w:rPr>
        <w:t xml:space="preserve">Bridge receiver program with VAA verification</w:t>
      </w:r>
    </w:p>
    <w:p>
      <w:pPr>
        <w:pStyle w:val="ListParagraph"/>
        <w:numPr>
          <w:ilvl w:val="0"/>
          <w:numId w:val="2"/>
        </w:numPr>
        <w:spacing w:after="60" w:before="60"/>
      </w:pPr>
      <w:r>
        <w:rPr>
          <w:color w:val="1A1A2E"/>
          <w:sz w:val="22"/>
          <w:szCs w:val="22"/>
        </w:rPr>
        <w:t xml:space="preserve">Cross-chain token lock/unlock with guardian set handling</w:t>
      </w:r>
    </w:p>
    <w:p>
      <w:pPr>
        <w:pBdr>
          <w:bottom w:val="single" w:color="CCCCDD" w:sz="4" w:space="1"/>
        </w:pBdr>
        <w:spacing w:after="240" w:before="240"/>
      </w:pPr>
      <w:r>
        <w:t xml:space="preserve"/>
      </w:r>
    </w:p>
    <w:p>
      <w:r>
        <w:br w:type="page"/>
      </w:r>
    </w:p>
    <w:p>
      <w:pPr>
        <w:spacing w:after="60" w:before="480"/>
      </w:pPr>
      <w:r>
        <w:rPr>
          <w:b/>
          <w:bCs/>
          <w:caps/>
          <w:color w:val="9945FF"/>
          <w:sz w:val="18"/>
          <w:szCs w:val="18"/>
        </w:rPr>
        <w:t xml:space="preserve">SECTION 05  </w:t>
      </w:r>
      <w:r>
        <w:rPr>
          <w:b/>
          <w:bCs/>
          <w:caps/>
          <w:color w:val="9945FF"/>
          <w:sz w:val="18"/>
          <w:szCs w:val="18"/>
        </w:rPr>
        <w:t xml:space="preserve">Advanced Topics &amp; Emerging Trends</w:t>
      </w:r>
    </w:p>
    <w:p>
      <w:pPr>
        <w:pStyle w:val="Heading1"/>
        <w:spacing w:after="200" w:before="480"/>
      </w:pPr>
      <w:r>
        <w:rPr>
          <w:b/>
          <w:bCs/>
          <w:color w:val="1A1A2E"/>
        </w:rPr>
        <w:t xml:space="preserve">Advanced Topics for Senior Interviews</w:t>
      </w:r>
    </w:p>
    <w:p>
      <w:pPr>
        <w:pStyle w:val="Heading2"/>
        <w:spacing w:after="160" w:before="360"/>
      </w:pPr>
      <w:r>
        <w:rPr>
          <w:b/>
          <w:bCs/>
          <w:color w:val="16213E"/>
        </w:rPr>
        <w:t xml:space="preserve">MEV on Solana</w:t>
      </w:r>
    </w:p>
    <w:p>
      <w:pPr>
        <w:spacing w:after="80" w:before="80"/>
      </w:pPr>
      <w:r>
        <w:rPr>
          <w:color w:val="1A1A2E"/>
          <w:sz w:val="22"/>
          <w:szCs w:val="22"/>
        </w:rPr>
        <w:t xml:space="preserve">Maximal Extractable Value (MEV) on Solana differs architecturally from Ethereum and has become a critical topic for senior interviews. By 2025, bots were paying enormous sums to secure block inclusion, with annual MEV revenue estimated at ~$720 million.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Dimension</w:t>
            </w:r>
          </w:p>
        </w:tc>
        <w:tc>
          <w:tcPr>
            <w:tcW w:type="dxa" w:w="32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Ethereum</w:t>
            </w:r>
          </w:p>
        </w:tc>
        <w:tc>
          <w:tcPr>
            <w:tcW w:type="dxa" w:w="396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Solana</w:t>
            </w:r>
          </w:p>
        </w:tc>
      </w:tr>
      <w:tr>
        <w:tc>
          <w:tcPr>
            <w:tcW w:type="dxa" w:w="2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Mempool</w:t>
            </w:r>
          </w:p>
        </w:tc>
        <w:tc>
          <w:tcPr>
            <w:tcW w:type="dxa" w:w="3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Public mempool (visible to all)</w:t>
            </w:r>
          </w:p>
        </w:tc>
        <w:tc>
          <w:tcPr>
            <w:tcW w:type="dxa" w:w="39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No traditional mempool; Gulf Stream forwards to leaders</w:t>
            </w:r>
          </w:p>
        </w:tc>
      </w:tr>
      <w:tr>
        <w:tc>
          <w:tcPr>
            <w:tcW w:type="dxa" w:w="22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Ordering mechanism</w:t>
            </w:r>
          </w:p>
        </w:tc>
        <w:tc>
          <w:tcPr>
            <w:tcW w:type="dxa" w:w="32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Gas price auction</w:t>
            </w:r>
          </w:p>
        </w:tc>
        <w:tc>
          <w:tcPr>
            <w:tcW w:type="dxa" w:w="39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Jito bundle tips + priority fees</w:t>
            </w:r>
          </w:p>
        </w:tc>
      </w:tr>
      <w:tr>
        <w:tc>
          <w:tcPr>
            <w:tcW w:type="dxa" w:w="2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Primary MEV infrastructure</w:t>
            </w:r>
          </w:p>
        </w:tc>
        <w:tc>
          <w:tcPr>
            <w:tcW w:type="dxa" w:w="3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Flashbots MEV-Boost</w:t>
            </w:r>
          </w:p>
        </w:tc>
        <w:tc>
          <w:tcPr>
            <w:tcW w:type="dxa" w:w="39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Jito-Solana validator client</w:t>
            </w:r>
          </w:p>
        </w:tc>
      </w:tr>
      <w:tr>
        <w:tc>
          <w:tcPr>
            <w:tcW w:type="dxa" w:w="22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Sandwich attacks</w:t>
            </w:r>
          </w:p>
        </w:tc>
        <w:tc>
          <w:tcPr>
            <w:tcW w:type="dxa" w:w="32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Common via mempool watching</w:t>
            </w:r>
          </w:p>
        </w:tc>
        <w:tc>
          <w:tcPr>
            <w:tcW w:type="dxa" w:w="39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Harder but possible via Jito mempool (suspended March 2024)</w:t>
            </w:r>
          </w:p>
        </w:tc>
      </w:tr>
      <w:tr>
        <w:tc>
          <w:tcPr>
            <w:tcW w:type="dxa" w:w="2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Arbitrage</w:t>
            </w:r>
          </w:p>
        </w:tc>
        <w:tc>
          <w:tcPr>
            <w:tcW w:type="dxa" w:w="3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Flash loans + atomic swaps</w:t>
            </w:r>
          </w:p>
        </w:tc>
        <w:tc>
          <w:tcPr>
            <w:tcW w:type="dxa" w:w="39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Atomic multi-hop swaps in single tx; no flash loans needed</w:t>
            </w:r>
          </w:p>
        </w:tc>
      </w:tr>
      <w:tr>
        <w:tc>
          <w:tcPr>
            <w:tcW w:type="dxa" w:w="22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Infrastructure importance</w:t>
            </w:r>
          </w:p>
        </w:tc>
        <w:tc>
          <w:tcPr>
            <w:tcW w:type="dxa" w:w="32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Smart contract logic dominant</w:t>
            </w:r>
          </w:p>
        </w:tc>
        <w:tc>
          <w:tcPr>
            <w:tcW w:type="dxa" w:w="39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Co-located nodes + low-latency streams equally important</w:t>
            </w:r>
          </w:p>
        </w:tc>
      </w:tr>
    </w:tbl>
    <w:p>
      <w:pPr>
        <w:spacing w:after="80" w:before="80"/>
      </w:pPr>
      <w:r>
        <w:rPr>
          <w:color w:val="1A1A2E"/>
          <w:sz w:val="22"/>
          <w:szCs w:val="22"/>
        </w:rPr>
        <w:t xml:space="preserve">By late 2024, over 90% of Solana's stake ran the Jito-Solana validator client. Jito's bundle system allows searchers to submit ordered transaction bundles with tips; validators select highest-tip bundles during block assembly. In Q1 2025, Jito bundles accounted for over 22% of total validator rewards.</w:t>
      </w:r>
    </w:p>
    <w:p>
      <w:pPr>
        <w:pBdr>
          <w:left w:val="single" w:color="9945FF" w:sz="8" w:space="4"/>
        </w:pBdr>
        <w:shd w:fill="EEF0FF" w:val="clear"/>
        <w:spacing w:after="120" w:before="120"/>
        <w:ind w:left="360" w:right="360"/>
      </w:pPr>
      <w:r>
        <w:rPr>
          <w:b/>
          <w:bCs/>
          <w:color w:val="9945FF"/>
          <w:sz w:val="20"/>
          <w:szCs w:val="20"/>
        </w:rPr>
        <w:t xml:space="preserve">Protocol Design Implications:  </w:t>
      </w:r>
      <w:r>
        <w:rPr>
          <w:color w:val="1A1A2E"/>
          <w:sz w:val="20"/>
          <w:szCs w:val="20"/>
        </w:rPr>
        <w:t xml:space="preserve">Use TWAPs for oracle prices, add on-chain slippage limits, and consider commit-reveal schemes for sensitive operations to make your protocol MEV-resistant.</w:t>
      </w:r>
    </w:p>
    <w:p>
      <w:pPr>
        <w:pStyle w:val="Heading2"/>
        <w:spacing w:after="160" w:before="360"/>
      </w:pPr>
      <w:r>
        <w:rPr>
          <w:b/>
          <w:bCs/>
          <w:color w:val="16213E"/>
        </w:rPr>
        <w:t xml:space="preserve">Firedancer &amp; Validator Client Diversity</w:t>
      </w:r>
    </w:p>
    <w:p>
      <w:pPr>
        <w:spacing w:after="80" w:before="80"/>
      </w:pPr>
      <w:r>
        <w:rPr>
          <w:color w:val="1A1A2E"/>
          <w:sz w:val="22"/>
          <w:szCs w:val="22"/>
        </w:rPr>
        <w:t xml:space="preserve">Firedancer is Jump Crypto's independent Solana validator client implementation, written from scratch in C (separate from the Rust-based Agave/Solana Labs client). Key implications:</w:t>
      </w:r>
    </w:p>
    <w:p>
      <w:pPr>
        <w:pStyle w:val="ListParagraph"/>
        <w:numPr>
          <w:ilvl w:val="0"/>
          <w:numId w:val="2"/>
        </w:numPr>
        <w:spacing w:after="60" w:before="60"/>
      </w:pPr>
      <w:r>
        <w:rPr>
          <w:color w:val="1A1A2E"/>
          <w:sz w:val="22"/>
          <w:szCs w:val="22"/>
        </w:rPr>
        <w:t xml:space="preserve">Client diversity: a bug in the single Solana Labs client previously could halt the entire network. Firedancer provides a second independent implementation, dramatically improving resilience</w:t>
      </w:r>
    </w:p>
    <w:p>
      <w:pPr>
        <w:pStyle w:val="ListParagraph"/>
        <w:numPr>
          <w:ilvl w:val="0"/>
          <w:numId w:val="2"/>
        </w:numPr>
        <w:spacing w:after="60" w:before="60"/>
      </w:pPr>
      <w:r>
        <w:rPr>
          <w:color w:val="1A1A2E"/>
          <w:sz w:val="22"/>
          <w:szCs w:val="22"/>
        </w:rPr>
        <w:t xml:space="preserve">Performance: Frankendancer (partial Firedancer integration) demonstrated 1 million TPS in testnet conditions in September 2024, compared to ~4,000 TPS in current production</w:t>
      </w:r>
    </w:p>
    <w:p>
      <w:pPr>
        <w:pStyle w:val="ListParagraph"/>
        <w:numPr>
          <w:ilvl w:val="0"/>
          <w:numId w:val="2"/>
        </w:numPr>
        <w:spacing w:after="60" w:before="60"/>
      </w:pPr>
      <w:r>
        <w:rPr>
          <w:color w:val="1A1A2E"/>
          <w:sz w:val="22"/>
          <w:szCs w:val="22"/>
        </w:rPr>
        <w:t xml:space="preserve">Separate consensus path: the network can continue if one client has a bug, as long as 67% of stake runs a non-buggy client</w:t>
      </w:r>
    </w:p>
    <w:p>
      <w:pPr>
        <w:pBdr>
          <w:left w:val="single" w:color="9945FF" w:sz="8" w:space="4"/>
        </w:pBdr>
        <w:shd w:fill="EEF0FF" w:val="clear"/>
        <w:spacing w:after="120" w:before="120"/>
        <w:ind w:left="360" w:right="360"/>
      </w:pPr>
      <w:r>
        <w:rPr>
          <w:b/>
          <w:bCs/>
          <w:color w:val="9945FF"/>
          <w:sz w:val="20"/>
          <w:szCs w:val="20"/>
        </w:rPr>
        <w:t xml:space="preserve">For Program Developers:  </w:t>
      </w:r>
      <w:r>
        <w:rPr>
          <w:color w:val="1A1A2E"/>
          <w:sz w:val="20"/>
          <w:szCs w:val="20"/>
        </w:rPr>
        <w:t xml:space="preserve">Firedancer is largely transparent — programs run identically. However, it signals the network's throughput ceiling is much higher than current production performance, so future programs should be designed for high-volume environments.</w:t>
      </w:r>
    </w:p>
    <w:p>
      <w:pPr>
        <w:pStyle w:val="Heading2"/>
        <w:spacing w:after="160" w:before="360"/>
      </w:pPr>
      <w:r>
        <w:rPr>
          <w:b/>
          <w:bCs/>
          <w:color w:val="16213E"/>
        </w:rPr>
        <w:t xml:space="preserve">Token Extensions (Token-2022)</w:t>
      </w:r>
    </w:p>
    <w:p>
      <w:pPr>
        <w:spacing w:after="80" w:before="80"/>
      </w:pPr>
      <w:r>
        <w:rPr>
          <w:color w:val="1A1A2E"/>
          <w:sz w:val="22"/>
          <w:szCs w:val="22"/>
        </w:rPr>
        <w:t xml:space="preserve">The SPL Token-2022 program is a superset of the original SPL Token program, enabling mint and account-level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Extension</w:t>
            </w:r>
          </w:p>
        </w:tc>
        <w:tc>
          <w:tcPr>
            <w:tcW w:type="dxa" w:w="35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Description</w:t>
            </w:r>
          </w:p>
        </w:tc>
        <w:tc>
          <w:tcPr>
            <w:tcW w:type="dxa" w:w="366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Use Cases</w:t>
            </w:r>
          </w:p>
        </w:tc>
      </w:tr>
      <w:tr>
        <w:tc>
          <w:tcPr>
            <w:tcW w:type="dxa" w:w="2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Confidential Transfers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Uses ElGamal encryption to hide transfer amounts on-chain while preserving verifiability</w:t>
            </w:r>
          </w:p>
        </w:tc>
        <w:tc>
          <w:tcPr>
            <w:tcW w:type="dxa" w:w="36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Institutional DeFi, compliant private payments</w:t>
            </w:r>
          </w:p>
        </w:tc>
      </w:tr>
      <w:tr>
        <w:tc>
          <w:tcPr>
            <w:tcW w:type="dxa" w:w="22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Transfer Hooks</w:t>
            </w:r>
          </w:p>
        </w:tc>
        <w:tc>
          <w:tcPr>
            <w:tcW w:type="dxa" w:w="35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Invokes a custom program on every token transfer</w:t>
            </w:r>
          </w:p>
        </w:tc>
        <w:tc>
          <w:tcPr>
            <w:tcW w:type="dxa" w:w="36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Royalty enforcement, compliance blocklists, loyalty tracking, NFT logic</w:t>
            </w:r>
          </w:p>
        </w:tc>
      </w:tr>
      <w:tr>
        <w:tc>
          <w:tcPr>
            <w:tcW w:type="dxa" w:w="2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Interest-Bearing Tokens</w:t>
            </w:r>
          </w:p>
        </w:tc>
        <w:tc>
          <w:tcPr>
            <w:tcW w:type="dxa" w:w="3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Accrues interest automatically without rebasing — amount scales by a stored rate</w:t>
            </w:r>
          </w:p>
        </w:tc>
        <w:tc>
          <w:tcPr>
            <w:tcW w:type="dxa" w:w="36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Yield-bearing stablecoins (cToken model)</w:t>
            </w:r>
          </w:p>
        </w:tc>
      </w:tr>
      <w:tr>
        <w:tc>
          <w:tcPr>
            <w:tcW w:type="dxa" w:w="22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Permanent Delegate</w:t>
            </w:r>
          </w:p>
        </w:tc>
        <w:tc>
          <w:tcPr>
            <w:tcW w:type="dxa" w:w="35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Grants a persistent authority to transfer or burn from any holder's account</w:t>
            </w:r>
          </w:p>
        </w:tc>
        <w:tc>
          <w:tcPr>
            <w:tcW w:type="dxa" w:w="36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Protocol compliance, subscriptions, stream payments</w:t>
            </w:r>
          </w:p>
        </w:tc>
      </w:tr>
      <w:tr>
        <w:tc>
          <w:tcPr>
            <w:tcW w:type="dxa" w:w="2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Non-Transferable</w:t>
            </w:r>
          </w:p>
        </w:tc>
        <w:tc>
          <w:tcPr>
            <w:tcW w:type="dxa" w:w="3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Tokens cannot be transferred once minted</w:t>
            </w:r>
          </w:p>
        </w:tc>
        <w:tc>
          <w:tcPr>
            <w:tcW w:type="dxa" w:w="36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Soulbound tokens, credentials, reputation systems</w:t>
            </w:r>
          </w:p>
        </w:tc>
      </w:tr>
    </w:tbl>
    <w:p>
      <w:pPr>
        <w:pBdr>
          <w:left w:val="single" w:color="9945FF" w:sz="8" w:space="4"/>
        </w:pBdr>
        <w:shd w:fill="EEF0FF" w:val="clear"/>
        <w:spacing w:after="120" w:before="120"/>
        <w:ind w:left="360" w:right="360"/>
      </w:pPr>
      <w:r>
        <w:rPr>
          <w:b/>
          <w:bCs/>
          <w:color w:val="9945FF"/>
          <w:sz w:val="20"/>
          <w:szCs w:val="20"/>
        </w:rPr>
        <w:t xml:space="preserve">⚠️ Security Note:  </w:t>
      </w:r>
      <w:r>
        <w:rPr>
          <w:color w:val="1A1A2E"/>
          <w:sz w:val="20"/>
          <w:szCs w:val="20"/>
        </w:rPr>
        <w:t xml:space="preserve">Transfer Hooks must be carefully designed to avoid CPI depth exhaustion. Unbounded or recursive hooks can consume the entire CPI depth budget, causing cascading failures in DeFi protocols that depend on token transfers.</w:t>
      </w:r>
    </w:p>
    <w:p>
      <w:pPr>
        <w:pStyle w:val="Heading2"/>
        <w:spacing w:after="160" w:before="360"/>
      </w:pPr>
      <w:r>
        <w:rPr>
          <w:b/>
          <w:bCs/>
          <w:color w:val="16213E"/>
        </w:rPr>
        <w:t xml:space="preserve">Zero-Knowledge Integration &amp; zkCompression</w:t>
      </w:r>
    </w:p>
    <w:p>
      <w:pPr>
        <w:spacing w:after="80" w:before="80"/>
      </w:pPr>
      <w:r>
        <w:rPr>
          <w:color w:val="1A1A2E"/>
          <w:sz w:val="22"/>
          <w:szCs w:val="22"/>
        </w:rPr>
        <w:t xml:space="preserve">ZK is being integrated into the Solana ecosystem at several layers:</w:t>
      </w:r>
    </w:p>
    <w:p>
      <w:pPr>
        <w:pStyle w:val="ListParagraph"/>
        <w:numPr>
          <w:ilvl w:val="0"/>
          <w:numId w:val="2"/>
        </w:numPr>
        <w:spacing w:after="60" w:before="60"/>
      </w:pPr>
      <w:r>
        <w:rPr>
          <w:b/>
          <w:bCs/>
          <w:color w:val="1A1A2E"/>
          <w:sz w:val="22"/>
          <w:szCs w:val="22"/>
        </w:rPr>
        <w:t xml:space="preserve">Confidential Transfers (Token-2022) — </w:t>
      </w:r>
      <w:r>
        <w:rPr>
          <w:color w:val="1A1A2E"/>
          <w:sz w:val="22"/>
          <w:szCs w:val="22"/>
        </w:rPr>
        <w:t xml:space="preserve">uses ZK proofs (ElGamal + sigma protocols) to prove transfer validity without revealing amounts</w:t>
      </w:r>
    </w:p>
    <w:p>
      <w:pPr>
        <w:pStyle w:val="ListParagraph"/>
        <w:numPr>
          <w:ilvl w:val="0"/>
          <w:numId w:val="2"/>
        </w:numPr>
        <w:spacing w:after="60" w:before="60"/>
      </w:pPr>
      <w:r>
        <w:rPr>
          <w:b/>
          <w:bCs/>
          <w:color w:val="1A1A2E"/>
          <w:sz w:val="22"/>
          <w:szCs w:val="22"/>
        </w:rPr>
        <w:t xml:space="preserve">Light Protocol / zkCompression — </w:t>
      </w:r>
      <w:r>
        <w:rPr>
          <w:color w:val="1A1A2E"/>
          <w:sz w:val="22"/>
          <w:szCs w:val="22"/>
        </w:rPr>
        <w:t xml:space="preserve">compresses account state into a Merkle tree stored as on-chain transaction data (much cheaper than full account rent). Programs operate on compressed accounts and prove state via ZK Merkle proofs. This reduced compressed NFT minting costs from ~0.01 SOL to ~0.000005 SOL per NFT</w:t>
      </w:r>
    </w:p>
    <w:p>
      <w:pPr>
        <w:pStyle w:val="ListParagraph"/>
        <w:numPr>
          <w:ilvl w:val="0"/>
          <w:numId w:val="2"/>
        </w:numPr>
        <w:spacing w:after="60" w:before="60"/>
      </w:pPr>
      <w:r>
        <w:rPr>
          <w:b/>
          <w:bCs/>
          <w:color w:val="1A1A2E"/>
          <w:sz w:val="22"/>
          <w:szCs w:val="22"/>
        </w:rPr>
        <w:t xml:space="preserve">ZK Rollup layers — </w:t>
      </w:r>
      <w:r>
        <w:rPr>
          <w:color w:val="1A1A2E"/>
          <w:sz w:val="22"/>
          <w:szCs w:val="22"/>
        </w:rPr>
        <w:t xml:space="preserve">exploratory projects aim to build ZK-rollup layers that post proofs to Solana mainnet, using it as a data availability layer</w:t>
      </w:r>
    </w:p>
    <w:p>
      <w:pPr>
        <w:pStyle w:val="ListParagraph"/>
        <w:numPr>
          <w:ilvl w:val="0"/>
          <w:numId w:val="2"/>
        </w:numPr>
        <w:spacing w:after="60" w:before="60"/>
      </w:pPr>
      <w:r>
        <w:rPr>
          <w:b/>
          <w:bCs/>
          <w:color w:val="1A1A2E"/>
          <w:sz w:val="22"/>
          <w:szCs w:val="22"/>
        </w:rPr>
        <w:t xml:space="preserve">On-chain ZK verifiers — </w:t>
      </w:r>
      <w:r>
        <w:rPr>
          <w:color w:val="1A1A2E"/>
          <w:sz w:val="22"/>
          <w:szCs w:val="22"/>
        </w:rPr>
        <w:t xml:space="preserve">using Solana's precompiles for curve operations (bn254) to verify Groth16/PLONK proofs</w:t>
      </w:r>
    </w:p>
    <w:p>
      <w:pPr>
        <w:pStyle w:val="Heading2"/>
        <w:spacing w:after="160" w:before="360"/>
      </w:pPr>
      <w:r>
        <w:rPr>
          <w:b/>
          <w:bCs/>
          <w:color w:val="16213E"/>
        </w:rPr>
        <w:t xml:space="preserve">Turbine Block Propagation Protocol</w:t>
      </w:r>
    </w:p>
    <w:p>
      <w:pPr>
        <w:spacing w:after="80" w:before="80"/>
      </w:pPr>
      <w:r>
        <w:rPr>
          <w:color w:val="1A1A2E"/>
          <w:sz w:val="22"/>
          <w:szCs w:val="22"/>
        </w:rPr>
        <w:t xml:space="preserve">Turbine solves the block propagation bandwidth problem. Broadcasting a full block to thousands of validators would require enormous bandwidth from the leader. Instead:</w:t>
      </w:r>
    </w:p>
    <w:p>
      <w:pPr>
        <w:pStyle w:val="ListParagraph"/>
        <w:numPr>
          <w:ilvl w:val="0"/>
          <w:numId w:val="2"/>
        </w:numPr>
        <w:spacing w:after="60" w:before="60"/>
      </w:pPr>
      <w:r>
        <w:rPr>
          <w:color w:val="1A1A2E"/>
          <w:sz w:val="22"/>
          <w:szCs w:val="22"/>
        </w:rPr>
        <w:t xml:space="preserve">The leader breaks blocks into small shreds (~1,280 bytes) using Reed-Solomon erasure coding</w:t>
      </w:r>
    </w:p>
    <w:p>
      <w:pPr>
        <w:pStyle w:val="ListParagraph"/>
        <w:numPr>
          <w:ilvl w:val="0"/>
          <w:numId w:val="2"/>
        </w:numPr>
        <w:spacing w:after="60" w:before="60"/>
      </w:pPr>
      <w:r>
        <w:rPr>
          <w:color w:val="1A1A2E"/>
          <w:sz w:val="22"/>
          <w:szCs w:val="22"/>
        </w:rPr>
        <w:t xml:space="preserve">Shreds are organized in a binary tree of validators — each propagates shreds to its children</w:t>
      </w:r>
    </w:p>
    <w:p>
      <w:pPr>
        <w:pStyle w:val="ListParagraph"/>
        <w:numPr>
          <w:ilvl w:val="0"/>
          <w:numId w:val="2"/>
        </w:numPr>
        <w:spacing w:after="60" w:before="60"/>
      </w:pPr>
      <w:r>
        <w:rPr>
          <w:color w:val="1A1A2E"/>
          <w:sz w:val="22"/>
          <w:szCs w:val="22"/>
        </w:rPr>
        <w:t xml:space="preserve">Each validator receives and forwards only a portion of the block, then uses erasure codes to reconstruct the full block from partial data</w:t>
      </w:r>
    </w:p>
    <w:p>
      <w:pPr>
        <w:pStyle w:val="ListParagraph"/>
        <w:numPr>
          <w:ilvl w:val="0"/>
          <w:numId w:val="2"/>
        </w:numPr>
        <w:spacing w:after="60" w:before="60"/>
      </w:pPr>
      <w:r>
        <w:rPr>
          <w:color w:val="1A1A2E"/>
          <w:sz w:val="22"/>
          <w:szCs w:val="22"/>
        </w:rPr>
        <w:t xml:space="preserve">Reduces per-node bandwidth requirements from O(N) to O(√N), enabling the network to scale to thousands of validators</w:t>
      </w:r>
    </w:p>
    <w:p>
      <w:pPr>
        <w:pBdr>
          <w:left w:val="single" w:color="9945FF" w:sz="8" w:space="4"/>
        </w:pBdr>
        <w:shd w:fill="EEF0FF" w:val="clear"/>
        <w:spacing w:after="120" w:before="120"/>
        <w:ind w:left="360" w:right="360"/>
      </w:pPr>
      <w:r>
        <w:rPr>
          <w:b/>
          <w:bCs/>
          <w:color w:val="9945FF"/>
          <w:sz w:val="20"/>
          <w:szCs w:val="20"/>
        </w:rPr>
        <w:t xml:space="preserve">Developer Implication:  </w:t>
      </w:r>
      <w:r>
        <w:rPr>
          <w:color w:val="1A1A2E"/>
          <w:sz w:val="20"/>
          <w:szCs w:val="20"/>
        </w:rPr>
        <w:t xml:space="preserve">Large transactions and accounts with lots of data cost more because they require more shreds to propagate. The 1,232-byte transaction size limit directly ties to Turbine's shred size architecture.</w:t>
      </w:r>
    </w:p>
    <w:p>
      <w:pPr>
        <w:pStyle w:val="Heading2"/>
        <w:spacing w:after="160" w:before="360"/>
      </w:pPr>
      <w:r>
        <w:rPr>
          <w:b/>
          <w:bCs/>
          <w:color w:val="16213E"/>
        </w:rPr>
        <w:t xml:space="preserve">Parallel Execution Model — Deep Dive</w:t>
      </w:r>
    </w:p>
    <w:p>
      <w:pPr>
        <w:spacing w:after="80" w:before="80"/>
      </w:pPr>
      <w:r>
        <w:rPr>
          <w:color w:val="1A1A2E"/>
          <w:sz w:val="22"/>
          <w:szCs w:val="22"/>
        </w:rPr>
        <w:t xml:space="preserve">Beyond the basics, senior candidates should be ready to discuss how Sealevel's parallel model influences program architecture:</w:t>
      </w:r>
    </w:p>
    <w:p>
      <w:pPr>
        <w:pStyle w:val="ListParagraph"/>
        <w:numPr>
          <w:ilvl w:val="0"/>
          <w:numId w:val="2"/>
        </w:numPr>
        <w:spacing w:after="60" w:before="60"/>
      </w:pPr>
      <w:r>
        <w:rPr>
          <w:color w:val="1A1A2E"/>
          <w:sz w:val="22"/>
          <w:szCs w:val="22"/>
        </w:rPr>
        <w:t xml:space="preserve">Programs that write to a single global state account (naive AMM design) become sequential bottlenecks regardless of Sealevel</w:t>
      </w:r>
    </w:p>
    <w:p>
      <w:pPr>
        <w:pStyle w:val="ListParagraph"/>
        <w:numPr>
          <w:ilvl w:val="0"/>
          <w:numId w:val="2"/>
        </w:numPr>
        <w:spacing w:after="60" w:before="60"/>
      </w:pPr>
      <w:r>
        <w:rPr>
          <w:color w:val="1A1A2E"/>
          <w:sz w:val="22"/>
          <w:szCs w:val="22"/>
        </w:rPr>
        <w:t xml:space="preserve">Designing for parallelism means spreading writes across many independent accounts — per-user state, per-position accounts, etc.</w:t>
      </w:r>
    </w:p>
    <w:p>
      <w:pPr>
        <w:pStyle w:val="ListParagraph"/>
        <w:numPr>
          <w:ilvl w:val="0"/>
          <w:numId w:val="2"/>
        </w:numPr>
        <w:spacing w:after="60" w:before="60"/>
      </w:pPr>
      <w:r>
        <w:rPr>
          <w:color w:val="1A1A2E"/>
          <w:sz w:val="22"/>
          <w:szCs w:val="22"/>
        </w:rPr>
        <w:t xml:space="preserve">The local fee market concept: when many transactions contend for a single writable account, priority fees for that "account lane" spike independently of the global network</w:t>
      </w:r>
    </w:p>
    <w:p>
      <w:pPr>
        <w:pStyle w:val="ListParagraph"/>
        <w:numPr>
          <w:ilvl w:val="0"/>
          <w:numId w:val="2"/>
        </w:numPr>
        <w:spacing w:after="60" w:before="60"/>
      </w:pPr>
      <w:r>
        <w:rPr>
          <w:color w:val="1A1A2E"/>
          <w:sz w:val="22"/>
          <w:szCs w:val="22"/>
        </w:rPr>
        <w:t xml:space="preserve">SIMD optimization: the runtime groups transactions by program ID and executes the same bytecode over many independent accounts in parallel using CPU vector instructions</w:t>
      </w:r>
    </w:p>
    <w:p>
      <w:pPr>
        <w:pBdr>
          <w:bottom w:val="single" w:color="CCCCDD" w:sz="4" w:space="1"/>
        </w:pBdr>
        <w:spacing w:after="240" w:before="240"/>
      </w:pPr>
      <w:r>
        <w:t xml:space="preserve"/>
      </w:r>
    </w:p>
    <w:p>
      <w:r>
        <w:br w:type="page"/>
      </w:r>
    </w:p>
    <w:p>
      <w:pPr>
        <w:spacing w:after="60" w:before="480"/>
      </w:pPr>
      <w:r>
        <w:rPr>
          <w:b/>
          <w:bCs/>
          <w:caps/>
          <w:color w:val="9945FF"/>
          <w:sz w:val="18"/>
          <w:szCs w:val="18"/>
        </w:rPr>
        <w:t xml:space="preserve">SECTION 06  </w:t>
      </w:r>
      <w:r>
        <w:rPr>
          <w:b/>
          <w:bCs/>
          <w:caps/>
          <w:color w:val="9945FF"/>
          <w:sz w:val="18"/>
          <w:szCs w:val="18"/>
        </w:rPr>
        <w:t xml:space="preserve">4-Week Study Roadmap</w:t>
      </w:r>
    </w:p>
    <w:p>
      <w:pPr>
        <w:pStyle w:val="Heading1"/>
        <w:spacing w:after="200" w:before="480"/>
      </w:pPr>
      <w:r>
        <w:rPr>
          <w:b/>
          <w:bCs/>
          <w:color w:val="1A1A2E"/>
        </w:rPr>
        <w:t xml:space="preserve">Structured 4-Week Study Roadmap</w:t>
      </w:r>
    </w:p>
    <w:p>
      <w:pPr>
        <w:pStyle w:val="Heading2"/>
        <w:spacing w:after="160" w:before="360"/>
      </w:pPr>
      <w:r>
        <w:rPr>
          <w:b/>
          <w:bCs/>
          <w:color w:val="16213E"/>
        </w:rPr>
        <w:t xml:space="preserve">Week 1 — Foundation Solidification</w:t>
      </w:r>
    </w:p>
    <w:p>
      <w:pPr>
        <w:spacing w:after="80" w:before="80"/>
      </w:pPr>
      <w:r>
        <w:rPr>
          <w:color w:val="1A1A2E"/>
          <w:sz w:val="22"/>
          <w:szCs w:val="22"/>
        </w:rPr>
        <w:t xml:space="preserve">Goal: Eliminate any knowledge gaps in Solana core concepts and Rust for blockchain.</w:t>
      </w:r>
    </w:p>
    <w:p>
      <w:pPr>
        <w:pStyle w:val="ListParagraph"/>
        <w:numPr>
          <w:ilvl w:val="0"/>
          <w:numId w:val="2"/>
        </w:numPr>
        <w:spacing w:after="60" w:before="60"/>
      </w:pPr>
      <w:r>
        <w:rPr>
          <w:color w:val="1A1A2E"/>
          <w:sz w:val="22"/>
          <w:szCs w:val="22"/>
        </w:rPr>
        <w:t xml:space="preserve">Read Solana Docs: Account Model, Transactions, Runtime, Programs</w:t>
      </w:r>
    </w:p>
    <w:p>
      <w:pPr>
        <w:pStyle w:val="ListParagraph"/>
        <w:numPr>
          <w:ilvl w:val="0"/>
          <w:numId w:val="2"/>
        </w:numPr>
        <w:spacing w:after="60" w:before="60"/>
      </w:pPr>
      <w:r>
        <w:rPr>
          <w:color w:val="1A1A2E"/>
          <w:sz w:val="22"/>
          <w:szCs w:val="22"/>
        </w:rPr>
        <w:t xml:space="preserve">Study Sealevel whitepaper + Turbine + Gulf Stream architecture</w:t>
      </w:r>
    </w:p>
    <w:p>
      <w:pPr>
        <w:pStyle w:val="ListParagraph"/>
        <w:numPr>
          <w:ilvl w:val="0"/>
          <w:numId w:val="2"/>
        </w:numPr>
        <w:spacing w:after="60" w:before="60"/>
      </w:pPr>
      <w:r>
        <w:rPr>
          <w:color w:val="1A1A2E"/>
          <w:sz w:val="22"/>
          <w:szCs w:val="22"/>
        </w:rPr>
        <w:t xml:space="preserve">Rust Book Chapters 4 (ownership), 10 (generics/traits/lifetimes), 16 (concurrency)</w:t>
      </w:r>
    </w:p>
    <w:p>
      <w:pPr>
        <w:pStyle w:val="ListParagraph"/>
        <w:numPr>
          <w:ilvl w:val="0"/>
          <w:numId w:val="2"/>
        </w:numPr>
        <w:spacing w:after="60" w:before="60"/>
      </w:pPr>
      <w:r>
        <w:rPr>
          <w:color w:val="1A1A2E"/>
          <w:sz w:val="22"/>
          <w:szCs w:val="22"/>
        </w:rPr>
        <w:t xml:space="preserve">Anchor Book: full walkthrough — build and deploy a counter program on devnet</w:t>
      </w:r>
    </w:p>
    <w:p>
      <w:pPr>
        <w:pStyle w:val="ListParagraph"/>
        <w:numPr>
          <w:ilvl w:val="0"/>
          <w:numId w:val="2"/>
        </w:numPr>
        <w:spacing w:after="60" w:before="60"/>
      </w:pPr>
      <w:r>
        <w:rPr>
          <w:color w:val="1A1A2E"/>
          <w:sz w:val="22"/>
          <w:szCs w:val="22"/>
        </w:rPr>
        <w:t xml:space="preserve">Study: Helius blog — "Hitchhiker's Guide to Solana Security"</w:t>
      </w:r>
    </w:p>
    <w:p>
      <w:pPr>
        <w:pStyle w:val="ListParagraph"/>
        <w:numPr>
          <w:ilvl w:val="0"/>
          <w:numId w:val="2"/>
        </w:numPr>
        <w:spacing w:after="60" w:before="60"/>
      </w:pPr>
      <w:r>
        <w:rPr>
          <w:color w:val="1A1A2E"/>
          <w:sz w:val="22"/>
          <w:szCs w:val="22"/>
        </w:rPr>
        <w:t xml:space="preserve">Build: Deploy a simple voting contract on devnet with Anchor</w:t>
      </w:r>
    </w:p>
    <w:p>
      <w:pPr>
        <w:pStyle w:val="Heading2"/>
        <w:spacing w:after="160" w:before="360"/>
      </w:pPr>
      <w:r>
        <w:rPr>
          <w:b/>
          <w:bCs/>
          <w:color w:val="16213E"/>
        </w:rPr>
        <w:t xml:space="preserve">Week 2 — Security Deep Dive + Anchor Mastery</w:t>
      </w:r>
    </w:p>
    <w:p>
      <w:pPr>
        <w:spacing w:after="80" w:before="80"/>
      </w:pPr>
      <w:r>
        <w:rPr>
          <w:color w:val="1A1A2E"/>
          <w:sz w:val="22"/>
          <w:szCs w:val="22"/>
        </w:rPr>
        <w:t xml:space="preserve">Goal: Be able to audit and write secure programs confidently.</w:t>
      </w:r>
    </w:p>
    <w:p>
      <w:pPr>
        <w:pStyle w:val="ListParagraph"/>
        <w:numPr>
          <w:ilvl w:val="0"/>
          <w:numId w:val="2"/>
        </w:numPr>
        <w:spacing w:after="60" w:before="60"/>
      </w:pPr>
      <w:r>
        <w:rPr>
          <w:color w:val="1A1A2E"/>
          <w:sz w:val="22"/>
          <w:szCs w:val="22"/>
        </w:rPr>
        <w:t xml:space="preserve">Complete Neodyme Solana Security Workshop CTF</w:t>
      </w:r>
    </w:p>
    <w:p>
      <w:pPr>
        <w:pStyle w:val="ListParagraph"/>
        <w:numPr>
          <w:ilvl w:val="0"/>
          <w:numId w:val="2"/>
        </w:numPr>
        <w:spacing w:after="60" w:before="60"/>
      </w:pPr>
      <w:r>
        <w:rPr>
          <w:color w:val="1A1A2E"/>
          <w:sz w:val="22"/>
          <w:szCs w:val="22"/>
        </w:rPr>
        <w:t xml:space="preserve">Read all Anchor security exploits documentation (anchor-lang.com security section)</w:t>
      </w:r>
    </w:p>
    <w:p>
      <w:pPr>
        <w:pStyle w:val="ListParagraph"/>
        <w:numPr>
          <w:ilvl w:val="0"/>
          <w:numId w:val="2"/>
        </w:numPr>
        <w:spacing w:after="60" w:before="60"/>
      </w:pPr>
      <w:r>
        <w:rPr>
          <w:color w:val="1A1A2E"/>
          <w:sz w:val="22"/>
          <w:szCs w:val="22"/>
        </w:rPr>
        <w:t xml:space="preserve">Study 3 major Solana hacks: Wormhole ($320M), Solend, Slope wallet — understand root causes</w:t>
      </w:r>
    </w:p>
    <w:p>
      <w:pPr>
        <w:pStyle w:val="ListParagraph"/>
        <w:numPr>
          <w:ilvl w:val="0"/>
          <w:numId w:val="2"/>
        </w:numPr>
        <w:spacing w:after="60" w:before="60"/>
      </w:pPr>
      <w:r>
        <w:rPr>
          <w:color w:val="1A1A2E"/>
          <w:sz w:val="22"/>
          <w:szCs w:val="22"/>
        </w:rPr>
        <w:t xml:space="preserve">Build: Full Anchor escrow program with comprehensive tests</w:t>
      </w:r>
    </w:p>
    <w:p>
      <w:pPr>
        <w:pStyle w:val="ListParagraph"/>
        <w:numPr>
          <w:ilvl w:val="0"/>
          <w:numId w:val="2"/>
        </w:numPr>
        <w:spacing w:after="60" w:before="60"/>
      </w:pPr>
      <w:r>
        <w:rPr>
          <w:color w:val="1A1A2E"/>
          <w:sz w:val="22"/>
          <w:szCs w:val="22"/>
        </w:rPr>
        <w:t xml:space="preserve">Set up Trident fuzzer on your escrow program</w:t>
      </w:r>
    </w:p>
    <w:p>
      <w:pPr>
        <w:pStyle w:val="ListParagraph"/>
        <w:numPr>
          <w:ilvl w:val="0"/>
          <w:numId w:val="2"/>
        </w:numPr>
        <w:spacing w:after="60" w:before="60"/>
      </w:pPr>
      <w:r>
        <w:rPr>
          <w:color w:val="1A1A2E"/>
          <w:sz w:val="22"/>
          <w:szCs w:val="22"/>
        </w:rPr>
        <w:t xml:space="preserve">Practice: Spot vulnerabilities in sannykim/solsec repo examples</w:t>
      </w:r>
    </w:p>
    <w:p>
      <w:pPr>
        <w:pStyle w:val="ListParagraph"/>
        <w:numPr>
          <w:ilvl w:val="0"/>
          <w:numId w:val="2"/>
        </w:numPr>
        <w:spacing w:after="60" w:before="60"/>
      </w:pPr>
      <w:r>
        <w:rPr>
          <w:color w:val="1A1A2E"/>
          <w:sz w:val="22"/>
          <w:szCs w:val="22"/>
        </w:rPr>
        <w:t xml:space="preserve">Study Token Extensions: confidential transfers + transfer hooks security</w:t>
      </w:r>
    </w:p>
    <w:p>
      <w:pPr>
        <w:pStyle w:val="Heading2"/>
        <w:spacing w:after="160" w:before="360"/>
      </w:pPr>
      <w:r>
        <w:rPr>
          <w:b/>
          <w:bCs/>
          <w:color w:val="16213E"/>
        </w:rPr>
        <w:t xml:space="preserve">Week 3 — DeFi Architecture + Performance</w:t>
      </w:r>
    </w:p>
    <w:p>
      <w:pPr>
        <w:spacing w:after="80" w:before="80"/>
      </w:pPr>
      <w:r>
        <w:rPr>
          <w:color w:val="1A1A2E"/>
          <w:sz w:val="22"/>
          <w:szCs w:val="22"/>
        </w:rPr>
        <w:t xml:space="preserve">Goal: Be able to design and discuss production DeFi systems confidently.</w:t>
      </w:r>
    </w:p>
    <w:p>
      <w:pPr>
        <w:pStyle w:val="ListParagraph"/>
        <w:numPr>
          <w:ilvl w:val="0"/>
          <w:numId w:val="2"/>
        </w:numPr>
        <w:spacing w:after="60" w:before="60"/>
      </w:pPr>
      <w:r>
        <w:rPr>
          <w:color w:val="1A1A2E"/>
          <w:sz w:val="22"/>
          <w:szCs w:val="22"/>
        </w:rPr>
        <w:t xml:space="preserve">Study Raydium / Orca / Phoenix source code architecture</w:t>
      </w:r>
    </w:p>
    <w:p>
      <w:pPr>
        <w:pStyle w:val="ListParagraph"/>
        <w:numPr>
          <w:ilvl w:val="0"/>
          <w:numId w:val="2"/>
        </w:numPr>
        <w:spacing w:after="60" w:before="60"/>
      </w:pPr>
      <w:r>
        <w:rPr>
          <w:color w:val="1A1A2E"/>
          <w:sz w:val="22"/>
          <w:szCs w:val="22"/>
        </w:rPr>
        <w:t xml:space="preserve">Understand Pyth Network oracle integration patterns (staleness, confidence)</w:t>
      </w:r>
    </w:p>
    <w:p>
      <w:pPr>
        <w:pStyle w:val="ListParagraph"/>
        <w:numPr>
          <w:ilvl w:val="0"/>
          <w:numId w:val="2"/>
        </w:numPr>
        <w:spacing w:after="60" w:before="60"/>
      </w:pPr>
      <w:r>
        <w:rPr>
          <w:color w:val="1A1A2E"/>
          <w:sz w:val="22"/>
          <w:szCs w:val="22"/>
        </w:rPr>
        <w:t xml:space="preserve">Compute Unit profiling: measure CUs on your programs using sol_log_compute_units</w:t>
      </w:r>
    </w:p>
    <w:p>
      <w:pPr>
        <w:pStyle w:val="ListParagraph"/>
        <w:numPr>
          <w:ilvl w:val="0"/>
          <w:numId w:val="2"/>
        </w:numPr>
        <w:spacing w:after="60" w:before="60"/>
      </w:pPr>
      <w:r>
        <w:rPr>
          <w:color w:val="1A1A2E"/>
          <w:sz w:val="22"/>
          <w:szCs w:val="22"/>
        </w:rPr>
        <w:t xml:space="preserve">Implement zero-copy accounts for a large data structure (e.g., simplified orderbook)</w:t>
      </w:r>
    </w:p>
    <w:p>
      <w:pPr>
        <w:pStyle w:val="ListParagraph"/>
        <w:numPr>
          <w:ilvl w:val="0"/>
          <w:numId w:val="2"/>
        </w:numPr>
        <w:spacing w:after="60" w:before="60"/>
      </w:pPr>
      <w:r>
        <w:rPr>
          <w:color w:val="1A1A2E"/>
          <w:sz w:val="22"/>
          <w:szCs w:val="22"/>
        </w:rPr>
        <w:t xml:space="preserve">Build: AMM or lending protocol MVP</w:t>
      </w:r>
    </w:p>
    <w:p>
      <w:pPr>
        <w:pStyle w:val="ListParagraph"/>
        <w:numPr>
          <w:ilvl w:val="0"/>
          <w:numId w:val="2"/>
        </w:numPr>
        <w:spacing w:after="60" w:before="60"/>
      </w:pPr>
      <w:r>
        <w:rPr>
          <w:color w:val="1A1A2E"/>
          <w:sz w:val="22"/>
          <w:szCs w:val="22"/>
        </w:rPr>
        <w:t xml:space="preserve">MEV: Study Jito bundles documentation and read sanj.dev MEV deep dive</w:t>
      </w:r>
    </w:p>
    <w:p>
      <w:pPr>
        <w:pStyle w:val="ListParagraph"/>
        <w:numPr>
          <w:ilvl w:val="0"/>
          <w:numId w:val="2"/>
        </w:numPr>
        <w:spacing w:after="60" w:before="60"/>
      </w:pPr>
      <w:r>
        <w:rPr>
          <w:color w:val="1A1A2E"/>
          <w:sz w:val="22"/>
          <w:szCs w:val="22"/>
        </w:rPr>
        <w:t xml:space="preserve">Indexing: Set up a Geyser plugin or Helius webhook for your test program</w:t>
      </w:r>
    </w:p>
    <w:p>
      <w:pPr>
        <w:pStyle w:val="Heading2"/>
        <w:spacing w:after="160" w:before="360"/>
      </w:pPr>
      <w:r>
        <w:rPr>
          <w:b/>
          <w:bCs/>
          <w:color w:val="16213E"/>
        </w:rPr>
        <w:t xml:space="preserve">Week 4 — Interview Prep + Portfolio Polish</w:t>
      </w:r>
    </w:p>
    <w:p>
      <w:pPr>
        <w:spacing w:after="80" w:before="80"/>
      </w:pPr>
      <w:r>
        <w:rPr>
          <w:color w:val="1A1A2E"/>
          <w:sz w:val="22"/>
          <w:szCs w:val="22"/>
        </w:rPr>
        <w:t xml:space="preserve">Goal: Sharpen communication, finalize GitHub, practice live coding.</w:t>
      </w:r>
    </w:p>
    <w:p>
      <w:pPr>
        <w:pStyle w:val="ListParagraph"/>
        <w:numPr>
          <w:ilvl w:val="0"/>
          <w:numId w:val="2"/>
        </w:numPr>
        <w:spacing w:after="60" w:before="60"/>
      </w:pPr>
      <w:r>
        <w:rPr>
          <w:color w:val="1A1A2E"/>
          <w:sz w:val="22"/>
          <w:szCs w:val="22"/>
        </w:rPr>
        <w:t xml:space="preserve">Mock interviews: system design scenarios (AMM, DAO, lending protocol)</w:t>
      </w:r>
    </w:p>
    <w:p>
      <w:pPr>
        <w:pStyle w:val="ListParagraph"/>
        <w:numPr>
          <w:ilvl w:val="0"/>
          <w:numId w:val="2"/>
        </w:numPr>
        <w:spacing w:after="60" w:before="60"/>
      </w:pPr>
      <w:r>
        <w:rPr>
          <w:color w:val="1A1A2E"/>
          <w:sz w:val="22"/>
          <w:szCs w:val="22"/>
        </w:rPr>
        <w:t xml:space="preserve">Write up 2–3 projects as README case studies with documented threat models</w:t>
      </w:r>
    </w:p>
    <w:p>
      <w:pPr>
        <w:pStyle w:val="ListParagraph"/>
        <w:numPr>
          <w:ilvl w:val="0"/>
          <w:numId w:val="2"/>
        </w:numPr>
        <w:spacing w:after="60" w:before="60"/>
      </w:pPr>
      <w:r>
        <w:rPr>
          <w:color w:val="1A1A2E"/>
          <w:sz w:val="22"/>
          <w:szCs w:val="22"/>
        </w:rPr>
        <w:t xml:space="preserve">Add comprehensive tests to portfolio programs (unit + integration + fuzz)</w:t>
      </w:r>
    </w:p>
    <w:p>
      <w:pPr>
        <w:pStyle w:val="ListParagraph"/>
        <w:numPr>
          <w:ilvl w:val="0"/>
          <w:numId w:val="2"/>
        </w:numPr>
        <w:spacing w:after="60" w:before="60"/>
      </w:pPr>
      <w:r>
        <w:rPr>
          <w:color w:val="1A1A2E"/>
          <w:sz w:val="22"/>
          <w:szCs w:val="22"/>
        </w:rPr>
        <w:t xml:space="preserve">Prepare 5 behavioral STAR stories covering key leadership scenarios</w:t>
      </w:r>
    </w:p>
    <w:p>
      <w:pPr>
        <w:pStyle w:val="ListParagraph"/>
        <w:numPr>
          <w:ilvl w:val="0"/>
          <w:numId w:val="2"/>
        </w:numPr>
        <w:spacing w:after="60" w:before="60"/>
      </w:pPr>
      <w:r>
        <w:rPr>
          <w:color w:val="1A1A2E"/>
          <w:sz w:val="22"/>
          <w:szCs w:val="22"/>
        </w:rPr>
        <w:t xml:space="preserve">Advanced: Firedancer, zkCompression, Token-2022 extension research</w:t>
      </w:r>
    </w:p>
    <w:p>
      <w:pPr>
        <w:pStyle w:val="ListParagraph"/>
        <w:numPr>
          <w:ilvl w:val="0"/>
          <w:numId w:val="2"/>
        </w:numPr>
        <w:spacing w:after="60" w:before="60"/>
      </w:pPr>
      <w:r>
        <w:rPr>
          <w:color w:val="1A1A2E"/>
          <w:sz w:val="22"/>
          <w:szCs w:val="22"/>
        </w:rPr>
        <w:t xml:space="preserve">Practice live debugging exercises (see Section 3 coding challenges)</w:t>
      </w:r>
    </w:p>
    <w:p>
      <w:pPr>
        <w:pStyle w:val="ListParagraph"/>
        <w:numPr>
          <w:ilvl w:val="0"/>
          <w:numId w:val="2"/>
        </w:numPr>
        <w:spacing w:after="60" w:before="60"/>
      </w:pPr>
      <w:r>
        <w:rPr>
          <w:color w:val="1A1A2E"/>
          <w:sz w:val="22"/>
          <w:szCs w:val="22"/>
        </w:rPr>
        <w:t xml:space="preserve">Review all Q&amp;A in this guide — identify and fill remaining gaps</w:t>
      </w:r>
    </w:p>
    <w:p>
      <w:pPr>
        <w:pStyle w:val="Heading2"/>
        <w:spacing w:after="160" w:before="360"/>
      </w:pPr>
      <w:r>
        <w:rPr>
          <w:b/>
          <w:bCs/>
          <w:color w:val="16213E"/>
        </w:rPr>
        <w:t xml:space="preserve">Priority Order — By Interview Frequency</w:t>
      </w:r>
    </w:p>
    <w:p>
      <w:pPr>
        <w:spacing w:after="80" w:before="80"/>
      </w:pPr>
      <w:r>
        <w:rPr>
          <w:color w:val="1A1A2E"/>
          <w:sz w:val="22"/>
          <w:szCs w:val="22"/>
        </w:rPr>
        <w:t xml:space="preserve">Based on research across developer forums, hiring blogs, and community data, focus on these topics in priority order:</w:t>
      </w:r>
    </w:p>
    <w:p>
      <w:pPr>
        <w:pStyle w:val="ListParagraph"/>
        <w:numPr>
          <w:ilvl w:val="0"/>
          <w:numId w:val="2"/>
        </w:numPr>
        <w:spacing w:after="60" w:before="60"/>
      </w:pPr>
      <w:r>
        <w:rPr>
          <w:b/>
          <w:bCs/>
          <w:color w:val="1A1A2E"/>
          <w:sz w:val="22"/>
          <w:szCs w:val="22"/>
        </w:rPr>
        <w:t xml:space="preserve">#1 — PDA design &amp; security </w:t>
      </w:r>
      <w:r>
        <w:rPr>
          <w:color w:val="1A1A2E"/>
          <w:sz w:val="22"/>
          <w:szCs w:val="22"/>
        </w:rPr>
        <w:t xml:space="preserve">(asked in virtually every technical round)</w:t>
      </w:r>
    </w:p>
    <w:p>
      <w:pPr>
        <w:pStyle w:val="ListParagraph"/>
        <w:numPr>
          <w:ilvl w:val="0"/>
          <w:numId w:val="2"/>
        </w:numPr>
        <w:spacing w:after="60" w:before="60"/>
      </w:pPr>
      <w:r>
        <w:rPr>
          <w:b/>
          <w:bCs/>
          <w:color w:val="1A1A2E"/>
          <w:sz w:val="22"/>
          <w:szCs w:val="22"/>
        </w:rPr>
        <w:t xml:space="preserve">#2 — Account model vs Ethereum </w:t>
      </w:r>
      <w:r>
        <w:rPr>
          <w:color w:val="1A1A2E"/>
          <w:sz w:val="22"/>
          <w:szCs w:val="22"/>
        </w:rPr>
        <w:t xml:space="preserve">(screening question — must be crisp and comprehensive)</w:t>
      </w:r>
    </w:p>
    <w:p>
      <w:pPr>
        <w:pStyle w:val="ListParagraph"/>
        <w:numPr>
          <w:ilvl w:val="0"/>
          <w:numId w:val="2"/>
        </w:numPr>
        <w:spacing w:after="60" w:before="60"/>
      </w:pPr>
      <w:r>
        <w:rPr>
          <w:b/>
          <w:bCs/>
          <w:color w:val="1A1A2E"/>
          <w:sz w:val="22"/>
          <w:szCs w:val="22"/>
        </w:rPr>
        <w:t xml:space="preserve">#3 — CPI security </w:t>
      </w:r>
      <w:r>
        <w:rPr>
          <w:color w:val="1A1A2E"/>
          <w:sz w:val="22"/>
          <w:szCs w:val="22"/>
        </w:rPr>
        <w:t xml:space="preserve">(arbitrary CPI, account reloading, confused deputy)</w:t>
      </w:r>
    </w:p>
    <w:p>
      <w:pPr>
        <w:pStyle w:val="ListParagraph"/>
        <w:numPr>
          <w:ilvl w:val="0"/>
          <w:numId w:val="2"/>
        </w:numPr>
        <w:spacing w:after="60" w:before="60"/>
      </w:pPr>
      <w:r>
        <w:rPr>
          <w:b/>
          <w:bCs/>
          <w:color w:val="1A1A2E"/>
          <w:sz w:val="22"/>
          <w:szCs w:val="22"/>
        </w:rPr>
        <w:t xml:space="preserve">#4 — Compute budget optimization </w:t>
      </w:r>
      <w:r>
        <w:rPr>
          <w:color w:val="1A1A2E"/>
          <w:sz w:val="22"/>
          <w:szCs w:val="22"/>
        </w:rPr>
        <w:t xml:space="preserve">(zero-copy, bump caching, priority fees)</w:t>
      </w:r>
    </w:p>
    <w:p>
      <w:pPr>
        <w:pStyle w:val="ListParagraph"/>
        <w:numPr>
          <w:ilvl w:val="0"/>
          <w:numId w:val="2"/>
        </w:numPr>
        <w:spacing w:after="60" w:before="60"/>
      </w:pPr>
      <w:r>
        <w:rPr>
          <w:b/>
          <w:bCs/>
          <w:color w:val="1A1A2E"/>
          <w:sz w:val="22"/>
          <w:szCs w:val="22"/>
        </w:rPr>
        <w:t xml:space="preserve">#5 — Sealevel parallel execution model </w:t>
      </w:r>
      <w:r>
        <w:rPr>
          <w:color w:val="1A1A2E"/>
          <w:sz w:val="22"/>
          <w:szCs w:val="22"/>
        </w:rPr>
        <w:t xml:space="preserve">(hot accounts, write contention, local fee markets)</w:t>
      </w:r>
    </w:p>
    <w:p>
      <w:pPr>
        <w:pStyle w:val="ListParagraph"/>
        <w:numPr>
          <w:ilvl w:val="0"/>
          <w:numId w:val="2"/>
        </w:numPr>
        <w:spacing w:after="60" w:before="60"/>
      </w:pPr>
      <w:r>
        <w:rPr>
          <w:b/>
          <w:bCs/>
          <w:color w:val="1A1A2E"/>
          <w:sz w:val="22"/>
          <w:szCs w:val="22"/>
        </w:rPr>
        <w:t xml:space="preserve">#6 — Anchor discriminators &amp; constraints </w:t>
      </w:r>
      <w:r>
        <w:rPr>
          <w:color w:val="1A1A2E"/>
          <w:sz w:val="22"/>
          <w:szCs w:val="22"/>
        </w:rPr>
        <w:t xml:space="preserve">(security automation, type confusion prevention)</w:t>
      </w:r>
    </w:p>
    <w:p>
      <w:pPr>
        <w:pStyle w:val="ListParagraph"/>
        <w:numPr>
          <w:ilvl w:val="0"/>
          <w:numId w:val="2"/>
        </w:numPr>
        <w:spacing w:after="60" w:before="60"/>
      </w:pPr>
      <w:r>
        <w:rPr>
          <w:b/>
          <w:bCs/>
          <w:color w:val="1A1A2E"/>
          <w:sz w:val="22"/>
          <w:szCs w:val="22"/>
        </w:rPr>
        <w:t xml:space="preserve">#7 — MEV awareness on Solana </w:t>
      </w:r>
      <w:r>
        <w:rPr>
          <w:color w:val="1A1A2E"/>
          <w:sz w:val="22"/>
          <w:szCs w:val="22"/>
        </w:rPr>
        <w:t xml:space="preserve">(Jito bundles, protocol design implications)</w:t>
      </w:r>
    </w:p>
    <w:p>
      <w:pPr>
        <w:pBdr>
          <w:bottom w:val="single" w:color="CCCCDD" w:sz="4" w:space="1"/>
        </w:pBdr>
        <w:spacing w:after="240" w:before="240"/>
      </w:pPr>
      <w:r>
        <w:t xml:space="preserve"/>
      </w:r>
    </w:p>
    <w:p>
      <w:r>
        <w:br w:type="page"/>
      </w:r>
    </w:p>
    <w:p>
      <w:pPr>
        <w:spacing w:after="60" w:before="480"/>
      </w:pPr>
      <w:r>
        <w:rPr>
          <w:b/>
          <w:bCs/>
          <w:caps/>
          <w:color w:val="9945FF"/>
          <w:sz w:val="18"/>
          <w:szCs w:val="18"/>
        </w:rPr>
        <w:t xml:space="preserve">SECTION 07  </w:t>
      </w:r>
      <w:r>
        <w:rPr>
          <w:b/>
          <w:bCs/>
          <w:caps/>
          <w:color w:val="9945FF"/>
          <w:sz w:val="18"/>
          <w:szCs w:val="18"/>
        </w:rPr>
        <w:t xml:space="preserve">Curated Resources</w:t>
      </w:r>
    </w:p>
    <w:p>
      <w:pPr>
        <w:pStyle w:val="Heading1"/>
        <w:spacing w:after="200" w:before="480"/>
      </w:pPr>
      <w:r>
        <w:rPr>
          <w:b/>
          <w:bCs/>
          <w:color w:val="1A1A2E"/>
        </w:rPr>
        <w:t xml:space="preserve">Curated Resources for Senior Interview Preparation</w:t>
      </w:r>
    </w:p>
    <w:p>
      <w:pPr>
        <w:pStyle w:val="Heading2"/>
        <w:spacing w:after="160" w:before="360"/>
      </w:pPr>
      <w:r>
        <w:rPr>
          <w:b/>
          <w:bCs/>
          <w:color w:val="16213E"/>
        </w:rPr>
        <w:t xml:space="preserve">Official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Resource</w:t>
            </w:r>
          </w:p>
        </w:tc>
        <w:tc>
          <w:tcPr>
            <w:tcW w:type="dxa" w:w="28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URL / Source</w:t>
            </w:r>
          </w:p>
        </w:tc>
        <w:tc>
          <w:tcPr>
            <w:tcW w:type="dxa" w:w="456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Why It Matters</w:t>
            </w:r>
          </w:p>
        </w:tc>
      </w:tr>
      <w:tr>
        <w:tc>
          <w:tcPr>
            <w:tcW w:type="dxa" w:w="20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Solana Developer Documentation</w:t>
            </w:r>
          </w:p>
        </w:tc>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docs.solana.com</w:t>
            </w:r>
          </w:p>
        </w:tc>
        <w:tc>
          <w:tcPr>
            <w:tcW w:type="dxa" w:w="45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Start with: Account Model, Transaction Anatomy, Programs, Runtime. The "Core Concepts" section is interview gold.</w:t>
            </w:r>
          </w:p>
        </w:tc>
      </w:tr>
      <w:tr>
        <w:tc>
          <w:tcPr>
            <w:tcW w:type="dxa" w:w="20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Anchor Documentation</w:t>
            </w:r>
          </w:p>
        </w:tc>
        <w:tc>
          <w:tcPr>
            <w:tcW w:type="dxa" w:w="2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anchor-lang.com/docs</w:t>
            </w:r>
          </w:p>
        </w:tc>
        <w:tc>
          <w:tcPr>
            <w:tcW w:type="dxa" w:w="45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Complete reference for all Anchor macros, constraints, CPI patterns. The "Security Exploits" section is required reading.</w:t>
            </w:r>
          </w:p>
        </w:tc>
      </w:tr>
      <w:tr>
        <w:tc>
          <w:tcPr>
            <w:tcW w:type="dxa" w:w="20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SPL Token-2022 Docs</w:t>
            </w:r>
          </w:p>
        </w:tc>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spl.solana.com/token-2022</w:t>
            </w:r>
          </w:p>
        </w:tc>
        <w:tc>
          <w:tcPr>
            <w:tcW w:type="dxa" w:w="45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Covers all Token Extensions. Senior interviewers increasingly ask about confidential transfers and transfer hooks.</w:t>
            </w:r>
          </w:p>
        </w:tc>
      </w:tr>
      <w:tr>
        <w:tc>
          <w:tcPr>
            <w:tcW w:type="dxa" w:w="20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Solana Program Examples</w:t>
            </w:r>
          </w:p>
        </w:tc>
        <w:tc>
          <w:tcPr>
            <w:tcW w:type="dxa" w:w="2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github.com/solana-developers/program-examples</w:t>
            </w:r>
          </w:p>
        </w:tc>
        <w:tc>
          <w:tcPr>
            <w:tcW w:type="dxa" w:w="45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Maintained by the Solana Foundation. Includes escrows, AMMs, CPIs, and Token-2022 in both native Rust and Anchor.</w:t>
            </w:r>
          </w:p>
        </w:tc>
      </w:tr>
    </w:tbl>
    <w:p>
      <w:pPr>
        <w:pStyle w:val="Heading2"/>
        <w:spacing w:after="160" w:before="360"/>
      </w:pPr>
      <w:r>
        <w:rPr>
          <w:b/>
          <w:bCs/>
          <w:color w:val="16213E"/>
        </w:rPr>
        <w:t xml:space="preserve">Security &amp; Auditing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Resource</w:t>
            </w:r>
          </w:p>
        </w:tc>
        <w:tc>
          <w:tcPr>
            <w:tcW w:type="dxa" w:w="28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Source</w:t>
            </w:r>
          </w:p>
        </w:tc>
        <w:tc>
          <w:tcPr>
            <w:tcW w:type="dxa" w:w="436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Strategic Value</w:t>
            </w:r>
          </w:p>
        </w:tc>
      </w:tr>
      <w:tr>
        <w:tc>
          <w:tcPr>
            <w:tcW w:type="dxa" w:w="2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sealevel-attacks</w:t>
            </w:r>
          </w:p>
        </w:tc>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github.com/coral-xyz/sealevel-attacks</w:t>
            </w:r>
          </w:p>
        </w:tc>
        <w:tc>
          <w:tcPr>
            <w:tcW w:type="dxa" w:w="43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Isolated examples of common Solana exploits and Anchor-based mitigations. Crucial for security interview rounds.</w:t>
            </w:r>
          </w:p>
        </w:tc>
      </w:tr>
      <w:tr>
        <w:tc>
          <w:tcPr>
            <w:tcW w:type="dxa" w:w="22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Zellic: Anchor Vulnerabilities</w:t>
            </w:r>
          </w:p>
        </w:tc>
        <w:tc>
          <w:tcPr>
            <w:tcW w:type="dxa" w:w="2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blog.zellic.io</w:t>
            </w:r>
          </w:p>
        </w:tc>
        <w:tc>
          <w:tcPr>
            <w:tcW w:type="dxa" w:w="43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"The Vulnerabilities You'll Write With Anchor" — outlines real Anchor pitfalls: PDA collisions, account reloading, confused deputy.</w:t>
            </w:r>
          </w:p>
        </w:tc>
      </w:tr>
      <w:tr>
        <w:tc>
          <w:tcPr>
            <w:tcW w:type="dxa" w:w="2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Helius Security Guide</w:t>
            </w:r>
          </w:p>
        </w:tc>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helius.dev/blog</w:t>
            </w:r>
          </w:p>
        </w:tc>
        <w:tc>
          <w:tcPr>
            <w:tcW w:type="dxa" w:w="43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"Hitchhiker's Guide to Solana Security" — practical checklist of smart contract risks with code examples.</w:t>
            </w:r>
          </w:p>
        </w:tc>
      </w:tr>
      <w:tr>
        <w:tc>
          <w:tcPr>
            <w:tcW w:type="dxa" w:w="22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Solana Audit Checklist</w:t>
            </w:r>
          </w:p>
        </w:tc>
        <w:tc>
          <w:tcPr>
            <w:tcW w:type="dxa" w:w="2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quillaudits.com</w:t>
            </w:r>
          </w:p>
        </w:tc>
        <w:tc>
          <w:tcPr>
            <w:tcW w:type="dxa" w:w="43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Comprehensive audit checklist covering all major vulnerability categories.</w:t>
            </w:r>
          </w:p>
        </w:tc>
      </w:tr>
      <w:tr>
        <w:tc>
          <w:tcPr>
            <w:tcW w:type="dxa" w:w="22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Neodyme CTF Workshop</w:t>
            </w:r>
          </w:p>
        </w:tc>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workshop.neodyme.io</w:t>
            </w:r>
          </w:p>
        </w:tc>
        <w:tc>
          <w:tcPr>
            <w:tcW w:type="dxa" w:w="43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Hands-on CTF for identifying and exploiting Solana vulnerabilities. Essential for proving security depth.</w:t>
            </w:r>
          </w:p>
        </w:tc>
      </w:tr>
      <w:tr>
        <w:tc>
          <w:tcPr>
            <w:tcW w:type="dxa" w:w="22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OtterSec Blog</w:t>
            </w:r>
          </w:p>
        </w:tc>
        <w:tc>
          <w:tcPr>
            <w:tcW w:type="dxa" w:w="2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osec.io/blog</w:t>
            </w:r>
          </w:p>
        </w:tc>
        <w:tc>
          <w:tcPr>
            <w:tcW w:type="dxa" w:w="43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Research-grade security disclosures and post-mortems for major Solana hacks.</w:t>
            </w:r>
          </w:p>
        </w:tc>
      </w:tr>
    </w:tbl>
    <w:p>
      <w:pPr>
        <w:pStyle w:val="Heading2"/>
        <w:spacing w:after="160" w:before="360"/>
      </w:pPr>
      <w:r>
        <w:rPr>
          <w:b/>
          <w:bCs/>
          <w:color w:val="16213E"/>
        </w:rPr>
        <w:t xml:space="preserve">Architecture, DeFi &amp;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Resource</w:t>
            </w:r>
          </w:p>
        </w:tc>
        <w:tc>
          <w:tcPr>
            <w:tcW w:type="dxa" w:w="28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Source</w:t>
            </w:r>
          </w:p>
        </w:tc>
        <w:tc>
          <w:tcPr>
            <w:tcW w:type="dxa" w:w="406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Strategic Value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helius-labs/solana-awesome</w:t>
            </w:r>
          </w:p>
        </w:tc>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github.com/helius-labs/solana-awesome</w:t>
            </w:r>
          </w:p>
        </w:tc>
        <w:tc>
          <w:tcPr>
            <w:tcW w:type="dxa" w:w="40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Curated directory of advanced Solana development resources, architectural deep dives, and performance dashboards.</w:t>
            </w:r>
          </w:p>
        </w:tc>
      </w:tr>
      <w:tr>
        <w:tc>
          <w:tcPr>
            <w:tcW w:type="dxa" w:w="25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Helius Blog — Indexing &amp; Architecture</w:t>
            </w:r>
          </w:p>
        </w:tc>
        <w:tc>
          <w:tcPr>
            <w:tcW w:type="dxa" w:w="2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helius.dev/blog</w:t>
            </w:r>
          </w:p>
        </w:tc>
        <w:tc>
          <w:tcPr>
            <w:tcW w:type="dxa" w:w="40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How to build production indexers, understand Geyser plugins, and design for high-throughput data pipelines.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Jito Block Engine Docs</w:t>
            </w:r>
          </w:p>
        </w:tc>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jito-labs.gitbook.io</w:t>
            </w:r>
          </w:p>
        </w:tc>
        <w:tc>
          <w:tcPr>
            <w:tcW w:type="dxa" w:w="40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Critical for understanding the modern transaction supply chain: bundle mechanics, searcher strategies, MEV mitigation.</w:t>
            </w:r>
          </w:p>
        </w:tc>
      </w:tr>
      <w:tr>
        <w:tc>
          <w:tcPr>
            <w:tcW w:type="dxa" w:w="25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Yellowstone gRPC Documentation</w:t>
            </w:r>
          </w:p>
        </w:tc>
        <w:tc>
          <w:tcPr>
            <w:tcW w:type="dxa" w:w="2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docs.triton.one</w:t>
            </w:r>
          </w:p>
        </w:tc>
        <w:tc>
          <w:tcPr>
            <w:tcW w:type="dxa" w:w="40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Technical guide for streaming real-time block and account data at sub-100 ms latency.</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Solana Nodit Architecture Blog</w:t>
            </w:r>
          </w:p>
        </w:tc>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nodit.io/blog</w:t>
            </w:r>
          </w:p>
        </w:tc>
        <w:tc>
          <w:tcPr>
            <w:tcW w:type="dxa" w:w="40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Deep-dives on Sealevel, Turbine, Gulf Stream, and the account model from first principles.</w:t>
            </w:r>
          </w:p>
        </w:tc>
      </w:tr>
    </w:tbl>
    <w:p>
      <w:pPr>
        <w:pStyle w:val="Heading2"/>
        <w:spacing w:after="160" w:before="360"/>
      </w:pPr>
      <w:r>
        <w:rPr>
          <w:b/>
          <w:bCs/>
          <w:color w:val="16213E"/>
        </w:rPr>
        <w:t xml:space="preserve">Practical Codebases to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Project</w:t>
            </w:r>
          </w:p>
        </w:tc>
        <w:tc>
          <w:tcPr>
            <w:tcW w:type="dxa" w:w="28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Source</w:t>
            </w:r>
          </w:p>
        </w:tc>
        <w:tc>
          <w:tcPr>
            <w:tcW w:type="dxa" w:w="406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What to Learn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anchor-escrow-2026</w:t>
            </w:r>
          </w:p>
        </w:tc>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github.com/solanakite/anchor-escrow-2026</w:t>
            </w:r>
          </w:p>
        </w:tc>
        <w:tc>
          <w:tcPr>
            <w:tcW w:type="dxa" w:w="40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Modern, production-grade escrow with full test coverage. The reference implementation for take-home assignments.</w:t>
            </w:r>
          </w:p>
        </w:tc>
      </w:tr>
      <w:tr>
        <w:tc>
          <w:tcPr>
            <w:tcW w:type="dxa" w:w="25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Orca Whirlpools</w:t>
            </w:r>
          </w:p>
        </w:tc>
        <w:tc>
          <w:tcPr>
            <w:tcW w:type="dxa" w:w="2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github.com/orca-so/whirlpools</w:t>
            </w:r>
          </w:p>
        </w:tc>
        <w:tc>
          <w:tcPr>
            <w:tcW w:type="dxa" w:w="40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Concentrated liquidity AMM architecture. Study tick management, position accounts, and oracle integration.</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Phoenix DEX</w:t>
            </w:r>
          </w:p>
        </w:tc>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github.com/Ellipsis-Labs/phoenix-v1</w:t>
            </w:r>
          </w:p>
        </w:tc>
        <w:tc>
          <w:tcPr>
            <w:tcW w:type="dxa" w:w="40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Central Limit Order Book (CLOB) on Solana. Study order matching, event queues, and state sharding.</w:t>
            </w:r>
          </w:p>
        </w:tc>
      </w:tr>
      <w:tr>
        <w:tc>
          <w:tcPr>
            <w:tcW w:type="dxa" w:w="25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Solana School (Blog)</w:t>
            </w:r>
          </w:p>
        </w:tc>
        <w:tc>
          <w:tcPr>
            <w:tcW w:type="dxa" w:w="2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solana.com/developers</w:t>
            </w:r>
          </w:p>
        </w:tc>
        <w:tc>
          <w:tcPr>
            <w:tcW w:type="dxa" w:w="40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"Lesson 5: Best Dev &amp; Debug Practices" — PDA seed mismatches, integer underflow with examples.</w:t>
            </w:r>
          </w:p>
        </w:tc>
      </w:tr>
    </w:tbl>
    <w:p>
      <w:pPr>
        <w:pStyle w:val="Heading2"/>
        <w:spacing w:after="160" w:before="360"/>
      </w:pPr>
      <w:r>
        <w:rPr>
          <w:b/>
          <w:bCs/>
          <w:color w:val="16213E"/>
        </w:rPr>
        <w:t xml:space="preserve">Interview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Resource</w:t>
            </w:r>
          </w:p>
        </w:tc>
        <w:tc>
          <w:tcPr>
            <w:tcW w:type="dxa" w:w="280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Source</w:t>
            </w:r>
          </w:p>
        </w:tc>
        <w:tc>
          <w:tcPr>
            <w:tcW w:type="dxa" w:w="4060"/>
            <w:tcBorders>
              <w:top w:val="single" w:color="CCCCDD" w:sz="1"/>
              <w:left w:val="single" w:color="CCCCDD" w:sz="1"/>
              <w:bottom w:val="single" w:color="CCCCDD" w:sz="1"/>
              <w:right w:val="single" w:color="CCCCDD" w:sz="1"/>
            </w:tcBorders>
            <w:shd w:fill="1A2240" w:val="clear"/>
            <w:tcMar>
              <w:top w:type="dxa" w:w="100"/>
              <w:left w:type="dxa" w:w="160"/>
              <w:bottom w:type="dxa" w:w="100"/>
              <w:right w:type="dxa" w:w="160"/>
            </w:tcMar>
          </w:tcPr>
          <w:p>
            <w:r>
              <w:rPr>
                <w:b/>
                <w:bCs/>
                <w:color w:val="FFFFFF"/>
                <w:sz w:val="20"/>
                <w:szCs w:val="20"/>
              </w:rPr>
              <w:t xml:space="preserve">How to Use</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Braintrust Solana Questions</w:t>
            </w:r>
          </w:p>
        </w:tc>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usebraintrust.com</w:t>
            </w:r>
          </w:p>
        </w:tc>
        <w:tc>
          <w:tcPr>
            <w:tcW w:type="dxa" w:w="40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Curated interview questions from actual hiring pipelines. Use as a self-assessment checklist.</w:t>
            </w:r>
          </w:p>
        </w:tc>
      </w:tr>
      <w:tr>
        <w:tc>
          <w:tcPr>
            <w:tcW w:type="dxa" w:w="25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Final Round AI — Solana Questions</w:t>
            </w:r>
          </w:p>
        </w:tc>
        <w:tc>
          <w:tcPr>
            <w:tcW w:type="dxa" w:w="2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finalroundai.com</w:t>
            </w:r>
          </w:p>
        </w:tc>
        <w:tc>
          <w:tcPr>
            <w:tcW w:type="dxa" w:w="40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25 most common Solana developer interview questions with community-contributed answers.</w:t>
            </w:r>
          </w:p>
        </w:tc>
      </w:tr>
      <w:tr>
        <w:tc>
          <w:tcPr>
            <w:tcW w:type="dxa" w:w="25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LiteSVM</w:t>
            </w:r>
          </w:p>
        </w:tc>
        <w:tc>
          <w:tcPr>
            <w:tcW w:type="dxa" w:w="280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github.com/LiteSVM/litesvm</w:t>
            </w:r>
          </w:p>
        </w:tc>
        <w:tc>
          <w:tcPr>
            <w:tcW w:type="dxa" w:w="4060"/>
            <w:tcBorders>
              <w:top w:val="single" w:color="CCCCDD" w:sz="1"/>
              <w:left w:val="single" w:color="CCCCDD" w:sz="1"/>
              <w:bottom w:val="single" w:color="CCCCDD" w:sz="1"/>
              <w:right w:val="single" w:color="CCCCDD" w:sz="1"/>
            </w:tcBorders>
            <w:shd w:fill="FFFFFF" w:val="clear"/>
            <w:tcMar>
              <w:top w:type="dxa" w:w="80"/>
              <w:left w:type="dxa" w:w="160"/>
              <w:bottom w:type="dxa" w:w="80"/>
              <w:right w:type="dxa" w:w="160"/>
            </w:tcMar>
          </w:tcPr>
          <w:p>
            <w:r>
              <w:rPr>
                <w:color w:val="1A1A2E"/>
                <w:sz w:val="20"/>
                <w:szCs w:val="20"/>
              </w:rPr>
              <w:t xml:space="preserve">Fast Rust-native testing framework for Solana programs. Use instead of bankrun for unit tests.</w:t>
            </w:r>
          </w:p>
        </w:tc>
      </w:tr>
      <w:tr>
        <w:tc>
          <w:tcPr>
            <w:tcW w:type="dxa" w:w="25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Trident Fuzzer</w:t>
            </w:r>
          </w:p>
        </w:tc>
        <w:tc>
          <w:tcPr>
            <w:tcW w:type="dxa" w:w="280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github.com/Ackee-Blockchain/trident</w:t>
            </w:r>
          </w:p>
        </w:tc>
        <w:tc>
          <w:tcPr>
            <w:tcW w:type="dxa" w:w="4060"/>
            <w:tcBorders>
              <w:top w:val="single" w:color="CCCCDD" w:sz="1"/>
              <w:left w:val="single" w:color="CCCCDD" w:sz="1"/>
              <w:bottom w:val="single" w:color="CCCCDD" w:sz="1"/>
              <w:right w:val="single" w:color="CCCCDD" w:sz="1"/>
            </w:tcBorders>
            <w:shd w:fill="F0F4FF" w:val="clear"/>
            <w:tcMar>
              <w:top w:type="dxa" w:w="80"/>
              <w:left w:type="dxa" w:w="160"/>
              <w:bottom w:type="dxa" w:w="80"/>
              <w:right w:type="dxa" w:w="160"/>
            </w:tcMar>
          </w:tcPr>
          <w:p>
            <w:r>
              <w:rPr>
                <w:color w:val="1A1A2E"/>
                <w:sz w:val="20"/>
                <w:szCs w:val="20"/>
              </w:rPr>
              <w:t xml:space="preserve">Anchor-native fuzz testing framework. Setup on your portfolio programs to demonstrate security rigor.</w:t>
            </w:r>
          </w:p>
        </w:tc>
      </w:tr>
    </w:tbl>
    <w:p>
      <w:pPr>
        <w:pBdr>
          <w:bottom w:val="single" w:color="CCCCDD" w:sz="4" w:space="1"/>
        </w:pBdr>
        <w:spacing w:after="240" w:before="240"/>
      </w:pPr>
      <w:r>
        <w:t xml:space="preserve"/>
      </w:r>
    </w:p>
    <w:p>
      <w:pPr>
        <w:spacing w:after="240" w:before="480"/>
        <w:jc w:val="center"/>
      </w:pPr>
      <w:r>
        <w:rPr>
          <w:i/>
          <w:iCs/>
          <w:color w:val="555577"/>
          <w:sz w:val="18"/>
          <w:szCs w:val="18"/>
        </w:rPr>
        <w:t xml:space="preserve">Prepared for Senior Solana Developer Interview Preparation. This guide synthesizes official Solana documentation, Anchor framework guides, security research from Zellic, Neodyme, and OtterSec, and ecosystem insights from Helius, Jito, and the broader Solana developer community.</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DD" w:sz="4" w:space="1"/>
      </w:pBdr>
      <w:tabs>
        <w:tab w:val="right" w:pos="9360"/>
      </w:tabs>
    </w:pPr>
    <w:r>
      <w:rPr>
        <w:color w:val="555577"/>
        <w:sz w:val="18"/>
        <w:szCs w:val="18"/>
      </w:rPr>
      <w:t xml:space="preserve">Senior Solana Smart Contract Developer — Interview Preparation Guide</w:t>
    </w:r>
    <w:r>
      <w:rPr>
        <w:sz w:val="18"/>
        <w:szCs w:val="18"/>
      </w:rPr>
      <w:t xml:space="preserve">	</w:t>
    </w:r>
    <w:r>
      <w:rPr>
        <w:color w:val="555577"/>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A1A2E"/>
      <w:sz w:val="40"/>
      <w:szCs w:val="40"/>
    </w:rPr>
  </w:style>
  <w:style w:type="paragraph" w:styleId="Heading2">
    <w:name w:val="Heading 2"/>
    <w:basedOn w:val="Normal"/>
    <w:next w:val="Normal"/>
    <w:qFormat/>
    <w:pPr>
      <w:spacing w:after="160" w:before="360"/>
      <w:outlineLvl w:val="1"/>
    </w:pPr>
    <w:rPr>
      <w:rFonts w:ascii="Calibri" w:cs="Calibri" w:eastAsia="Calibri" w:hAnsi="Calibri"/>
      <w:b/>
      <w:bCs/>
      <w:color w:val="1A3E6E"/>
      <w:sz w:val="30"/>
      <w:szCs w:val="30"/>
    </w:rPr>
  </w:style>
  <w:style w:type="paragraph" w:styleId="Heading3">
    <w:name w:val="Heading 3"/>
    <w:basedOn w:val="Normal"/>
    <w:next w:val="Normal"/>
    <w:qFormat/>
    <w:pPr>
      <w:spacing w:after="120" w:before="280"/>
      <w:outlineLvl w:val="2"/>
    </w:pPr>
    <w:rPr>
      <w:rFonts w:ascii="Calibri" w:cs="Calibri" w:eastAsia="Calibri" w:hAnsi="Calibri"/>
      <w:b/>
      <w:bCs/>
      <w:color w:val="2A5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2026-04-25T13:03:11.696Z</dcterms:created>
  <dcterms:modified xsi:type="dcterms:W3CDTF">2026-04-25T13:03:11.704Z</dcterms:modified>
</cp:coreProperties>
</file>

<file path=docProps/custom.xml><?xml version="1.0" encoding="utf-8"?>
<Properties xmlns="http://schemas.openxmlformats.org/officeDocument/2006/custom-properties" xmlns:vt="http://schemas.openxmlformats.org/officeDocument/2006/docPropsVTypes"/>
</file>