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CIS Infra Azure AI Platform GTM Proposal</w:t>
      </w:r>
    </w:p>
    <w:p>
      <w:pPr>
        <w:pStyle w:val="Subtitle"/>
      </w:pPr>
      <w:r>
        <w:rPr>
          <w:color w:val="000000"/>
        </w:rPr>
        <w:t>Platform foundation operations and cross tower delivery</w:t>
      </w:r>
    </w:p>
    <w:p>
      <w:r>
        <w:t>Prepared by Upendra Kumar | Senior leadership review | 8 October 2026 | Version 3.0</w:t>
      </w:r>
    </w:p>
    <w:p>
      <w:pPr>
        <w:pStyle w:val="Heading2"/>
      </w:pPr>
      <w:r>
        <w:rPr>
          <w:color w:val="000000"/>
        </w:rPr>
        <w:t>Executive recommendation</w:t>
      </w:r>
    </w:p>
    <w:p>
      <w:r>
        <w:t>Approve a 30 day validation of a CIS Infra led Azure AI Platform Foundation and Operations offering. Lead with an AI extension to an existing Azure landing zone, supported by one representative workload. Use a paid platform readiness assessment when prerequisites are uncertain. Expand to new foundations and recurring operations after scope and capability validation.</w:t>
      </w:r>
    </w:p>
    <w:p>
      <w:r>
        <w:t>CIS Infra owns its contracted platform deliverables and coordinates specialist work packages. Security, DevOps, Data, Data Engineering and AI own their respective outputs. The integrated solution can be comprehensive while tower accountability, costs and revenue remain explicit.</w:t>
      </w:r>
    </w:p>
    <w:p>
      <w:pPr>
        <w:pStyle w:val="Heading2"/>
      </w:pPr>
      <w:r>
        <w:rPr>
          <w:color w:val="000000"/>
        </w:rPr>
        <w:t>Leadership decisions requested</w:t>
      </w:r>
    </w:p>
    <w:p>
      <w:pPr>
        <w:pStyle w:val="ListBullet"/>
      </w:pPr>
      <w:r>
        <w:t>Nominate an Infra offering sponsor and cross tower leads with committed validation effort.</w:t>
      </w:r>
    </w:p>
    <w:p>
      <w:pPr>
        <w:pStyle w:val="ListBullet"/>
      </w:pPr>
      <w:r>
        <w:t>Approve the proposed scope boundaries and resolve ownership of Terraform, identity operations and shared observability.</w:t>
      </w:r>
    </w:p>
    <w:p>
      <w:pPr>
        <w:pStyle w:val="ListBullet"/>
      </w:pPr>
      <w:r>
        <w:t>Authorize candidate account qualification and an approved demonstration environment.</w:t>
      </w:r>
    </w:p>
    <w:p>
      <w:pPr>
        <w:pStyle w:val="ListBullet"/>
      </w:pPr>
      <w:r>
        <w:t>Ask Finance to approve tower attribution, shared cost treatment and margin definitions before a customer quotation.</w:t>
      </w:r>
    </w:p>
    <w:p>
      <w:pPr>
        <w:pStyle w:val="Heading2"/>
      </w:pPr>
      <w:r>
        <w:rPr>
          <w:color w:val="000000"/>
        </w:rPr>
        <w:t>Status and evidence</w:t>
      </w:r>
    </w:p>
    <w:p>
      <w:r>
        <w:t>This is an internal proposal, not an approved Cognizant product, rate card or staffing commitment. Public capability research from Version 2 is retained in the appendix. Proposed RACI, estimates, acceptance targets and commercial examples require internal and customer agreement. No new public research was performed for this revision.</w:t>
      </w:r>
    </w:p>
    <w:p>
      <w:r>
        <w:br w:type="page"/>
      </w:r>
    </w:p>
    <w:p>
      <w:pPr>
        <w:pStyle w:val="Heading1"/>
      </w:pPr>
      <w:r>
        <w:rPr>
          <w:color w:val="000000"/>
        </w:rPr>
        <w:t>Leadership decision brief</w:t>
      </w:r>
    </w:p>
    <w:p>
      <w:pPr>
        <w:pStyle w:val="Heading2"/>
      </w:pPr>
      <w:r>
        <w:rPr>
          <w:color w:val="000000"/>
        </w:rPr>
        <w:t>What the customer buys</w:t>
      </w:r>
    </w:p>
    <w:p>
      <w:r>
        <w:t>A bounded Azure environment ready to host an approved AI workload, with tested connectivity, platform controls, repeatable deployment, infrastructure monitoring, cost visibility and accepted operational ownership. Platform acceptance and workload acceptance are separate milestones.</w:t>
      </w:r>
    </w:p>
    <w:tbl>
      <w:tblPr>
        <w:tblW w:type="auto" w:w="0"/>
        <w:jc w:val="center"/>
        <w:tblLayout w:type="fixed"/>
        <w:tblLook w:firstColumn="1" w:firstRow="1" w:lastColumn="0" w:lastRow="0" w:noHBand="0" w:noVBand="1" w:val="04A0"/>
      </w:tblPr>
      <w:tblGrid>
        <w:gridCol w:w="1728"/>
        <w:gridCol w:w="4752"/>
        <w:gridCol w:w="3600"/>
      </w:tblGrid>
      <w:tr>
        <w:trPr>
          <w:cantSplit/>
          <w:tblHeader/>
        </w:trPr>
        <w:tc>
          <w:tcPr>
            <w:tcW w:type="dxa" w:w="1728"/>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Launch sequence</w:t>
            </w:r>
          </w:p>
        </w:tc>
        <w:tc>
          <w:tcPr>
            <w:tcW w:type="dxa" w:w="4752"/>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Offer</w:t>
            </w:r>
          </w:p>
        </w:tc>
        <w:tc>
          <w:tcPr>
            <w:tcW w:type="dxa" w:w="3600"/>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Commercial basis</w:t>
            </w:r>
          </w:p>
        </w:tc>
      </w:tr>
      <w:tr>
        <w:trPr>
          <w:cantSplit/>
        </w:trPr>
        <w:tc>
          <w:tcPr>
            <w:tcW w:type="dxa" w:w="1728"/>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Lead offer</w:t>
            </w:r>
          </w:p>
        </w:tc>
        <w:tc>
          <w:tcPr>
            <w:tcW w:type="dxa" w:w="4752"/>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AI platform foundation extension with one representative workload</w:t>
            </w:r>
          </w:p>
        </w:tc>
        <w:tc>
          <w:tcPr>
            <w:tcW w:type="dxa" w:w="360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Implementation quoted after prerequisite validation</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Entry offer</w:t>
            </w:r>
          </w:p>
        </w:tc>
        <w:tc>
          <w:tcPr>
            <w:tcW w:type="dxa" w:w="475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AI platform readiness and scope assessment</w:t>
            </w:r>
          </w:p>
        </w:tc>
        <w:tc>
          <w:tcPr>
            <w:tcW w:type="dxa" w:w="36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Fixed fee with bounded workshops and systems</w:t>
            </w:r>
          </w:p>
        </w:tc>
      </w:tr>
      <w:tr>
        <w:trPr>
          <w:cantSplit/>
        </w:trPr>
        <w:tc>
          <w:tcPr>
            <w:tcW w:type="dxa" w:w="1728"/>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Companion offer</w:t>
            </w:r>
          </w:p>
        </w:tc>
        <w:tc>
          <w:tcPr>
            <w:tcW w:type="dxa" w:w="4752"/>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Managed AI platform operations</w:t>
            </w:r>
          </w:p>
        </w:tc>
        <w:tc>
          <w:tcPr>
            <w:tcW w:type="dxa" w:w="360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Recurring fee with asset and support boundaries</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Later expansion</w:t>
            </w:r>
          </w:p>
        </w:tc>
        <w:tc>
          <w:tcPr>
            <w:tcW w:type="dxa" w:w="475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Additional workloads, regions and specialist services</w:t>
            </w:r>
          </w:p>
        </w:tc>
        <w:tc>
          <w:tcPr>
            <w:tcW w:type="dxa" w:w="36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Separately estimated work packages</w:t>
            </w:r>
          </w:p>
        </w:tc>
      </w:tr>
    </w:tbl>
    <w:p>
      <w:pPr>
        <w:spacing w:after="0"/>
      </w:pPr>
    </w:p>
    <w:p>
      <w:pPr>
        <w:pStyle w:val="Heading2"/>
      </w:pPr>
      <w:r>
        <w:rPr>
          <w:color w:val="000000"/>
        </w:rPr>
        <w:t>Why CIS Infra should lead</w:t>
      </w:r>
    </w:p>
    <w:p>
      <w:r>
        <w:t>The production blockers addressed are platform fragmentation, network and identity dependencies, environment provisioning, capacity, operational ownership and cost visibility. The AI tower owns model and agent quality; business owners remain accountable for value and process decisions.</w:t>
      </w:r>
    </w:p>
    <w:p>
      <w:pPr>
        <w:pStyle w:val="Heading2"/>
      </w:pPr>
      <w:r>
        <w:rPr>
          <w:color w:val="000000"/>
        </w:rPr>
        <w:t>Launch decision rule</w:t>
      </w:r>
    </w:p>
    <w:p>
      <w:r>
        <w:t>Proceed only when a candidate account has a funded workload, platform sponsor, data owner, supported deployment route and tower commitments. A foundation without a credible workload is a weak sales proposition.</w:t>
      </w:r>
    </w:p>
    <w:p>
      <w:pPr>
        <w:pStyle w:val="Heading2"/>
      </w:pPr>
      <w:r>
        <w:rPr>
          <w:color w:val="000000"/>
        </w:rPr>
        <w:t>What changed in Version 3</w:t>
      </w:r>
    </w:p>
    <w:p>
      <w:r>
        <w:t>The broad seven package portfolio is now an expansion map. Infra has one primary offer, explicit specialist dependencies, delivery and customer accountability, a worked estimating example, tower attribution rules and measurable acceptance gates. The earlier PDCA claim is corrected to three document review cycles.</w:t>
      </w:r>
    </w:p>
    <w:p>
      <w:r>
        <w:br w:type="page"/>
      </w:r>
    </w:p>
    <w:p>
      <w:pPr>
        <w:pStyle w:val="Heading1"/>
      </w:pPr>
      <w:r>
        <w:rPr>
          <w:color w:val="000000"/>
        </w:rPr>
        <w:t>Target customers and qualification</w:t>
      </w:r>
    </w:p>
    <w:p>
      <w:r>
        <w:rPr>
          <w:b/>
        </w:rPr>
        <w:t xml:space="preserve">Primary customer profile  </w:t>
      </w:r>
      <w:r>
        <w:t>An enterprise with an existing Azure foundation and at least one AI pilot seeking a production deployment. The current environment has identifiable gaps in connectivity, controls, automation or operations.</w:t>
      </w:r>
    </w:p>
    <w:p>
      <w:r>
        <w:rPr>
          <w:b/>
        </w:rPr>
        <w:t xml:space="preserve">Buyers and sponsors  </w:t>
      </w:r>
      <w:r>
        <w:t>Platform or infrastructure leader as technical sponsor; CIO or transformation sponsor for funding; business workload owner for outcomes; CISO delegate for risk decisions.</w:t>
      </w:r>
    </w:p>
    <w:p>
      <w:r>
        <w:rPr>
          <w:b/>
        </w:rPr>
        <w:t xml:space="preserve">Buying triggers  </w:t>
      </w:r>
      <w:r>
        <w:t>A pilot blocked from production, repeated manual environment setup, unresolved private connectivity, unclear support ownership or lack of accountable platform cost reporting.</w:t>
      </w:r>
    </w:p>
    <w:p>
      <w:pPr>
        <w:pStyle w:val="Heading2"/>
      </w:pPr>
      <w:r>
        <w:rPr>
          <w:color w:val="000000"/>
        </w:rPr>
        <w:t>Qualification requirements</w:t>
      </w:r>
    </w:p>
    <w:tbl>
      <w:tblPr>
        <w:tblW w:type="auto" w:w="0"/>
        <w:jc w:val="center"/>
        <w:tblLayout w:type="fixed"/>
        <w:tblLook w:firstColumn="1" w:firstRow="1" w:lastColumn="0" w:lastRow="0" w:noHBand="0" w:noVBand="1" w:val="04A0"/>
      </w:tblPr>
      <w:tblGrid>
        <w:gridCol w:w="3168"/>
        <w:gridCol w:w="6912"/>
      </w:tblGrid>
      <w:tr>
        <w:trPr>
          <w:cantSplit/>
          <w:tblHeader/>
        </w:trPr>
        <w:tc>
          <w:tcPr>
            <w:tcW w:type="dxa" w:w="3168"/>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Question</w:t>
            </w:r>
          </w:p>
        </w:tc>
        <w:tc>
          <w:tcPr>
            <w:tcW w:type="dxa" w:w="6912"/>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Evidence required</w:t>
            </w:r>
          </w:p>
        </w:tc>
      </w:tr>
      <w:tr>
        <w:trPr>
          <w:cantSplit/>
        </w:trPr>
        <w:tc>
          <w:tcPr>
            <w:tcW w:type="dxa" w:w="3168"/>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Is there a funded workload?</w:t>
            </w:r>
          </w:p>
        </w:tc>
        <w:tc>
          <w:tcPr>
            <w:tcW w:type="dxa" w:w="6912"/>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Named owner, business problem, investment route and next decision date</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Can platform scope be controlled?</w:t>
            </w:r>
          </w:p>
        </w:tc>
        <w:tc>
          <w:tcPr>
            <w:tcW w:type="dxa" w:w="69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Existing architecture, environment inventory and authority to change</w:t>
            </w:r>
          </w:p>
        </w:tc>
      </w:tr>
      <w:tr>
        <w:trPr>
          <w:cantSplit/>
        </w:trPr>
        <w:tc>
          <w:tcPr>
            <w:tcW w:type="dxa" w:w="3168"/>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Can specialist towers deliver?</w:t>
            </w:r>
          </w:p>
        </w:tc>
        <w:tc>
          <w:tcPr>
            <w:tcW w:type="dxa" w:w="6912"/>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Named leads, approved assets, estimates and availability</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Can the workload use approved data?</w:t>
            </w:r>
          </w:p>
        </w:tc>
        <w:tc>
          <w:tcPr>
            <w:tcW w:type="dxa" w:w="69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Source owner, access rights, representative samples and restrictions</w:t>
            </w:r>
          </w:p>
        </w:tc>
      </w:tr>
      <w:tr>
        <w:trPr>
          <w:cantSplit/>
        </w:trPr>
        <w:tc>
          <w:tcPr>
            <w:tcW w:type="dxa" w:w="3168"/>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Can acceptance be demonstrated?</w:t>
            </w:r>
          </w:p>
        </w:tc>
        <w:tc>
          <w:tcPr>
            <w:tcW w:type="dxa" w:w="6912"/>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Test set, pass criteria, reviewers and sign off process</w:t>
            </w:r>
          </w:p>
        </w:tc>
      </w:tr>
    </w:tbl>
    <w:p>
      <w:pPr>
        <w:spacing w:after="0"/>
      </w:pPr>
    </w:p>
    <w:p>
      <w:pPr>
        <w:pStyle w:val="Heading2"/>
      </w:pPr>
      <w:r>
        <w:rPr>
          <w:color w:val="000000"/>
        </w:rPr>
        <w:t>Disqualifiers and rescoping</w:t>
      </w:r>
    </w:p>
    <w:p>
      <w:r>
        <w:t>Do not quote a fixed implementation fee where tenant authority, region/capacity, data access or critical integrations are unresolved. Offer an assessment instead. Separate enterprise wide security remediation, new hybrid connectivity, large data cleanup and application redevelopment into explicit scope.</w:t>
      </w:r>
    </w:p>
    <w:p>
      <w:pPr>
        <w:pStyle w:val="Heading2"/>
      </w:pPr>
      <w:r>
        <w:rPr>
          <w:color w:val="000000"/>
        </w:rPr>
        <w:t>Account shortlist</w:t>
      </w:r>
    </w:p>
    <w:p>
      <w:r>
        <w:t>The account team should nominate three candidates. Record account, sponsor, workload, platform blocker, budget status, source owner, tower fit and next action. No actual customer demand or candidate account is asserted here.</w:t>
      </w:r>
    </w:p>
    <w:p>
      <w:r>
        <w:br w:type="page"/>
      </w:r>
    </w:p>
    <w:p>
      <w:pPr>
        <w:pStyle w:val="Heading1"/>
      </w:pPr>
      <w:r>
        <w:rPr>
          <w:color w:val="000000"/>
        </w:rPr>
        <w:t>Scope boundaries and tower work packages</w:t>
      </w:r>
    </w:p>
    <w:tbl>
      <w:tblPr>
        <w:tblW w:type="auto" w:w="0"/>
        <w:jc w:val="center"/>
        <w:tblLayout w:type="fixed"/>
        <w:tblLook w:firstColumn="1" w:firstRow="1" w:lastColumn="0" w:lastRow="0" w:noHBand="0" w:noVBand="1" w:val="04A0"/>
      </w:tblPr>
      <w:tblGrid>
        <w:gridCol w:w="1872"/>
        <w:gridCol w:w="4032"/>
        <w:gridCol w:w="4176"/>
      </w:tblGrid>
      <w:tr>
        <w:trPr>
          <w:cantSplit/>
          <w:tblHeader/>
        </w:trPr>
        <w:tc>
          <w:tcPr>
            <w:tcW w:type="dxa" w:w="1872"/>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Deliverable</w:t>
            </w:r>
          </w:p>
        </w:tc>
        <w:tc>
          <w:tcPr>
            <w:tcW w:type="dxa" w:w="4032"/>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Infra base scope</w:t>
            </w:r>
          </w:p>
        </w:tc>
        <w:tc>
          <w:tcPr>
            <w:tcW w:type="dxa" w:w="4176"/>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Specialist scope</w:t>
            </w:r>
          </w:p>
        </w:tc>
      </w:tr>
      <w:tr>
        <w:trPr>
          <w:cantSplit/>
        </w:trPr>
        <w:tc>
          <w:tcPr>
            <w:tcW w:type="dxa" w:w="1872"/>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Platform design</w:t>
            </w:r>
          </w:p>
        </w:tc>
        <w:tc>
          <w:tcPr>
            <w:tcW w:type="dxa" w:w="4032"/>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Subscriptions, environments, network, DNS and hosting design</w:t>
            </w:r>
          </w:p>
        </w:tc>
        <w:tc>
          <w:tcPr>
            <w:tcW w:type="dxa" w:w="4176"/>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Security control requirements; AI runtime requirements</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Platform build</w:t>
            </w:r>
          </w:p>
        </w:tc>
        <w:tc>
          <w:tcPr>
            <w:tcW w:type="dxa" w:w="40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Agreed Azure resources, connectivity and configuration</w:t>
            </w:r>
          </w:p>
        </w:tc>
        <w:tc>
          <w:tcPr>
            <w:tcW w:type="dxa" w:w="41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DevOps automation; security verification</w:t>
            </w:r>
          </w:p>
        </w:tc>
      </w:tr>
      <w:tr>
        <w:trPr>
          <w:cantSplit/>
        </w:trPr>
        <w:tc>
          <w:tcPr>
            <w:tcW w:type="dxa" w:w="1872"/>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Data enablement</w:t>
            </w:r>
          </w:p>
        </w:tc>
        <w:tc>
          <w:tcPr>
            <w:tcW w:type="dxa" w:w="4032"/>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Platform endpoints, connectivity and hosting</w:t>
            </w:r>
          </w:p>
        </w:tc>
        <w:tc>
          <w:tcPr>
            <w:tcW w:type="dxa" w:w="4176"/>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Data architecture; ingestion, indexing and permission propagation</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Workload onboarding</w:t>
            </w:r>
          </w:p>
        </w:tc>
        <w:tc>
          <w:tcPr>
            <w:tcW w:type="dxa" w:w="40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Infrastructure pattern and deployment prerequisites</w:t>
            </w:r>
          </w:p>
        </w:tc>
        <w:tc>
          <w:tcPr>
            <w:tcW w:type="dxa" w:w="41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AI application, model, agent, tools and quality tests</w:t>
            </w:r>
          </w:p>
        </w:tc>
      </w:tr>
      <w:tr>
        <w:trPr>
          <w:cantSplit/>
        </w:trPr>
        <w:tc>
          <w:tcPr>
            <w:tcW w:type="dxa" w:w="1872"/>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Operations</w:t>
            </w:r>
          </w:p>
        </w:tc>
        <w:tc>
          <w:tcPr>
            <w:tcW w:type="dxa" w:w="4032"/>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Resource health, capacity, network incidents and scoped recovery</w:t>
            </w:r>
          </w:p>
        </w:tc>
        <w:tc>
          <w:tcPr>
            <w:tcW w:type="dxa" w:w="4176"/>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AI quality, data pipeline support and security operations</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FinOps</w:t>
            </w:r>
          </w:p>
        </w:tc>
        <w:tc>
          <w:tcPr>
            <w:tcW w:type="dxa" w:w="40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Tags, budgets, infrastructure reporting and optimization</w:t>
            </w:r>
          </w:p>
        </w:tc>
        <w:tc>
          <w:tcPr>
            <w:tcW w:type="dxa" w:w="41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AI usage forecasts; Finance commercial treatment</w:t>
            </w:r>
          </w:p>
        </w:tc>
      </w:tr>
    </w:tbl>
    <w:p>
      <w:pPr>
        <w:spacing w:after="0"/>
      </w:pPr>
    </w:p>
    <w:p>
      <w:pPr>
        <w:pStyle w:val="Heading2"/>
      </w:pPr>
      <w:r>
        <w:rPr>
          <w:color w:val="000000"/>
        </w:rPr>
        <w:t>Base engagement assumptions</w:t>
      </w:r>
    </w:p>
    <w:p>
      <w:r>
        <w:t>Illustrative reference scope: extend a mature Azure landing zone in one approved region; create development and production environments; onboard one approved workload and one data source; use existing hybrid connectivity; provide business hours project support and agreed stabilization. The final SOW enumerates resources, connectors, quantities and support coverage.</w:t>
      </w:r>
    </w:p>
    <w:p>
      <w:pPr>
        <w:pStyle w:val="Heading2"/>
      </w:pPr>
      <w:r>
        <w:rPr>
          <w:color w:val="000000"/>
        </w:rPr>
        <w:t>Exclusions and options</w:t>
      </w:r>
    </w:p>
    <w:p>
      <w:r>
        <w:t>New enterprise landing zone deployment, new WAN connectivity, extra regions, SOC services, M365/Copilot Studio administration, business process redesign, broad data remediation and ongoing AI quality management are separate work packages. An optional gateway requires an explicit value and ownership decision.</w:t>
      </w:r>
    </w:p>
    <w:p>
      <w:r>
        <w:t>Do not guarantee model correctness, business savings, blanket compliance or universal private connectivity. Validate the chosen services, region and network route before commitment.</w:t>
      </w:r>
    </w:p>
    <w:p>
      <w:r>
        <w:br w:type="page"/>
      </w:r>
    </w:p>
    <w:p>
      <w:pPr>
        <w:pStyle w:val="Heading1"/>
      </w:pPr>
      <w:r>
        <w:rPr>
          <w:color w:val="000000"/>
        </w:rPr>
        <w:t>Platform architecture and ownership</w:t>
      </w:r>
    </w:p>
    <w:p>
      <w:r>
        <w:drawing>
          <wp:inline xmlns:a="http://schemas.openxmlformats.org/drawingml/2006/main" xmlns:pic="http://schemas.openxmlformats.org/drawingml/2006/picture">
            <wp:extent cx="6309360" cy="3764857"/>
            <wp:docPr id="1" name="Picture 1"/>
            <wp:cNvGraphicFramePr>
              <a:graphicFrameLocks noChangeAspect="1"/>
            </wp:cNvGraphicFramePr>
            <a:graphic>
              <a:graphicData uri="http://schemas.openxmlformats.org/drawingml/2006/picture">
                <pic:pic>
                  <pic:nvPicPr>
                    <pic:cNvPr id="0" name="v3_ownership.png"/>
                    <pic:cNvPicPr/>
                  </pic:nvPicPr>
                  <pic:blipFill>
                    <a:blip r:embed="rId11"/>
                    <a:stretch>
                      <a:fillRect/>
                    </a:stretch>
                  </pic:blipFill>
                  <pic:spPr>
                    <a:xfrm>
                      <a:off x="0" y="0"/>
                      <a:ext cx="6309360" cy="3764857"/>
                    </a:xfrm>
                    <a:prstGeom prst="rect"/>
                  </pic:spPr>
                </pic:pic>
              </a:graphicData>
            </a:graphic>
          </wp:inline>
        </w:drawing>
      </w:r>
    </w:p>
    <w:p>
      <w:r>
        <w:rPr>
          <w:sz w:val="18"/>
        </w:rPr>
        <w:t>Figure 1  Ownership layers for an integrated AI platform engagement</w:t>
      </w:r>
    </w:p>
    <w:p>
      <w:pPr>
        <w:pStyle w:val="Heading2"/>
      </w:pPr>
      <w:r>
        <w:rPr>
          <w:color w:val="000000"/>
        </w:rPr>
        <w:t>Reference design package</w:t>
      </w:r>
    </w:p>
    <w:p>
      <w:r>
        <w:t>Before quotation or build, document ingress and egress paths, trust boundaries, workload identities, secrets, source permissions, private DNS, deployment identities, telemetry, supported region and recovery dependencies. The figure is an ownership model, not a deployable network design.</w:t>
      </w:r>
    </w:p>
    <w:p>
      <w:r>
        <w:t>Reuse approved Cognizant and Microsoft assets where suitable. Confirm module maturity, licensing, support and configuration coverage. SaaS governance requires separate administrators and scope.</w:t>
      </w:r>
    </w:p>
    <w:p>
      <w:r>
        <w:br w:type="page"/>
      </w:r>
    </w:p>
    <w:p>
      <w:pPr>
        <w:pStyle w:val="Heading1"/>
      </w:pPr>
      <w:r>
        <w:rPr>
          <w:color w:val="000000"/>
        </w:rPr>
        <w:t>Cross tower dependency commitments</w:t>
      </w:r>
    </w:p>
    <w:p>
      <w:r>
        <w:t>Every dependency must have an owner, committed effort, required date, acceptance evidence and fallback. Avoid open ended SME support assumptions.</w:t>
      </w:r>
    </w:p>
    <w:tbl>
      <w:tblPr>
        <w:tblW w:type="auto" w:w="0"/>
        <w:jc w:val="center"/>
        <w:tblLayout w:type="fixed"/>
        <w:tblLook w:firstColumn="1" w:firstRow="1" w:lastColumn="0" w:lastRow="0" w:noHBand="0" w:noVBand="1" w:val="04A0"/>
      </w:tblPr>
      <w:tblGrid>
        <w:gridCol w:w="1800"/>
        <w:gridCol w:w="4176"/>
        <w:gridCol w:w="4104"/>
      </w:tblGrid>
      <w:tr>
        <w:trPr>
          <w:cantSplit/>
          <w:tblHeader/>
        </w:trPr>
        <w:tc>
          <w:tcPr>
            <w:tcW w:type="dxa" w:w="1800"/>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Tower</w:t>
            </w:r>
          </w:p>
        </w:tc>
        <w:tc>
          <w:tcPr>
            <w:tcW w:type="dxa" w:w="4176"/>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Required commitment</w:t>
            </w:r>
          </w:p>
        </w:tc>
        <w:tc>
          <w:tcPr>
            <w:tcW w:type="dxa" w:w="4104"/>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Evidence before quote</w:t>
            </w:r>
          </w:p>
        </w:tc>
      </w:tr>
      <w:tr>
        <w:trPr>
          <w:cantSplit/>
        </w:trPr>
        <w:tc>
          <w:tcPr>
            <w:tcW w:type="dxa" w:w="180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Security</w:t>
            </w:r>
          </w:p>
        </w:tc>
        <w:tc>
          <w:tcPr>
            <w:tcW w:type="dxa" w:w="4176"/>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Threat model, control baseline, identity design review and security tests</w:t>
            </w:r>
          </w:p>
        </w:tc>
        <w:tc>
          <w:tcPr>
            <w:tcW w:type="dxa" w:w="410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Approved requirements, review effort and risk approver</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DevOps</w:t>
            </w:r>
          </w:p>
        </w:tc>
        <w:tc>
          <w:tcPr>
            <w:tcW w:type="dxa" w:w="41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Terraform modules, pipeline design, scanning, promotion and rollback</w:t>
            </w:r>
          </w:p>
        </w:tc>
        <w:tc>
          <w:tcPr>
            <w:tcW w:type="dxa" w:w="41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Repository, supported patterns, effort and maintenance owner</w:t>
            </w:r>
          </w:p>
        </w:tc>
      </w:tr>
      <w:tr>
        <w:trPr>
          <w:cantSplit/>
        </w:trPr>
        <w:tc>
          <w:tcPr>
            <w:tcW w:type="dxa" w:w="180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Data</w:t>
            </w:r>
          </w:p>
        </w:tc>
        <w:tc>
          <w:tcPr>
            <w:tcW w:type="dxa" w:w="4176"/>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Architecture, classification, retention and source access model</w:t>
            </w:r>
          </w:p>
        </w:tc>
        <w:tc>
          <w:tcPr>
            <w:tcW w:type="dxa" w:w="410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Data design, source owner and permission requirements</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Data Engineering</w:t>
            </w:r>
          </w:p>
        </w:tc>
        <w:tc>
          <w:tcPr>
            <w:tcW w:type="dxa" w:w="41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Ingestion, transformation, indexing, freshness and recovery</w:t>
            </w:r>
          </w:p>
        </w:tc>
        <w:tc>
          <w:tcPr>
            <w:tcW w:type="dxa" w:w="41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Connector scope, volumes, service needs and estimate</w:t>
            </w:r>
          </w:p>
        </w:tc>
      </w:tr>
      <w:tr>
        <w:trPr>
          <w:cantSplit/>
        </w:trPr>
        <w:tc>
          <w:tcPr>
            <w:tcW w:type="dxa" w:w="180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AI</w:t>
            </w:r>
          </w:p>
        </w:tc>
        <w:tc>
          <w:tcPr>
            <w:tcW w:type="dxa" w:w="4176"/>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Runtime, models, tools, quotas, quality evaluation and usage forecast</w:t>
            </w:r>
          </w:p>
        </w:tc>
        <w:tc>
          <w:tcPr>
            <w:tcW w:type="dxa" w:w="410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Workload specification, evaluation plan and support owner</w:t>
            </w:r>
          </w:p>
        </w:tc>
      </w:tr>
    </w:tbl>
    <w:p>
      <w:pPr>
        <w:spacing w:after="0"/>
      </w:pPr>
    </w:p>
    <w:p>
      <w:pPr>
        <w:pStyle w:val="Heading2"/>
      </w:pPr>
      <w:r>
        <w:rPr>
          <w:color w:val="000000"/>
        </w:rPr>
        <w:t>Working boundary to confirm</w:t>
      </w:r>
    </w:p>
    <w:p>
      <w:r>
        <w:t>Data owns architecture and governance design; Data Engineering owns implemented pipelines. DevOps owns automation in this baseline. Move Terraform accountability to Infra if Infra actually staffs and maintains it. Security designs and verifies controls; Infra implements its allocated platform controls.</w:t>
      </w:r>
    </w:p>
    <w:p>
      <w:pPr>
        <w:pStyle w:val="Heading2"/>
      </w:pPr>
      <w:r>
        <w:rPr>
          <w:color w:val="000000"/>
        </w:rPr>
        <w:t>Dependency register fields</w:t>
      </w:r>
    </w:p>
    <w:p>
      <w:r>
        <w:t>Work package ID; requester; accountable tower; named lead and backup; inputs; output; needed date; role days; acceptance; cost treatment; support coverage; escalation; status. A critical dependency without commitment blocks the implementation quotation.</w:t>
      </w:r>
    </w:p>
    <w:p>
      <w:r>
        <w:br w:type="page"/>
      </w:r>
    </w:p>
    <w:p>
      <w:pPr>
        <w:pStyle w:val="Heading1"/>
      </w:pPr>
      <w:r>
        <w:rPr>
          <w:color w:val="000000"/>
        </w:rPr>
        <w:t>Delivery RACI</w:t>
      </w:r>
    </w:p>
    <w:p>
      <w:r>
        <w:t>A means accountable; R means responsible; C means consulted; I means informed. Each deliverable has one accountable tower. INF is Infra; SEC is Security; DEV is DevOps; DAT is Data; ENG is Data Engineering. This is a proposed baseline, not an internal organization policy.</w:t>
      </w:r>
    </w:p>
    <w:tbl>
      <w:tblPr>
        <w:tblW w:type="auto" w:w="0"/>
        <w:jc w:val="center"/>
        <w:tblLayout w:type="fixed"/>
        <w:tblLook w:firstColumn="1" w:firstRow="1" w:lastColumn="0" w:lastRow="0" w:noHBand="0" w:noVBand="1" w:val="04A0"/>
      </w:tblPr>
      <w:tblGrid>
        <w:gridCol w:w="3816"/>
        <w:gridCol w:w="1044"/>
        <w:gridCol w:w="1044"/>
        <w:gridCol w:w="1044"/>
        <w:gridCol w:w="1044"/>
        <w:gridCol w:w="1044"/>
        <w:gridCol w:w="1044"/>
      </w:tblGrid>
      <w:tr>
        <w:trPr>
          <w:cantSplit/>
          <w:tblHeader/>
        </w:trPr>
        <w:tc>
          <w:tcPr>
            <w:tcW w:type="dxa" w:w="3816"/>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Deliverable</w:t>
            </w:r>
          </w:p>
        </w:tc>
        <w:tc>
          <w:tcPr>
            <w:tcW w:type="dxa" w:w="1044"/>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jc w:val="center"/>
            </w:pPr>
            <w:r>
              <w:rPr>
                <w:b/>
                <w:color w:val="FFFFFF"/>
                <w:sz w:val="20"/>
              </w:rPr>
              <w:t>INF</w:t>
            </w:r>
          </w:p>
        </w:tc>
        <w:tc>
          <w:tcPr>
            <w:tcW w:type="dxa" w:w="1044"/>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jc w:val="center"/>
            </w:pPr>
            <w:r>
              <w:rPr>
                <w:b/>
                <w:color w:val="FFFFFF"/>
                <w:sz w:val="20"/>
              </w:rPr>
              <w:t>SEC</w:t>
            </w:r>
          </w:p>
        </w:tc>
        <w:tc>
          <w:tcPr>
            <w:tcW w:type="dxa" w:w="1044"/>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jc w:val="center"/>
            </w:pPr>
            <w:r>
              <w:rPr>
                <w:b/>
                <w:color w:val="FFFFFF"/>
                <w:sz w:val="20"/>
              </w:rPr>
              <w:t>DEV</w:t>
            </w:r>
          </w:p>
        </w:tc>
        <w:tc>
          <w:tcPr>
            <w:tcW w:type="dxa" w:w="1044"/>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jc w:val="center"/>
            </w:pPr>
            <w:r>
              <w:rPr>
                <w:b/>
                <w:color w:val="FFFFFF"/>
                <w:sz w:val="20"/>
              </w:rPr>
              <w:t>DAT</w:t>
            </w:r>
          </w:p>
        </w:tc>
        <w:tc>
          <w:tcPr>
            <w:tcW w:type="dxa" w:w="1044"/>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jc w:val="center"/>
            </w:pPr>
            <w:r>
              <w:rPr>
                <w:b/>
                <w:color w:val="FFFFFF"/>
                <w:sz w:val="20"/>
              </w:rPr>
              <w:t>ENG</w:t>
            </w:r>
          </w:p>
        </w:tc>
        <w:tc>
          <w:tcPr>
            <w:tcW w:type="dxa" w:w="1044"/>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jc w:val="center"/>
            </w:pPr>
            <w:r>
              <w:rPr>
                <w:b/>
                <w:color w:val="FFFFFF"/>
                <w:sz w:val="20"/>
              </w:rPr>
              <w:t>AI</w:t>
            </w:r>
          </w:p>
        </w:tc>
      </w:tr>
      <w:tr>
        <w:trPr>
          <w:cantSplit/>
        </w:trPr>
        <w:tc>
          <w:tcPr>
            <w:tcW w:type="dxa" w:w="3816"/>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Integrated platform plan</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A/R</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C</w:t>
            </w:r>
          </w:p>
        </w:tc>
      </w:tr>
      <w:tr>
        <w:trPr>
          <w:cantSplit/>
        </w:trPr>
        <w:tc>
          <w:tcPr>
            <w:tcW w:type="dxa" w:w="38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Subscriptions network DNS</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A/R</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I</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C</w:t>
            </w:r>
          </w:p>
        </w:tc>
      </w:tr>
      <w:tr>
        <w:trPr>
          <w:cantSplit/>
        </w:trPr>
        <w:tc>
          <w:tcPr>
            <w:tcW w:type="dxa" w:w="3816"/>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Security design and verification</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R</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A/R</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C</w:t>
            </w:r>
          </w:p>
        </w:tc>
      </w:tr>
      <w:tr>
        <w:trPr>
          <w:cantSplit/>
        </w:trPr>
        <w:tc>
          <w:tcPr>
            <w:tcW w:type="dxa" w:w="38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Terraform and platform pipelines</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R</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A/R</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I</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I</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C</w:t>
            </w:r>
          </w:p>
        </w:tc>
      </w:tr>
      <w:tr>
        <w:trPr>
          <w:cantSplit/>
        </w:trPr>
        <w:tc>
          <w:tcPr>
            <w:tcW w:type="dxa" w:w="3816"/>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Data architecture and governance</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I</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A/R</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R</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C</w:t>
            </w:r>
          </w:p>
        </w:tc>
      </w:tr>
      <w:tr>
        <w:trPr>
          <w:cantSplit/>
        </w:trPr>
        <w:tc>
          <w:tcPr>
            <w:tcW w:type="dxa" w:w="38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Ingestion and indexing</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A/R</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C</w:t>
            </w:r>
          </w:p>
        </w:tc>
      </w:tr>
      <w:tr>
        <w:trPr>
          <w:cantSplit/>
        </w:trPr>
        <w:tc>
          <w:tcPr>
            <w:tcW w:type="dxa" w:w="3816"/>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Model agent tool evaluations</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R</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A/R</w:t>
            </w:r>
          </w:p>
        </w:tc>
      </w:tr>
      <w:tr>
        <w:trPr>
          <w:cantSplit/>
        </w:trPr>
        <w:tc>
          <w:tcPr>
            <w:tcW w:type="dxa" w:w="38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Infrastructure recovery</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A/R</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R</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C</w:t>
            </w:r>
          </w:p>
        </w:tc>
      </w:tr>
      <w:tr>
        <w:trPr>
          <w:cantSplit/>
        </w:trPr>
        <w:tc>
          <w:tcPr>
            <w:tcW w:type="dxa" w:w="3816"/>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AI quality monitoring</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R</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R</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A/R</w:t>
            </w:r>
          </w:p>
        </w:tc>
      </w:tr>
      <w:tr>
        <w:trPr>
          <w:cantSplit/>
        </w:trPr>
        <w:tc>
          <w:tcPr>
            <w:tcW w:type="dxa" w:w="38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Platform cost reporting</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A/R</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I</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jc w:val="center"/>
            </w:pPr>
            <w:r>
              <w:rPr>
                <w:b w:val="0"/>
                <w:color w:val="000000"/>
                <w:sz w:val="20"/>
              </w:rPr>
              <w:t>R</w:t>
            </w:r>
          </w:p>
        </w:tc>
      </w:tr>
      <w:tr>
        <w:trPr>
          <w:cantSplit/>
        </w:trPr>
        <w:tc>
          <w:tcPr>
            <w:tcW w:type="dxa" w:w="3816"/>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Platform operational handover</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A/R</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R</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R</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C</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R</w:t>
            </w:r>
          </w:p>
        </w:tc>
        <w:tc>
          <w:tcPr>
            <w:tcW w:type="dxa" w:w="104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jc w:val="center"/>
            </w:pPr>
            <w:r>
              <w:rPr>
                <w:b w:val="0"/>
                <w:color w:val="000000"/>
                <w:sz w:val="20"/>
              </w:rPr>
              <w:t>R</w:t>
            </w:r>
          </w:p>
        </w:tc>
      </w:tr>
    </w:tbl>
    <w:p>
      <w:pPr>
        <w:spacing w:after="0"/>
      </w:pPr>
    </w:p>
    <w:p>
      <w:pPr>
        <w:pStyle w:val="Heading2"/>
      </w:pPr>
      <w:r>
        <w:rPr>
          <w:color w:val="000000"/>
        </w:rPr>
        <w:t>Integrated accountability</w:t>
      </w:r>
    </w:p>
    <w:p>
      <w:r>
        <w:t>The appointed delivery lead owns the integrated plan and escalation across work packages. Each tower remains accountable for its specialist deliverable. The account/commercial owner is accountable for the customer proposal; Finance owns approval of accounting treatment.</w:t>
      </w:r>
    </w:p>
    <w:p>
      <w:pPr>
        <w:pStyle w:val="Heading2"/>
      </w:pPr>
      <w:r>
        <w:rPr>
          <w:color w:val="000000"/>
        </w:rPr>
        <w:t>SOW consistency</w:t>
      </w:r>
    </w:p>
    <w:p>
      <w:r>
        <w:t>Resolve RACI disagreements before signature. Mirror the agreed boundaries in staffing, pricing, acceptance, warranty and managed service schedules. Internal responsibility cannot dilute contracted customer obligations.</w:t>
      </w:r>
    </w:p>
    <w:p>
      <w:r>
        <w:br w:type="page"/>
      </w:r>
    </w:p>
    <w:p>
      <w:pPr>
        <w:pStyle w:val="Heading1"/>
      </w:pPr>
      <w:r>
        <w:rPr>
          <w:color w:val="000000"/>
        </w:rPr>
        <w:t>Customer accountability and governance</w:t>
      </w:r>
    </w:p>
    <w:tbl>
      <w:tblPr>
        <w:tblW w:type="auto" w:w="0"/>
        <w:jc w:val="center"/>
        <w:tblLayout w:type="fixed"/>
        <w:tblLook w:firstColumn="1" w:firstRow="1" w:lastColumn="0" w:lastRow="0" w:noHBand="0" w:noVBand="1" w:val="04A0"/>
      </w:tblPr>
      <w:tblGrid>
        <w:gridCol w:w="3240"/>
        <w:gridCol w:w="2880"/>
        <w:gridCol w:w="3960"/>
      </w:tblGrid>
      <w:tr>
        <w:trPr>
          <w:cantSplit/>
          <w:tblHeader/>
        </w:trPr>
        <w:tc>
          <w:tcPr>
            <w:tcW w:type="dxa" w:w="3240"/>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Decision or deliverable</w:t>
            </w:r>
          </w:p>
        </w:tc>
        <w:tc>
          <w:tcPr>
            <w:tcW w:type="dxa" w:w="2880"/>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Customer accountable role</w:t>
            </w:r>
          </w:p>
        </w:tc>
        <w:tc>
          <w:tcPr>
            <w:tcW w:type="dxa" w:w="3960"/>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Supplier responsibility</w:t>
            </w:r>
          </w:p>
        </w:tc>
      </w:tr>
      <w:tr>
        <w:trPr>
          <w:cantSplit/>
        </w:trPr>
        <w:tc>
          <w:tcPr>
            <w:tcW w:type="dxa" w:w="324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Tenant and subscription authority</w:t>
            </w:r>
          </w:p>
        </w:tc>
        <w:tc>
          <w:tcPr>
            <w:tcW w:type="dxa" w:w="288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Platform owner</w:t>
            </w:r>
          </w:p>
        </w:tc>
        <w:tc>
          <w:tcPr>
            <w:tcW w:type="dxa" w:w="396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Infra requests access and validates prerequisites</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Data rights and approved sources</w:t>
            </w:r>
          </w:p>
        </w:tc>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Source or data owner</w:t>
            </w:r>
          </w:p>
        </w:tc>
        <w:tc>
          <w:tcPr>
            <w:tcW w:type="dxa" w:w="39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Data defines model; Engineering implements approved access</w:t>
            </w:r>
          </w:p>
        </w:tc>
      </w:tr>
      <w:tr>
        <w:trPr>
          <w:cantSplit/>
        </w:trPr>
        <w:tc>
          <w:tcPr>
            <w:tcW w:type="dxa" w:w="324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Business rules and permitted actions</w:t>
            </w:r>
          </w:p>
        </w:tc>
        <w:tc>
          <w:tcPr>
            <w:tcW w:type="dxa" w:w="288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Business process owner</w:t>
            </w:r>
          </w:p>
        </w:tc>
        <w:tc>
          <w:tcPr>
            <w:tcW w:type="dxa" w:w="396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AI implements rules and tests authorized behaviour</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Security exceptions and residual risk</w:t>
            </w:r>
          </w:p>
        </w:tc>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Authorized customer risk owner</w:t>
            </w:r>
          </w:p>
        </w:tc>
        <w:tc>
          <w:tcPr>
            <w:tcW w:type="dxa" w:w="39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Security supplies evidence; Infra fixes allocated controls</w:t>
            </w:r>
          </w:p>
        </w:tc>
      </w:tr>
      <w:tr>
        <w:trPr>
          <w:cantSplit/>
        </w:trPr>
        <w:tc>
          <w:tcPr>
            <w:tcW w:type="dxa" w:w="324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Platform acceptance</w:t>
            </w:r>
          </w:p>
        </w:tc>
        <w:tc>
          <w:tcPr>
            <w:tcW w:type="dxa" w:w="288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Customer platform/service owner</w:t>
            </w:r>
          </w:p>
        </w:tc>
        <w:tc>
          <w:tcPr>
            <w:tcW w:type="dxa" w:w="396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Infra provides platform test record</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Workload quality and value acceptance</w:t>
            </w:r>
          </w:p>
        </w:tc>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Business workload owner</w:t>
            </w:r>
          </w:p>
        </w:tc>
        <w:tc>
          <w:tcPr>
            <w:tcW w:type="dxa" w:w="39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AI provides evaluations; Data teams provide data evidence</w:t>
            </w:r>
          </w:p>
        </w:tc>
      </w:tr>
      <w:tr>
        <w:trPr>
          <w:cantSplit/>
        </w:trPr>
        <w:tc>
          <w:tcPr>
            <w:tcW w:type="dxa" w:w="324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Commercial approval</w:t>
            </w:r>
          </w:p>
        </w:tc>
        <w:tc>
          <w:tcPr>
            <w:tcW w:type="dxa" w:w="288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Customer procurement/budget owner</w:t>
            </w:r>
          </w:p>
        </w:tc>
        <w:tc>
          <w:tcPr>
            <w:tcW w:type="dxa" w:w="396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Account lead coordinates approved integrated quote</w:t>
            </w:r>
          </w:p>
        </w:tc>
      </w:tr>
    </w:tbl>
    <w:p>
      <w:pPr>
        <w:spacing w:after="0"/>
      </w:pPr>
    </w:p>
    <w:p>
      <w:pPr>
        <w:pStyle w:val="Heading2"/>
      </w:pPr>
      <w:r>
        <w:rPr>
          <w:color w:val="000000"/>
        </w:rPr>
        <w:t>Decision forums</w:t>
      </w:r>
    </w:p>
    <w:p>
      <w:r>
        <w:t>Use a weekly delivery and dependency review during implementation. Architecture and security decisions follow the customer approval route. A named delivery lead escalates unresolved tower conflicts through the agreed management chain. Finance and commercial approvals precede quotation changes.</w:t>
      </w:r>
    </w:p>
    <w:p>
      <w:pPr>
        <w:pStyle w:val="Heading2"/>
      </w:pPr>
      <w:r>
        <w:rPr>
          <w:color w:val="000000"/>
        </w:rPr>
        <w:t>Ownership after handover</w:t>
      </w:r>
    </w:p>
    <w:p>
      <w:r>
        <w:t>Assign platform, data pipeline, AI workload and security service owners. Document a single customer incident entry point and internal resolver routing. Record which services are operated by Cognizant, the customer or another supplier.</w:t>
      </w:r>
    </w:p>
    <w:p>
      <w:r>
        <w:br w:type="page"/>
      </w:r>
    </w:p>
    <w:p>
      <w:pPr>
        <w:pStyle w:val="Heading1"/>
      </w:pPr>
      <w:r>
        <w:rPr>
          <w:color w:val="000000"/>
        </w:rPr>
        <w:t>Acceptance criteria and release gates</w:t>
      </w:r>
    </w:p>
    <w:p>
      <w:r>
        <w:t>The following are proposed reference gates. Agree test populations, performance targets, recovery objectives and approvers in the SOW. Passing a finite test set does not prove universal security or model accuracy.</w:t>
      </w:r>
    </w:p>
    <w:tbl>
      <w:tblPr>
        <w:tblW w:type="auto" w:w="0"/>
        <w:jc w:val="center"/>
        <w:tblLayout w:type="fixed"/>
        <w:tblLook w:firstColumn="1" w:firstRow="1" w:lastColumn="0" w:lastRow="0" w:noHBand="0" w:noVBand="1" w:val="04A0"/>
      </w:tblPr>
      <w:tblGrid>
        <w:gridCol w:w="1800"/>
        <w:gridCol w:w="6120"/>
        <w:gridCol w:w="2160"/>
      </w:tblGrid>
      <w:tr>
        <w:trPr>
          <w:cantSplit/>
          <w:tblHeader/>
        </w:trPr>
        <w:tc>
          <w:tcPr>
            <w:tcW w:type="dxa" w:w="1800"/>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Gate</w:t>
            </w:r>
          </w:p>
        </w:tc>
        <w:tc>
          <w:tcPr>
            <w:tcW w:type="dxa" w:w="6120"/>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Proposed pass evidence</w:t>
            </w:r>
          </w:p>
        </w:tc>
        <w:tc>
          <w:tcPr>
            <w:tcW w:type="dxa" w:w="2160"/>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Owner</w:t>
            </w:r>
          </w:p>
        </w:tc>
      </w:tr>
      <w:tr>
        <w:trPr>
          <w:cantSplit/>
        </w:trPr>
        <w:tc>
          <w:tcPr>
            <w:tcW w:type="dxa" w:w="180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Reproducible build</w:t>
            </w:r>
          </w:p>
        </w:tc>
        <w:tc>
          <w:tcPr>
            <w:tcW w:type="dxa" w:w="612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Agreed environment deployed from versioned IaC; drift explained; rollback/redeployment test passed</w:t>
            </w:r>
          </w:p>
        </w:tc>
        <w:tc>
          <w:tcPr>
            <w:tcW w:type="dxa" w:w="216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DevOps with Infra</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Connectivity</w:t>
            </w:r>
          </w:p>
        </w:tc>
        <w:tc>
          <w:tcPr>
            <w:tcW w:type="dxa" w:w="61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All approved paths pass; prohibited paths fail; DNS and outbound dependencies recorded</w:t>
            </w:r>
          </w:p>
        </w:tc>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Infra</w:t>
            </w:r>
          </w:p>
        </w:tc>
      </w:tr>
      <w:tr>
        <w:trPr>
          <w:cantSplit/>
        </w:trPr>
        <w:tc>
          <w:tcPr>
            <w:tcW w:type="dxa" w:w="180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Access controls</w:t>
            </w:r>
          </w:p>
        </w:tc>
        <w:tc>
          <w:tcPr>
            <w:tcW w:type="dxa" w:w="612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All agreed positive and negative permission tests pass; no unresolved critical access finding</w:t>
            </w:r>
          </w:p>
        </w:tc>
        <w:tc>
          <w:tcPr>
            <w:tcW w:type="dxa" w:w="216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Security with relevant towers</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Agent misuse</w:t>
            </w:r>
          </w:p>
        </w:tc>
        <w:tc>
          <w:tcPr>
            <w:tcW w:type="dxa" w:w="61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Agreed injection, sensitive data and unauthorized tool cases tested; critical failures resolved or risk accepted</w:t>
            </w:r>
          </w:p>
        </w:tc>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AI and Security</w:t>
            </w:r>
          </w:p>
        </w:tc>
      </w:tr>
      <w:tr>
        <w:trPr>
          <w:cantSplit/>
        </w:trPr>
        <w:tc>
          <w:tcPr>
            <w:tcW w:type="dxa" w:w="180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Workload quality</w:t>
            </w:r>
          </w:p>
        </w:tc>
        <w:tc>
          <w:tcPr>
            <w:tcW w:type="dxa" w:w="612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Business approved evaluation set meets agreed quality and escalation thresholds</w:t>
            </w:r>
          </w:p>
        </w:tc>
        <w:tc>
          <w:tcPr>
            <w:tcW w:type="dxa" w:w="216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AI; customer workload owner</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Data pipeline</w:t>
            </w:r>
          </w:p>
        </w:tc>
        <w:tc>
          <w:tcPr>
            <w:tcW w:type="dxa" w:w="61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Freshness, access and recovery tests meet agreed thresholds</w:t>
            </w:r>
          </w:p>
        </w:tc>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Data Engineering</w:t>
            </w:r>
          </w:p>
        </w:tc>
      </w:tr>
      <w:tr>
        <w:trPr>
          <w:cantSplit/>
        </w:trPr>
        <w:tc>
          <w:tcPr>
            <w:tcW w:type="dxa" w:w="180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Recovery</w:t>
            </w:r>
          </w:p>
        </w:tc>
        <w:tc>
          <w:tcPr>
            <w:tcW w:type="dxa" w:w="612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Scoped restoration demonstrated against agreed objectives; limitations documented</w:t>
            </w:r>
          </w:p>
        </w:tc>
        <w:tc>
          <w:tcPr>
            <w:tcW w:type="dxa" w:w="216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Infra and workload towers</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Costs and handover</w:t>
            </w:r>
          </w:p>
        </w:tc>
        <w:tc>
          <w:tcPr>
            <w:tcW w:type="dxa" w:w="61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Allocation and budget alert tests pass; named owners accept runbooks and coverage</w:t>
            </w:r>
          </w:p>
        </w:tc>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Infra; customer service owner</w:t>
            </w:r>
          </w:p>
        </w:tc>
      </w:tr>
    </w:tbl>
    <w:p>
      <w:pPr>
        <w:spacing w:after="0"/>
      </w:pPr>
    </w:p>
    <w:p>
      <w:pPr>
        <w:pStyle w:val="Heading2"/>
      </w:pPr>
      <w:r>
        <w:rPr>
          <w:color w:val="000000"/>
        </w:rPr>
        <w:t>Defects and exceptions</w:t>
      </w:r>
    </w:p>
    <w:p>
      <w:r>
        <w:t>Define severity, retest requirements and sign off authority. Production release requires approved treatment of open findings, accepted platform and workload evidence, confirmed support and customer authorization. Service levels apply only to contracted components and coverage.</w:t>
      </w:r>
    </w:p>
    <w:p>
      <w:r>
        <w:br w:type="page"/>
      </w:r>
    </w:p>
    <w:p>
      <w:pPr>
        <w:pStyle w:val="Heading1"/>
      </w:pPr>
      <w:r>
        <w:rPr>
          <w:color w:val="000000"/>
        </w:rPr>
        <w:t>Worked resource estimate</w:t>
      </w:r>
    </w:p>
    <w:p>
      <w:r>
        <w:t>Illustrative planning example only. It is not a Cognizant rate card, delivery commitment or market price. It assumes the bounded mature landing zone extension described earlier and excludes consumption, licences and recurring support.</w:t>
      </w:r>
    </w:p>
    <w:tbl>
      <w:tblPr>
        <w:tblW w:type="auto" w:w="0"/>
        <w:jc w:val="center"/>
        <w:tblLayout w:type="fixed"/>
        <w:tblLook w:firstColumn="1" w:firstRow="1" w:lastColumn="0" w:lastRow="0" w:noHBand="0" w:noVBand="1" w:val="04A0"/>
      </w:tblPr>
      <w:tblGrid>
        <w:gridCol w:w="1872"/>
        <w:gridCol w:w="1728"/>
        <w:gridCol w:w="6480"/>
      </w:tblGrid>
      <w:tr>
        <w:trPr>
          <w:cantSplit/>
          <w:tblHeader/>
        </w:trPr>
        <w:tc>
          <w:tcPr>
            <w:tcW w:type="dxa" w:w="1872"/>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Tower</w:t>
            </w:r>
          </w:p>
        </w:tc>
        <w:tc>
          <w:tcPr>
            <w:tcW w:type="dxa" w:w="1728"/>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Example effort</w:t>
            </w:r>
          </w:p>
        </w:tc>
        <w:tc>
          <w:tcPr>
            <w:tcW w:type="dxa" w:w="6480"/>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Work package</w:t>
            </w:r>
          </w:p>
        </w:tc>
      </w:tr>
      <w:tr>
        <w:trPr>
          <w:cantSplit/>
        </w:trPr>
        <w:tc>
          <w:tcPr>
            <w:tcW w:type="dxa" w:w="1872"/>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Infra</w:t>
            </w:r>
          </w:p>
        </w:tc>
        <w:tc>
          <w:tcPr>
            <w:tcW w:type="dxa" w:w="1728"/>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40 role days</w:t>
            </w:r>
          </w:p>
        </w:tc>
        <w:tc>
          <w:tcPr>
            <w:tcW w:type="dxa" w:w="648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Architecture 12; platform/network engineering 20; integration management and handover 8</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Security</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8 role days</w:t>
            </w:r>
          </w:p>
        </w:tc>
        <w:tc>
          <w:tcPr>
            <w:tcW w:type="dxa" w:w="64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Design review, threat assessment and control verification</w:t>
            </w:r>
          </w:p>
        </w:tc>
      </w:tr>
      <w:tr>
        <w:trPr>
          <w:cantSplit/>
        </w:trPr>
        <w:tc>
          <w:tcPr>
            <w:tcW w:type="dxa" w:w="1872"/>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DevOps</w:t>
            </w:r>
          </w:p>
        </w:tc>
        <w:tc>
          <w:tcPr>
            <w:tcW w:type="dxa" w:w="1728"/>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12 role days</w:t>
            </w:r>
          </w:p>
        </w:tc>
        <w:tc>
          <w:tcPr>
            <w:tcW w:type="dxa" w:w="648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Modules, pipelines, deployment testing and rollback</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Data</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4 role days</w:t>
            </w:r>
          </w:p>
        </w:tc>
        <w:tc>
          <w:tcPr>
            <w:tcW w:type="dxa" w:w="64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Source architecture and governance design</w:t>
            </w:r>
          </w:p>
        </w:tc>
      </w:tr>
      <w:tr>
        <w:trPr>
          <w:cantSplit/>
        </w:trPr>
        <w:tc>
          <w:tcPr>
            <w:tcW w:type="dxa" w:w="1872"/>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Data Engineering</w:t>
            </w:r>
          </w:p>
        </w:tc>
        <w:tc>
          <w:tcPr>
            <w:tcW w:type="dxa" w:w="1728"/>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12 role days</w:t>
            </w:r>
          </w:p>
        </w:tc>
        <w:tc>
          <w:tcPr>
            <w:tcW w:type="dxa" w:w="648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One source ingestion and indexing pattern</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AI</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12 role days</w:t>
            </w:r>
          </w:p>
        </w:tc>
        <w:tc>
          <w:tcPr>
            <w:tcW w:type="dxa" w:w="64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One representative workload and evaluations</w:t>
            </w:r>
          </w:p>
        </w:tc>
      </w:tr>
      <w:tr>
        <w:trPr>
          <w:cantSplit/>
        </w:trPr>
        <w:tc>
          <w:tcPr>
            <w:tcW w:type="dxa" w:w="1872"/>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Total</w:t>
            </w:r>
          </w:p>
        </w:tc>
        <w:tc>
          <w:tcPr>
            <w:tcW w:type="dxa" w:w="1728"/>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88 role days</w:t>
            </w:r>
          </w:p>
        </w:tc>
        <w:tc>
          <w:tcPr>
            <w:tcW w:type="dxa" w:w="648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Sum of planned effort before contingency</w:t>
            </w:r>
          </w:p>
        </w:tc>
      </w:tr>
    </w:tbl>
    <w:p>
      <w:pPr>
        <w:spacing w:after="0"/>
      </w:pPr>
    </w:p>
    <w:p>
      <w:pPr>
        <w:pStyle w:val="Heading2"/>
      </w:pPr>
      <w:r>
        <w:rPr>
          <w:color w:val="000000"/>
        </w:rPr>
        <w:t>Cost calculation</w:t>
      </w:r>
    </w:p>
    <w:p>
      <w:r>
        <w:t>Base delivery cost = sum of each role day estimate multiplied by its approved loaded cost rate. Add approved IP/subcontract costs and identified risk allowances. An illustrative 15 percent effort reserve adds 13.2 role days; Finance and delivery must approve its costing and tower treatment.</w:t>
      </w:r>
    </w:p>
    <w:p>
      <w:r>
        <w:t>Target services fee = approved total cost divided by one minus the agreed contribution margin, where that definition is accepted by Finance. Apply the actual internal methodology if different. Do not confuse markup with margin.</w:t>
      </w:r>
    </w:p>
    <w:p>
      <w:pPr>
        <w:pStyle w:val="Heading2"/>
      </w:pPr>
      <w:r>
        <w:rPr>
          <w:color w:val="000000"/>
        </w:rPr>
        <w:t>Schedule and customer effort</w:t>
      </w:r>
    </w:p>
    <w:p>
      <w:r>
        <w:t>Role days are effort, not elapsed duration. Build the schedule from dependency sequence, parallel staffing, environment access and customer review dates. Estimate customer workshops, approvals and testing separately. Do not infer a delivery timeline from the 30 day offer validation plan.</w:t>
      </w:r>
    </w:p>
    <w:p>
      <w:r>
        <w:br w:type="page"/>
      </w:r>
    </w:p>
    <w:p>
      <w:pPr>
        <w:pStyle w:val="Heading1"/>
      </w:pPr>
      <w:r>
        <w:rPr>
          <w:color w:val="000000"/>
        </w:rPr>
        <w:t>Revenue attribution and commercial controls</w:t>
      </w:r>
    </w:p>
    <w:p>
      <w:r>
        <w:t>Maintain separate views for customer contract revenue, tower attribution, delivery cost and sales origination credit. The following example illustrates work package accounting; it is not a fixed split or Cognizant policy.</w:t>
      </w:r>
    </w:p>
    <w:tbl>
      <w:tblPr>
        <w:tblW w:type="auto" w:w="0"/>
        <w:jc w:val="center"/>
        <w:tblLayout w:type="fixed"/>
        <w:tblLook w:firstColumn="1" w:firstRow="1" w:lastColumn="0" w:lastRow="0" w:noHBand="0" w:noVBand="1" w:val="04A0"/>
      </w:tblPr>
      <w:tblGrid>
        <w:gridCol w:w="5328"/>
        <w:gridCol w:w="2592"/>
        <w:gridCol w:w="2160"/>
      </w:tblGrid>
      <w:tr>
        <w:trPr>
          <w:cantSplit/>
          <w:tblHeader/>
        </w:trPr>
        <w:tc>
          <w:tcPr>
            <w:tcW w:type="dxa" w:w="5328"/>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Work package</w:t>
            </w:r>
          </w:p>
        </w:tc>
        <w:tc>
          <w:tcPr>
            <w:tcW w:type="dxa" w:w="2592"/>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Tower credit</w:t>
            </w:r>
          </w:p>
        </w:tc>
        <w:tc>
          <w:tcPr>
            <w:tcW w:type="dxa" w:w="2160"/>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Example revenue</w:t>
            </w:r>
          </w:p>
        </w:tc>
      </w:tr>
      <w:tr>
        <w:trPr>
          <w:cantSplit/>
        </w:trPr>
        <w:tc>
          <w:tcPr>
            <w:tcW w:type="dxa" w:w="5328"/>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Platform foundation and integration management</w:t>
            </w:r>
          </w:p>
        </w:tc>
        <w:tc>
          <w:tcPr>
            <w:tcW w:type="dxa" w:w="2592"/>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Infra</w:t>
            </w:r>
          </w:p>
        </w:tc>
        <w:tc>
          <w:tcPr>
            <w:tcW w:type="dxa" w:w="216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₹18 lakh</w:t>
            </w:r>
          </w:p>
        </w:tc>
      </w:tr>
      <w:tr>
        <w:trPr>
          <w:cantSplit/>
        </w:trPr>
        <w:tc>
          <w:tcPr>
            <w:tcW w:type="dxa" w:w="53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Security design and verification</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Security</w:t>
            </w:r>
          </w:p>
        </w:tc>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₹4 lakh</w:t>
            </w:r>
          </w:p>
        </w:tc>
      </w:tr>
      <w:tr>
        <w:trPr>
          <w:cantSplit/>
        </w:trPr>
        <w:tc>
          <w:tcPr>
            <w:tcW w:type="dxa" w:w="5328"/>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Terraform and pipelines</w:t>
            </w:r>
          </w:p>
        </w:tc>
        <w:tc>
          <w:tcPr>
            <w:tcW w:type="dxa" w:w="2592"/>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DevOps</w:t>
            </w:r>
          </w:p>
        </w:tc>
        <w:tc>
          <w:tcPr>
            <w:tcW w:type="dxa" w:w="216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₹5 lakh</w:t>
            </w:r>
          </w:p>
        </w:tc>
      </w:tr>
      <w:tr>
        <w:trPr>
          <w:cantSplit/>
        </w:trPr>
        <w:tc>
          <w:tcPr>
            <w:tcW w:type="dxa" w:w="53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Data architecture</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Data</w:t>
            </w:r>
          </w:p>
        </w:tc>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₹2 lakh</w:t>
            </w:r>
          </w:p>
        </w:tc>
      </w:tr>
      <w:tr>
        <w:trPr>
          <w:cantSplit/>
        </w:trPr>
        <w:tc>
          <w:tcPr>
            <w:tcW w:type="dxa" w:w="5328"/>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Ingestion and indexing</w:t>
            </w:r>
          </w:p>
        </w:tc>
        <w:tc>
          <w:tcPr>
            <w:tcW w:type="dxa" w:w="2592"/>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Data Engineering</w:t>
            </w:r>
          </w:p>
        </w:tc>
        <w:tc>
          <w:tcPr>
            <w:tcW w:type="dxa" w:w="216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₹6 lakh</w:t>
            </w:r>
          </w:p>
        </w:tc>
      </w:tr>
      <w:tr>
        <w:trPr>
          <w:cantSplit/>
        </w:trPr>
        <w:tc>
          <w:tcPr>
            <w:tcW w:type="dxa" w:w="53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Representative workload and evaluation</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AI</w:t>
            </w:r>
          </w:p>
        </w:tc>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₹5 lakh</w:t>
            </w:r>
          </w:p>
        </w:tc>
      </w:tr>
      <w:tr>
        <w:trPr>
          <w:cantSplit/>
        </w:trPr>
        <w:tc>
          <w:tcPr>
            <w:tcW w:type="dxa" w:w="5328"/>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Total services fee</w:t>
            </w:r>
          </w:p>
        </w:tc>
        <w:tc>
          <w:tcPr>
            <w:tcW w:type="dxa" w:w="2592"/>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All towers</w:t>
            </w:r>
          </w:p>
        </w:tc>
        <w:tc>
          <w:tcPr>
            <w:tcW w:type="dxa" w:w="216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₹40 lakh</w:t>
            </w:r>
          </w:p>
        </w:tc>
      </w:tr>
    </w:tbl>
    <w:p>
      <w:pPr>
        <w:spacing w:after="0"/>
      </w:pPr>
    </w:p>
    <w:p>
      <w:pPr>
        <w:pStyle w:val="Heading2"/>
      </w:pPr>
      <w:r>
        <w:rPr>
          <w:color w:val="000000"/>
        </w:rPr>
        <w:t>Allocation rules to approve</w:t>
      </w:r>
    </w:p>
    <w:p>
      <w:pPr>
        <w:pStyle w:val="ListBullet"/>
      </w:pPr>
      <w:r>
        <w:t>Attribute services revenue to approved priced work packages and accountable delivery towers. No origination premium is assumed.</w:t>
      </w:r>
    </w:p>
    <w:p>
      <w:pPr>
        <w:pStyle w:val="ListBullet"/>
      </w:pPr>
      <w:r>
        <w:t>Price Infra integration management explicitly. Record shared PM and architecture cost allocation once.</w:t>
      </w:r>
    </w:p>
    <w:p>
      <w:pPr>
        <w:pStyle w:val="ListBullet"/>
      </w:pPr>
      <w:r>
        <w:t>Use one agreed mechanism for specialist work: attributed revenue with tower costs, or an approved internal charge model. Prevent duplicate cost/revenue entries.</w:t>
      </w:r>
    </w:p>
    <w:p>
      <w:pPr>
        <w:pStyle w:val="ListBullet"/>
      </w:pPr>
      <w:r>
        <w:t>Record licence, IP, subcontract, consumption and pass through treatment separately. Azure spend is not automatically Infra services revenue.</w:t>
      </w:r>
    </w:p>
    <w:p>
      <w:pPr>
        <w:pStyle w:val="ListBullet"/>
      </w:pPr>
      <w:r>
        <w:t>Allocate discounts, contingency and change orders by approved rules; reconcile total tower credit to contract services revenue.</w:t>
      </w:r>
    </w:p>
    <w:p>
      <w:pPr>
        <w:pStyle w:val="Heading2"/>
      </w:pPr>
      <w:r>
        <w:rPr>
          <w:color w:val="000000"/>
        </w:rPr>
        <w:t>Margin and change control</w:t>
      </w:r>
    </w:p>
    <w:p>
      <w:r>
        <w:t>Track contribution per work package and for the integrated engagement using Finance definitions. Maintain a work package ledger with budget, actual effort, revenue credit, shared costs and forecast. Rebaseline scope and attribution when connectors, workloads, regions, recovery or coverage change.</w:t>
      </w:r>
    </w:p>
    <w:p>
      <w:r>
        <w:br w:type="page"/>
      </w:r>
    </w:p>
    <w:p>
      <w:pPr>
        <w:pStyle w:val="Heading1"/>
      </w:pPr>
      <w:r>
        <w:rPr>
          <w:color w:val="000000"/>
        </w:rPr>
        <w:t>Managed platform operations</w:t>
      </w:r>
    </w:p>
    <w:p>
      <w:r>
        <w:t>Quote recurring platform services separately from build revenue. Price asset counts, environments, coverage, incident volumes, changes, reporting and recovery responsibilities. Specialist tower support needs an internal agreement or separate customer work package.</w:t>
      </w:r>
    </w:p>
    <w:tbl>
      <w:tblPr>
        <w:tblW w:type="auto" w:w="0"/>
        <w:jc w:val="center"/>
        <w:tblLayout w:type="fixed"/>
        <w:tblLook w:firstColumn="1" w:firstRow="1" w:lastColumn="0" w:lastRow="0" w:noHBand="0" w:noVBand="1" w:val="04A0"/>
      </w:tblPr>
      <w:tblGrid>
        <w:gridCol w:w="4320"/>
        <w:gridCol w:w="2448"/>
        <w:gridCol w:w="3312"/>
      </w:tblGrid>
      <w:tr>
        <w:trPr>
          <w:cantSplit/>
          <w:tblHeader/>
        </w:trPr>
        <w:tc>
          <w:tcPr>
            <w:tcW w:type="dxa" w:w="4320"/>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Incident or change</w:t>
            </w:r>
          </w:p>
        </w:tc>
        <w:tc>
          <w:tcPr>
            <w:tcW w:type="dxa" w:w="2448"/>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Primary resolver</w:t>
            </w:r>
          </w:p>
        </w:tc>
        <w:tc>
          <w:tcPr>
            <w:tcW w:type="dxa" w:w="3312"/>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Supporting dependency</w:t>
            </w:r>
          </w:p>
        </w:tc>
      </w:tr>
      <w:tr>
        <w:trPr>
          <w:cantSplit/>
        </w:trPr>
        <w:tc>
          <w:tcPr>
            <w:tcW w:type="dxa" w:w="432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DNS network endpoint or resource health</w:t>
            </w:r>
          </w:p>
        </w:tc>
        <w:tc>
          <w:tcPr>
            <w:tcW w:type="dxa" w:w="2448"/>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Infra</w:t>
            </w:r>
          </w:p>
        </w:tc>
        <w:tc>
          <w:tcPr>
            <w:tcW w:type="dxa" w:w="3312"/>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Security for control changes; AI for runtime constraints</w:t>
            </w:r>
          </w:p>
        </w:tc>
      </w:tr>
      <w:tr>
        <w:trPr>
          <w:cantSplit/>
        </w:trPr>
        <w:tc>
          <w:tcPr>
            <w:tcW w:type="dxa" w:w="43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Failed pipeline or infrastructure release</w:t>
            </w:r>
          </w:p>
        </w:tc>
        <w:tc>
          <w:tcPr>
            <w:tcW w:type="dxa" w:w="24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DevOps</w:t>
            </w:r>
          </w:p>
        </w:tc>
        <w:tc>
          <w:tcPr>
            <w:tcW w:type="dxa" w:w="33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Infra for configuration; Security for deployment controls</w:t>
            </w:r>
          </w:p>
        </w:tc>
      </w:tr>
      <w:tr>
        <w:trPr>
          <w:cantSplit/>
        </w:trPr>
        <w:tc>
          <w:tcPr>
            <w:tcW w:type="dxa" w:w="432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Stale index or failed ingestion</w:t>
            </w:r>
          </w:p>
        </w:tc>
        <w:tc>
          <w:tcPr>
            <w:tcW w:type="dxa" w:w="2448"/>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Data Engineering</w:t>
            </w:r>
          </w:p>
        </w:tc>
        <w:tc>
          <w:tcPr>
            <w:tcW w:type="dxa" w:w="3312"/>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Data owner for source quality/access</w:t>
            </w:r>
          </w:p>
        </w:tc>
      </w:tr>
      <w:tr>
        <w:trPr>
          <w:cantSplit/>
        </w:trPr>
        <w:tc>
          <w:tcPr>
            <w:tcW w:type="dxa" w:w="43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Poor answer or unauthorized agent action</w:t>
            </w:r>
          </w:p>
        </w:tc>
        <w:tc>
          <w:tcPr>
            <w:tcW w:type="dxa" w:w="24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AI</w:t>
            </w:r>
          </w:p>
        </w:tc>
        <w:tc>
          <w:tcPr>
            <w:tcW w:type="dxa" w:w="33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Security and Data Engineering as relevant</w:t>
            </w:r>
          </w:p>
        </w:tc>
      </w:tr>
      <w:tr>
        <w:trPr>
          <w:cantSplit/>
        </w:trPr>
        <w:tc>
          <w:tcPr>
            <w:tcW w:type="dxa" w:w="432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Security event</w:t>
            </w:r>
          </w:p>
        </w:tc>
        <w:tc>
          <w:tcPr>
            <w:tcW w:type="dxa" w:w="2448"/>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Contracted security resolver</w:t>
            </w:r>
          </w:p>
        </w:tc>
        <w:tc>
          <w:tcPr>
            <w:tcW w:type="dxa" w:w="3312"/>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Infra and workload owners contain allocated components</w:t>
            </w:r>
          </w:p>
        </w:tc>
      </w:tr>
      <w:tr>
        <w:trPr>
          <w:cantSplit/>
        </w:trPr>
        <w:tc>
          <w:tcPr>
            <w:tcW w:type="dxa" w:w="43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Unexpected spend</w:t>
            </w:r>
          </w:p>
        </w:tc>
        <w:tc>
          <w:tcPr>
            <w:tcW w:type="dxa" w:w="24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Infra coordinates cost review</w:t>
            </w:r>
          </w:p>
        </w:tc>
        <w:tc>
          <w:tcPr>
            <w:tcW w:type="dxa" w:w="33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AI explains calls/tokens; towers fix attributable causes</w:t>
            </w:r>
          </w:p>
        </w:tc>
      </w:tr>
    </w:tbl>
    <w:p>
      <w:pPr>
        <w:spacing w:after="0"/>
      </w:pPr>
    </w:p>
    <w:p>
      <w:pPr>
        <w:pStyle w:val="Heading2"/>
      </w:pPr>
      <w:r>
        <w:rPr>
          <w:color w:val="000000"/>
        </w:rPr>
        <w:t>Internal support agreement</w:t>
      </w:r>
    </w:p>
    <w:p>
      <w:r>
        <w:t>Record lead and backup, hours, response/restore expectations, escalation, access, warranty, maintenance releases, enhancement limits and charging. Align internal targets to contracted customer obligations. Do not assume 24 by 7 specialist coverage.</w:t>
      </w:r>
    </w:p>
    <w:p>
      <w:pPr>
        <w:pStyle w:val="Heading2"/>
      </w:pPr>
      <w:r>
        <w:rPr>
          <w:color w:val="000000"/>
        </w:rPr>
        <w:t>Service measurements</w:t>
      </w:r>
    </w:p>
    <w:p>
      <w:r>
        <w:t>Measure infrastructure availability where meaningful, incident response, change success, capacity and cost visibility. AI quality and data freshness are separately owned measures. Document exclusions and third party dependencies without treating them as a substitute for a supported recovery plan.</w:t>
      </w:r>
    </w:p>
    <w:p>
      <w:r>
        <w:br w:type="page"/>
      </w:r>
    </w:p>
    <w:p>
      <w:pPr>
        <w:pStyle w:val="Heading1"/>
      </w:pPr>
      <w:r>
        <w:rPr>
          <w:color w:val="000000"/>
        </w:rPr>
        <w:t>Asset reuse and market positioning</w:t>
      </w:r>
    </w:p>
    <w:p>
      <w:r>
        <w:t>Retain Version 2 public capability evidence as candidate reuse routes. Verify actual availability, support, licensing and ownership before including an asset in a customer quote.</w:t>
      </w:r>
    </w:p>
    <w:tbl>
      <w:tblPr>
        <w:tblW w:type="auto" w:w="0"/>
        <w:jc w:val="center"/>
        <w:tblLayout w:type="fixed"/>
        <w:tblLook w:firstColumn="1" w:firstRow="1" w:lastColumn="0" w:lastRow="0" w:noHBand="0" w:noVBand="1" w:val="04A0"/>
      </w:tblPr>
      <w:tblGrid>
        <w:gridCol w:w="2880"/>
        <w:gridCol w:w="3240"/>
        <w:gridCol w:w="3960"/>
      </w:tblGrid>
      <w:tr>
        <w:trPr>
          <w:cantSplit/>
          <w:tblHeader/>
        </w:trPr>
        <w:tc>
          <w:tcPr>
            <w:tcW w:type="dxa" w:w="2880"/>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Candidate capability</w:t>
            </w:r>
          </w:p>
        </w:tc>
        <w:tc>
          <w:tcPr>
            <w:tcW w:type="dxa" w:w="3240"/>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Infra use</w:t>
            </w:r>
          </w:p>
        </w:tc>
        <w:tc>
          <w:tcPr>
            <w:tcW w:type="dxa" w:w="3960"/>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Validation needed</w:t>
            </w:r>
          </w:p>
        </w:tc>
      </w:tr>
      <w:tr>
        <w:trPr>
          <w:cantSplit/>
        </w:trPr>
        <w:tc>
          <w:tcPr>
            <w:tcW w:type="dxa" w:w="288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Azure and AI foundations [C7]</w:t>
            </w:r>
          </w:p>
        </w:tc>
        <w:tc>
          <w:tcPr>
            <w:tcW w:type="dxa" w:w="324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Platform starting patterns</w:t>
            </w:r>
          </w:p>
        </w:tc>
        <w:tc>
          <w:tcPr>
            <w:tcW w:type="dxa" w:w="396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Approved modules, control baseline and delivery owner</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Agent Foundry [C1]</w:t>
            </w:r>
          </w:p>
        </w:tc>
        <w:tc>
          <w:tcPr>
            <w:tcW w:type="dxa" w:w="32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Representative workload onboarding</w:t>
            </w:r>
          </w:p>
        </w:tc>
        <w:tc>
          <w:tcPr>
            <w:tcW w:type="dxa" w:w="39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Microsoft deployment route, licence and specialist owner</w:t>
            </w:r>
          </w:p>
        </w:tc>
      </w:tr>
      <w:tr>
        <w:trPr>
          <w:cantSplit/>
        </w:trPr>
        <w:tc>
          <w:tcPr>
            <w:tcW w:type="dxa" w:w="288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Neuro AI Engineering [C4]</w:t>
            </w:r>
          </w:p>
        </w:tc>
        <w:tc>
          <w:tcPr>
            <w:tcW w:type="dxa" w:w="324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Lifecycle integration and telemetry</w:t>
            </w:r>
          </w:p>
        </w:tc>
        <w:tc>
          <w:tcPr>
            <w:tcW w:type="dxa" w:w="396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Compatibility, licence, support and operational boundaries</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Copilot services [C2]</w:t>
            </w:r>
          </w:p>
        </w:tc>
        <w:tc>
          <w:tcPr>
            <w:tcW w:type="dxa" w:w="32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Optional expansion via relevant practice</w:t>
            </w:r>
          </w:p>
        </w:tc>
        <w:tc>
          <w:tcPr>
            <w:tcW w:type="dxa" w:w="39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Separate SaaS scope, administrators and commercial owner</w:t>
            </w:r>
          </w:p>
        </w:tc>
      </w:tr>
      <w:tr>
        <w:trPr>
          <w:cantSplit/>
        </w:trPr>
        <w:tc>
          <w:tcPr>
            <w:tcW w:type="dxa" w:w="288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Enterprise agentic services [C3]</w:t>
            </w:r>
          </w:p>
        </w:tc>
        <w:tc>
          <w:tcPr>
            <w:tcW w:type="dxa" w:w="324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Optional specialist integration</w:t>
            </w:r>
          </w:p>
        </w:tc>
        <w:tc>
          <w:tcPr>
            <w:tcW w:type="dxa" w:w="396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Fit, complexity and enterprise use route</w:t>
            </w:r>
          </w:p>
        </w:tc>
      </w:tr>
    </w:tbl>
    <w:p>
      <w:pPr>
        <w:spacing w:after="0"/>
      </w:pPr>
    </w:p>
    <w:p>
      <w:pPr>
        <w:pStyle w:val="Heading2"/>
      </w:pPr>
      <w:r>
        <w:rPr>
          <w:color w:val="000000"/>
        </w:rPr>
        <w:t>Competitive interpretation</w:t>
      </w:r>
    </w:p>
    <w:p>
      <w:r>
        <w:t>The retained eight firm benchmark describes public positioning, not like for like delivery quality or price. It does not prove a unique Infra offering. Differentiate through demonstrable infrastructure assets, tested onboarding, clear support boundaries and a credible integrated delivery model.</w:t>
      </w:r>
    </w:p>
    <w:p>
      <w:r>
        <w:t>For a sales comparison, evaluate equivalent packages against buyer, platform scope, IaC evidence, networking, security tests, specialist integration, support and commercial model. Mark unavailable details as unknown. Do not infer absence from silence.</w:t>
      </w:r>
    </w:p>
    <w:p>
      <w:pPr>
        <w:pStyle w:val="Heading2"/>
      </w:pPr>
      <w:r>
        <w:rPr>
          <w:color w:val="000000"/>
        </w:rPr>
        <w:t>Evidence pack for sellers</w:t>
      </w:r>
    </w:p>
    <w:p>
      <w:r>
        <w:t>Prepare an approved offer card, architecture pattern, working deployment demonstration, acceptance report, reference estimate, tower commitments and objection responses. Confirm approved branding and Microsoft alliance positioning before external promotion.</w:t>
      </w:r>
    </w:p>
    <w:p>
      <w:r>
        <w:br w:type="page"/>
      </w:r>
    </w:p>
    <w:p>
      <w:pPr>
        <w:pStyle w:val="Heading1"/>
      </w:pPr>
      <w:r>
        <w:rPr>
          <w:color w:val="000000"/>
        </w:rPr>
        <w:t>Validation roadmap and audit closure</w:t>
      </w:r>
    </w:p>
    <w:tbl>
      <w:tblPr>
        <w:tblW w:type="auto" w:w="0"/>
        <w:jc w:val="center"/>
        <w:tblLayout w:type="fixed"/>
        <w:tblLook w:firstColumn="1" w:firstRow="1" w:lastColumn="0" w:lastRow="0" w:noHBand="0" w:noVBand="1" w:val="04A0"/>
      </w:tblPr>
      <w:tblGrid>
        <w:gridCol w:w="1584"/>
        <w:gridCol w:w="5904"/>
        <w:gridCol w:w="2592"/>
      </w:tblGrid>
      <w:tr>
        <w:trPr>
          <w:cantSplit/>
          <w:tblHeader/>
        </w:trPr>
        <w:tc>
          <w:tcPr>
            <w:tcW w:type="dxa" w:w="1584"/>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Period</w:t>
            </w:r>
          </w:p>
        </w:tc>
        <w:tc>
          <w:tcPr>
            <w:tcW w:type="dxa" w:w="5904"/>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Required output</w:t>
            </w:r>
          </w:p>
        </w:tc>
        <w:tc>
          <w:tcPr>
            <w:tcW w:type="dxa" w:w="2592"/>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Accountability</w:t>
            </w:r>
          </w:p>
        </w:tc>
      </w:tr>
      <w:tr>
        <w:trPr>
          <w:cantSplit/>
        </w:trPr>
        <w:tc>
          <w:tcPr>
            <w:tcW w:type="dxa" w:w="158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Days 1 to 7</w:t>
            </w:r>
          </w:p>
        </w:tc>
        <w:tc>
          <w:tcPr>
            <w:tcW w:type="dxa" w:w="590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Scope agreement, tower leads, dependency register and asset inventory</w:t>
            </w:r>
          </w:p>
        </w:tc>
        <w:tc>
          <w:tcPr>
            <w:tcW w:type="dxa" w:w="2592"/>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Infra sponsor and tower leads</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Days 8 to 14</w:t>
            </w:r>
          </w:p>
        </w:tc>
        <w:tc>
          <w:tcPr>
            <w:tcW w:type="dxa" w:w="59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Qualified account shortlist, reference workload and acceptance matrix</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Account lead and Infra solution owner</w:t>
            </w:r>
          </w:p>
        </w:tc>
      </w:tr>
      <w:tr>
        <w:trPr>
          <w:cantSplit/>
        </w:trPr>
        <w:tc>
          <w:tcPr>
            <w:tcW w:type="dxa" w:w="158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Days 15 to 21</w:t>
            </w:r>
          </w:p>
        </w:tc>
        <w:tc>
          <w:tcPr>
            <w:tcW w:type="dxa" w:w="590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Demonstration evidence, estimates, support model and allocation proposal</w:t>
            </w:r>
          </w:p>
        </w:tc>
        <w:tc>
          <w:tcPr>
            <w:tcW w:type="dxa" w:w="2592"/>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Tower delivery leads and Finance</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Days 22 to 30</w:t>
            </w:r>
          </w:p>
        </w:tc>
        <w:tc>
          <w:tcPr>
            <w:tcW w:type="dxa" w:w="59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Evidence review and launch refine or stop decision</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Leadership sponsor</w:t>
            </w:r>
          </w:p>
        </w:tc>
      </w:tr>
    </w:tbl>
    <w:p>
      <w:pPr>
        <w:spacing w:after="0"/>
      </w:pPr>
    </w:p>
    <w:p>
      <w:pPr>
        <w:pStyle w:val="Heading2"/>
      </w:pPr>
      <w:r>
        <w:rPr>
          <w:color w:val="000000"/>
        </w:rPr>
        <w:t>Three document review cycles</w:t>
      </w:r>
    </w:p>
    <w:p>
      <w:r>
        <w:t>Cycle 1 addressed portfolio scope: Infra now has one primary offer and a bounded expansion route. Cycle 2 addressed execution: tower dependencies, RACI, customer authority and measurable gates are explicit. Cycle 3 addressed economics: role days, attribution, shared cost controls and recurring support are separated. These are desk review revisions, not operational PDCA cycles or independent assurance.</w:t>
      </w:r>
    </w:p>
    <w:p>
      <w:pPr>
        <w:pStyle w:val="Heading2"/>
      </w:pPr>
      <w:r>
        <w:rPr>
          <w:color w:val="000000"/>
        </w:rPr>
        <w:t>Open items that block launch</w:t>
      </w:r>
    </w:p>
    <w:p>
      <w:pPr>
        <w:pStyle w:val="ListBullet"/>
      </w:pPr>
      <w:r>
        <w:t>Confirm tower ownership and obtain delivery/support commitments.</w:t>
      </w:r>
    </w:p>
    <w:p>
      <w:pPr>
        <w:pStyle w:val="ListBullet"/>
      </w:pPr>
      <w:r>
        <w:t>Verify IaC assets, licences, region/capacity and integration compatibility.</w:t>
      </w:r>
    </w:p>
    <w:p>
      <w:pPr>
        <w:pStyle w:val="ListBullet"/>
      </w:pPr>
      <w:r>
        <w:t>Replace illustrative estimates with approved rates and scope; obtain Finance allocation approval.</w:t>
      </w:r>
    </w:p>
    <w:p>
      <w:pPr>
        <w:pStyle w:val="ListBullet"/>
      </w:pPr>
      <w:r>
        <w:t>Agree customer test thresholds and obtain real demand evidence.</w:t>
      </w:r>
    </w:p>
    <w:p>
      <w:pPr>
        <w:pStyle w:val="ListBullet"/>
      </w:pPr>
      <w:r>
        <w:t>Complete a workload specific architecture, threat review and deployment test.</w:t>
      </w:r>
    </w:p>
    <w:p>
      <w:pPr>
        <w:pStyle w:val="Heading2"/>
      </w:pPr>
      <w:r>
        <w:rPr>
          <w:color w:val="000000"/>
        </w:rPr>
        <w:t>Decision requested</w:t>
      </w:r>
    </w:p>
    <w:p>
      <w:r>
        <w:t>Approve the bounded validation exercise and nominate owners. Review a concrete offer card, working evidence, cost model, account shortlist and signed tower commitments before authorizing external launch. No email distribution or customer commitment is implied by this proposal.</w:t>
      </w:r>
    </w:p>
    <w:p>
      <w:r>
        <w:br w:type="page"/>
      </w:r>
    </w:p>
    <w:p>
      <w:pPr>
        <w:pStyle w:val="Heading1"/>
      </w:pPr>
      <w:r>
        <w:rPr>
          <w:color w:val="000000"/>
        </w:rPr>
        <w:t>Public competitor benchmark appendix</w:t>
      </w:r>
    </w:p>
    <w:p>
      <w:r>
        <w:t>Evidence carried forward from Version 2, reviewed on 7 October 2026. Public positioning is not proof of delivery readiness, equivalent scope, price or performance.</w:t>
      </w:r>
    </w:p>
    <w:tbl>
      <w:tblPr>
        <w:tblW w:type="auto" w:w="0"/>
        <w:jc w:val="center"/>
        <w:tblLayout w:type="fixed"/>
        <w:tblLook w:firstColumn="1" w:firstRow="1" w:lastColumn="0" w:lastRow="0" w:noHBand="0" w:noVBand="1" w:val="04A0"/>
      </w:tblPr>
      <w:tblGrid>
        <w:gridCol w:w="2160"/>
        <w:gridCol w:w="4464"/>
        <w:gridCol w:w="3456"/>
      </w:tblGrid>
      <w:tr>
        <w:trPr>
          <w:cantSplit/>
          <w:tblHeader/>
        </w:trPr>
        <w:tc>
          <w:tcPr>
            <w:tcW w:type="dxa" w:w="2160"/>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Firm</w:t>
            </w:r>
          </w:p>
        </w:tc>
        <w:tc>
          <w:tcPr>
            <w:tcW w:type="dxa" w:w="4464"/>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Published positioning</w:t>
            </w:r>
          </w:p>
        </w:tc>
        <w:tc>
          <w:tcPr>
            <w:tcW w:type="dxa" w:w="3456"/>
            <w:vAlign w:val="center"/>
            <w:tcBorders>
              <w:top w:val="single" w:sz="4" w:color="D9D9D9"/>
              <w:left w:val="single" w:sz="4" w:color="D9D9D9"/>
              <w:bottom w:val="single" w:sz="4" w:color="D9D9D9"/>
              <w:right w:val="single" w:sz="4" w:color="D9D9D9"/>
            </w:tcBorders>
            <w:shd w:fill="12334D"/>
            <w:tcMar>
              <w:top w:w="90" w:type="dxa"/>
              <w:left w:w="90" w:type="dxa"/>
              <w:bottom w:w="90" w:type="dxa"/>
              <w:right w:w="90" w:type="dxa"/>
            </w:tcMar>
          </w:tcPr>
          <w:p>
            <w:pPr>
              <w:spacing w:after="60"/>
            </w:pPr>
            <w:r>
              <w:rPr>
                <w:b/>
                <w:color w:val="FFFFFF"/>
                <w:sz w:val="20"/>
              </w:rPr>
              <w:t>Packaging lesson</w:t>
            </w:r>
          </w:p>
        </w:tc>
      </w:tr>
      <w:tr>
        <w:trPr>
          <w:cantSplit/>
        </w:trPr>
        <w:tc>
          <w:tcPr>
            <w:tcW w:type="dxa" w:w="216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Accenture and Avanade [B1]</w:t>
            </w:r>
          </w:p>
        </w:tc>
        <w:tc>
          <w:tcPr>
            <w:tcW w:type="dxa" w:w="446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Factory Agents and Analytics combines Microsoft technologies with manufacturing workflows and subscription delivery.</w:t>
            </w:r>
          </w:p>
        </w:tc>
        <w:tc>
          <w:tcPr>
            <w:tcW w:type="dxa" w:w="3456"/>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Tie assets to an operational buyer and outcome.</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TCS [B2]</w:t>
            </w:r>
          </w:p>
        </w:tc>
        <w:tc>
          <w:tcPr>
            <w:tcW w:type="dxa" w:w="44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Persona based Copilot rollout, scenario libraries, connected agents and managed support.</w:t>
            </w:r>
          </w:p>
        </w:tc>
        <w:tc>
          <w:tcPr>
            <w:tcW w:type="dxa" w:w="34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Use repeatable role and integration patterns.</w:t>
            </w:r>
          </w:p>
        </w:tc>
      </w:tr>
      <w:tr>
        <w:trPr>
          <w:cantSplit/>
        </w:trPr>
        <w:tc>
          <w:tcPr>
            <w:tcW w:type="dxa" w:w="216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KPMG [B3]</w:t>
            </w:r>
          </w:p>
        </w:tc>
        <w:tc>
          <w:tcPr>
            <w:tcW w:type="dxa" w:w="446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Copilot, custom agents, data modernization, governance and function led solutions.</w:t>
            </w:r>
          </w:p>
        </w:tc>
        <w:tc>
          <w:tcPr>
            <w:tcW w:type="dxa" w:w="3456"/>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Connect trust controls to business value.</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EPAM [B4]</w:t>
            </w:r>
          </w:p>
        </w:tc>
        <w:tc>
          <w:tcPr>
            <w:tcW w:type="dxa" w:w="44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AI/Run, agentic engineering, GitHub Copilot and modernization with customer examples.</w:t>
            </w:r>
          </w:p>
        </w:tc>
        <w:tc>
          <w:tcPr>
            <w:tcW w:type="dxa" w:w="34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Show reusable engineering assets and test evidence.</w:t>
            </w:r>
          </w:p>
        </w:tc>
      </w:tr>
      <w:tr>
        <w:trPr>
          <w:cantSplit/>
        </w:trPr>
        <w:tc>
          <w:tcPr>
            <w:tcW w:type="dxa" w:w="216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EY [B5]</w:t>
            </w:r>
          </w:p>
        </w:tc>
        <w:tc>
          <w:tcPr>
            <w:tcW w:type="dxa" w:w="446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Industry aligned engineering and consulting, change management and enterprise AI transformation.</w:t>
            </w:r>
          </w:p>
        </w:tc>
        <w:tc>
          <w:tcPr>
            <w:tcW w:type="dxa" w:w="3456"/>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Include process change and value ownership.</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PwC [B6]</w:t>
            </w:r>
          </w:p>
        </w:tc>
        <w:tc>
          <w:tcPr>
            <w:tcW w:type="dxa" w:w="44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Knowledge modernization, Azure quickstart, responsible AI and an AI factory model.</w:t>
            </w:r>
          </w:p>
        </w:tc>
        <w:tc>
          <w:tcPr>
            <w:tcW w:type="dxa" w:w="34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Named packages need assets and repeatable delivery.</w:t>
            </w:r>
          </w:p>
        </w:tc>
      </w:tr>
      <w:tr>
        <w:trPr>
          <w:cantSplit/>
        </w:trPr>
        <w:tc>
          <w:tcPr>
            <w:tcW w:type="dxa" w:w="2160"/>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Deloitte [B7]</w:t>
            </w:r>
          </w:p>
        </w:tc>
        <w:tc>
          <w:tcPr>
            <w:tcW w:type="dxa" w:w="4464"/>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End to end Microsoft transformation spanning Azure, AI, workplace, apps and cyber.</w:t>
            </w:r>
          </w:p>
        </w:tc>
        <w:tc>
          <w:tcPr>
            <w:tcW w:type="dxa" w:w="3456"/>
            <w:vAlign w:val="center"/>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pPr>
            <w:r>
              <w:rPr>
                <w:b w:val="0"/>
                <w:color w:val="000000"/>
                <w:sz w:val="20"/>
              </w:rPr>
              <w:t>Connect technology to the operating model.</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Wipro [B8]</w:t>
            </w:r>
          </w:p>
        </w:tc>
        <w:tc>
          <w:tcPr>
            <w:tcW w:type="dxa" w:w="44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Microsoft AI partnership, industry IP and enterprise integration with agent marketplace.</w:t>
            </w:r>
          </w:p>
        </w:tc>
        <w:tc>
          <w:tcPr>
            <w:tcW w:type="dxa" w:w="34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color w:val="000000"/>
                <w:sz w:val="20"/>
              </w:rPr>
              <w:t>Make domain IP and integration reuse visible.</w:t>
            </w:r>
          </w:p>
        </w:tc>
      </w:tr>
    </w:tbl>
    <w:p>
      <w:r>
        <w:br w:type="page"/>
      </w:r>
    </w:p>
    <w:p>
      <w:pPr>
        <w:pStyle w:val="Heading1"/>
      </w:pPr>
      <w:r>
        <w:rPr>
          <w:color w:val="000000"/>
        </w:rPr>
        <w:t>Cognizant and Microsoft source register</w:t>
      </w:r>
    </w:p>
    <w:p>
      <w:r>
        <w:t>Public sources reviewed on 7 October 2026. References support capability positioning, not internal approval or current account-specific commitments. Validate availability, licensing and technical constraints at qualification.</w:t>
      </w:r>
    </w:p>
    <w:p>
      <w:pPr>
        <w:spacing w:after="40"/>
      </w:pPr>
      <w:r>
        <w:rPr>
          <w:b/>
        </w:rPr>
        <w:t>C1  Cognizant Agent Foundry</w:t>
      </w:r>
    </w:p>
    <w:p>
      <w:pPr>
        <w:spacing w:after="140"/>
      </w:pPr>
      <w:r>
        <w:rPr>
          <w:sz w:val="18"/>
        </w:rPr>
        <w:t>https://news.cognizant.com/2025-07-10-Cognizant-Introduces-Agent-Foundry-Powering-Agentic-AI-at-Enterprise-Scale</w:t>
      </w:r>
    </w:p>
    <w:p>
      <w:pPr>
        <w:spacing w:after="40"/>
      </w:pPr>
      <w:r>
        <w:rPr>
          <w:b/>
        </w:rPr>
        <w:t>C2  Microsoft Copilot services</w:t>
      </w:r>
    </w:p>
    <w:p>
      <w:pPr>
        <w:spacing w:after="140"/>
      </w:pPr>
      <w:r>
        <w:rPr>
          <w:sz w:val="18"/>
        </w:rPr>
        <w:t>https://www.cognizant.com/us/en/services/cloud-solutions/microsoft-business-group/microsoft-copilot</w:t>
      </w:r>
    </w:p>
    <w:p>
      <w:pPr>
        <w:spacing w:after="40"/>
      </w:pPr>
      <w:r>
        <w:rPr>
          <w:b/>
        </w:rPr>
        <w:t>C3  Enterprise agentic AI and Multi-Agent services</w:t>
      </w:r>
    </w:p>
    <w:p>
      <w:pPr>
        <w:spacing w:after="140"/>
      </w:pPr>
      <w:r>
        <w:rPr>
          <w:sz w:val="18"/>
        </w:rPr>
        <w:t>https://www.cognizant.com/us/en/services/ai/enterprise-agentic-ai</w:t>
      </w:r>
    </w:p>
    <w:p>
      <w:pPr>
        <w:spacing w:after="40"/>
      </w:pPr>
      <w:r>
        <w:rPr>
          <w:b/>
        </w:rPr>
        <w:t>C4  Neuro AI Engineering</w:t>
      </w:r>
    </w:p>
    <w:p>
      <w:pPr>
        <w:spacing w:after="140"/>
      </w:pPr>
      <w:r>
        <w:rPr>
          <w:sz w:val="18"/>
        </w:rPr>
        <w:t>https://www.cognizant.com/us/en/services/cognizant-platforms/neuro-ai-engineering</w:t>
      </w:r>
    </w:p>
    <w:p>
      <w:pPr>
        <w:spacing w:after="40"/>
      </w:pPr>
      <w:r>
        <w:rPr>
          <w:b/>
        </w:rPr>
        <w:t>C5  Neuro AI Enterprise Core</w:t>
      </w:r>
    </w:p>
    <w:p>
      <w:pPr>
        <w:spacing w:after="140"/>
      </w:pPr>
      <w:r>
        <w:rPr>
          <w:sz w:val="18"/>
        </w:rPr>
        <w:t>https://www.cognizant.com/us/en/services/cognizant-platforms/neuro-ai-enterprise-core</w:t>
      </w:r>
    </w:p>
    <w:p>
      <w:pPr>
        <w:spacing w:after="40"/>
      </w:pPr>
      <w:r>
        <w:rPr>
          <w:b/>
        </w:rPr>
        <w:t>C6  Neuro AI Decisioning</w:t>
      </w:r>
    </w:p>
    <w:p>
      <w:pPr>
        <w:spacing w:after="140"/>
      </w:pPr>
      <w:r>
        <w:rPr>
          <w:sz w:val="18"/>
        </w:rPr>
        <w:t>https://www.cognizant.com/us/en/services/cognizant-platforms/neuro-generative-ai-adoption</w:t>
      </w:r>
    </w:p>
    <w:p>
      <w:pPr>
        <w:spacing w:after="40"/>
      </w:pPr>
      <w:r>
        <w:rPr>
          <w:b/>
        </w:rPr>
        <w:t>C7  Microsoft partnership and AI foundations</w:t>
      </w:r>
    </w:p>
    <w:p>
      <w:pPr>
        <w:spacing w:after="140"/>
      </w:pPr>
      <w:r>
        <w:rPr>
          <w:sz w:val="18"/>
        </w:rPr>
        <w:t>https://www.cognizant.com/us/en/about-cognizant/partners/microsoft</w:t>
      </w:r>
    </w:p>
    <w:p>
      <w:pPr>
        <w:spacing w:after="40"/>
      </w:pPr>
      <w:r>
        <w:rPr>
          <w:b/>
        </w:rPr>
        <w:t>C8  Microsoft Business Group and AI Operations Assistant</w:t>
      </w:r>
    </w:p>
    <w:p>
      <w:pPr>
        <w:spacing w:after="140"/>
      </w:pPr>
      <w:r>
        <w:rPr>
          <w:sz w:val="18"/>
        </w:rPr>
        <w:t>https://www.cognizant.com/us/en/services/cloud-solutions/microsoft-business-group</w:t>
      </w:r>
    </w:p>
    <w:p>
      <w:pPr>
        <w:spacing w:after="40"/>
      </w:pPr>
      <w:r>
        <w:rPr>
          <w:b/>
        </w:rPr>
        <w:t>C9  Microsoft OneCognizant customer story</w:t>
      </w:r>
    </w:p>
    <w:p>
      <w:pPr>
        <w:spacing w:after="140"/>
      </w:pPr>
      <w:r>
        <w:rPr>
          <w:sz w:val="18"/>
        </w:rPr>
        <w:t>https://www.microsoft.com/en-in/aifirstmovers/FY26Cognizant</w:t>
      </w:r>
    </w:p>
    <w:p>
      <w:pPr>
        <w:spacing w:after="40"/>
      </w:pPr>
      <w:r>
        <w:rPr>
          <w:b/>
        </w:rPr>
        <w:t>M1  CAF AI readiness</w:t>
      </w:r>
    </w:p>
    <w:p>
      <w:pPr>
        <w:spacing w:after="140"/>
      </w:pPr>
      <w:r>
        <w:rPr>
          <w:sz w:val="18"/>
        </w:rPr>
        <w:t>https://learn.microsoft.com/en-us/azure/cloud-adoption-framework/ai/ready</w:t>
      </w:r>
    </w:p>
    <w:p>
      <w:pPr>
        <w:spacing w:after="40"/>
      </w:pPr>
      <w:r>
        <w:rPr>
          <w:b/>
        </w:rPr>
        <w:t>M2  Azure AI Landing Zones reference implementation</w:t>
      </w:r>
    </w:p>
    <w:p>
      <w:pPr>
        <w:spacing w:after="140"/>
      </w:pPr>
      <w:r>
        <w:rPr>
          <w:sz w:val="18"/>
        </w:rPr>
        <w:t>https://github.com/Azure/AI-Landing-Zones</w:t>
      </w:r>
    </w:p>
    <w:p>
      <w:pPr>
        <w:spacing w:after="40"/>
      </w:pPr>
      <w:r>
        <w:rPr>
          <w:b/>
        </w:rPr>
        <w:t>M3  Azure landing zone guidance</w:t>
      </w:r>
    </w:p>
    <w:p>
      <w:pPr>
        <w:spacing w:after="140"/>
      </w:pPr>
      <w:r>
        <w:rPr>
          <w:sz w:val="18"/>
        </w:rPr>
        <w:t>https://learn.microsoft.com/en-us/azure/cloud-adoption-framework/ready/landing-zone/</w:t>
      </w:r>
    </w:p>
    <w:p>
      <w:pPr>
        <w:spacing w:after="40"/>
      </w:pPr>
      <w:r>
        <w:rPr>
          <w:b/>
        </w:rPr>
        <w:t>M4  Foundry network isolation guidance</w:t>
      </w:r>
    </w:p>
    <w:p>
      <w:pPr>
        <w:spacing w:after="140"/>
      </w:pPr>
      <w:r>
        <w:rPr>
          <w:sz w:val="18"/>
        </w:rPr>
        <w:t>https://learn.microsoft.com/en-us/azure/ai-foundry/how-to/configure-private-link</w:t>
      </w:r>
    </w:p>
    <w:p>
      <w:r>
        <w:br w:type="page"/>
      </w:r>
    </w:p>
    <w:p>
      <w:pPr>
        <w:pStyle w:val="Heading1"/>
      </w:pPr>
      <w:r>
        <w:rPr>
          <w:color w:val="000000"/>
        </w:rPr>
        <w:t>Competitor sources and reusable offer card</w:t>
      </w:r>
    </w:p>
    <w:p>
      <w:pPr>
        <w:spacing w:after="40"/>
      </w:pPr>
      <w:r>
        <w:rPr>
          <w:b/>
        </w:rPr>
        <w:t>B1  Accenture and Avanade Agentic Factory</w:t>
      </w:r>
    </w:p>
    <w:p>
      <w:pPr>
        <w:spacing w:after="140"/>
      </w:pPr>
      <w:r>
        <w:rPr>
          <w:sz w:val="18"/>
        </w:rPr>
        <w:t>https://newsroom.accenture.com/news/2026/accenture-and-avanade-collaborate-with-microsoft-to-develop-agentic-factory-to-help-reduce-manufacturing-downtime</w:t>
      </w:r>
    </w:p>
    <w:p>
      <w:pPr>
        <w:spacing w:after="40"/>
      </w:pPr>
      <w:r>
        <w:rPr>
          <w:b/>
        </w:rPr>
        <w:t>B2  TCS Services on Microsoft 365 Copilot</w:t>
      </w:r>
    </w:p>
    <w:p>
      <w:pPr>
        <w:spacing w:after="140"/>
      </w:pPr>
      <w:r>
        <w:rPr>
          <w:sz w:val="18"/>
        </w:rPr>
        <w:t>https://www.tcs.com/what-we-do/services/cloud/microsoft/solution/tcs-services-for-microsoft-365-copilot</w:t>
      </w:r>
    </w:p>
    <w:p>
      <w:pPr>
        <w:spacing w:after="40"/>
      </w:pPr>
      <w:r>
        <w:rPr>
          <w:b/>
        </w:rPr>
        <w:t>B3  KPMG Microsoft alliance</w:t>
      </w:r>
    </w:p>
    <w:p>
      <w:pPr>
        <w:spacing w:after="140"/>
      </w:pPr>
      <w:r>
        <w:rPr>
          <w:sz w:val="18"/>
        </w:rPr>
        <w:t>https://kpmg.com/us/en/capabilities-services/alliances/kpmg-microsoft.html</w:t>
      </w:r>
    </w:p>
    <w:p>
      <w:pPr>
        <w:spacing w:after="40"/>
      </w:pPr>
      <w:r>
        <w:rPr>
          <w:b/>
        </w:rPr>
        <w:t>B4  EPAM Microsoft partnership</w:t>
      </w:r>
    </w:p>
    <w:p>
      <w:pPr>
        <w:spacing w:after="140"/>
      </w:pPr>
      <w:r>
        <w:rPr>
          <w:sz w:val="18"/>
        </w:rPr>
        <w:t>https://www.epam.com/services/partners/microsoft</w:t>
      </w:r>
    </w:p>
    <w:p>
      <w:pPr>
        <w:spacing w:after="40"/>
      </w:pPr>
      <w:r>
        <w:rPr>
          <w:b/>
        </w:rPr>
        <w:t>B5  EY Microsoft enterprise AI initiative</w:t>
      </w:r>
    </w:p>
    <w:p>
      <w:pPr>
        <w:spacing w:after="140"/>
      </w:pPr>
      <w:r>
        <w:rPr>
          <w:sz w:val="18"/>
        </w:rPr>
        <w:t>https://www.ey.com/en_gl/newsroom/2026/05/ey-and-microsoft-announce-global-initiative-to-help-clients-scale-ai-enterprise-wide-value-creation-and-move-beyond-experimentation</w:t>
      </w:r>
    </w:p>
    <w:p>
      <w:pPr>
        <w:spacing w:after="40"/>
      </w:pPr>
      <w:r>
        <w:rPr>
          <w:b/>
        </w:rPr>
        <w:t>B6  PwC Microsoft GenAI solutions</w:t>
      </w:r>
    </w:p>
    <w:p>
      <w:pPr>
        <w:spacing w:after="140"/>
      </w:pPr>
      <w:r>
        <w:rPr>
          <w:sz w:val="18"/>
        </w:rPr>
        <w:t>https://www.pwc.com/gx/en/services/alliances/microsoft/generative-ai.html</w:t>
      </w:r>
    </w:p>
    <w:p>
      <w:pPr>
        <w:spacing w:after="40"/>
      </w:pPr>
      <w:r>
        <w:rPr>
          <w:b/>
        </w:rPr>
        <w:t>B7  Deloitte Microsoft Technology Practice</w:t>
      </w:r>
    </w:p>
    <w:p>
      <w:pPr>
        <w:spacing w:after="140"/>
      </w:pPr>
      <w:r>
        <w:rPr>
          <w:sz w:val="18"/>
        </w:rPr>
        <w:t>https://www.deloitte.com/us/en/services/consulting/services/microsoft.html</w:t>
      </w:r>
    </w:p>
    <w:p>
      <w:pPr>
        <w:spacing w:after="40"/>
      </w:pPr>
      <w:r>
        <w:rPr>
          <w:b/>
        </w:rPr>
        <w:t>B8  Wipro Microsoft AI partnership</w:t>
      </w:r>
    </w:p>
    <w:p>
      <w:pPr>
        <w:spacing w:after="140"/>
      </w:pPr>
      <w:r>
        <w:rPr>
          <w:sz w:val="18"/>
        </w:rPr>
        <w:t>https://www.wipro.com/newsroom/press-releases/2025/accelerating-the-ai-powered-future-wipro-and-microsoft-to-empower-enterprises-to-transform-as-frontier-firms/</w:t>
      </w:r>
    </w:p>
    <w:p>
      <w:pPr>
        <w:pStyle w:val="Heading2"/>
      </w:pPr>
      <w:r>
        <w:rPr>
          <w:color w:val="000000"/>
        </w:rPr>
        <w:t>Reusable offer card fields</w:t>
      </w:r>
    </w:p>
    <w:p>
      <w:r>
        <w:t>Buyer; buying trigger; business outcome; baseline; scope; deliverables; acceptance criteria; reuse assets and owner; licensing; dependencies; exclusions; platform; effort; costs and margin assumptions; support; sales and delivery owners; expansion path.</w:t>
      </w:r>
    </w:p>
    <w:p>
      <w:r>
        <w:t>Working package names are descriptive labels. Use approved Cognizant branding after validation. This proposal does not assert exclusivity, superior competitor performance or confirmed customer results.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Internal leadership review  •  8 October 2026</w:t>
    </w:r>
    <w: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CIS INFRA  |  PROPOSED AZURE AI PLATFORM OFFERING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