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78D4" w:sz="18"/>
        </w:pBdr>
        <w:spacing w:after="0" w:before="720"/>
      </w:pPr>
      <w:r>
        <w:t xml:space="preserve"/>
      </w:r>
    </w:p>
    <w:p>
      <w:pPr>
        <w:spacing w:after="60" w:before="720"/>
      </w:pPr>
      <w:r>
        <w:rPr>
          <w:rFonts w:ascii="Calibri" w:cs="Calibri" w:eastAsia="Calibri" w:hAnsi="Calibri"/>
          <w:b/>
          <w:bCs/>
          <w:color w:val="0078D4"/>
          <w:spacing w:val="60"/>
          <w:sz w:val="28"/>
          <w:szCs w:val="28"/>
        </w:rPr>
        <w:t xml:space="preserve">AZURE REVIEW BOARD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E2A47"/>
          <w:sz w:val="72"/>
          <w:szCs w:val="72"/>
        </w:rPr>
        <w:t xml:space="preserve">Executive Solution Brief</w:t>
      </w:r>
    </w:p>
    <w:p>
      <w:pPr>
        <w:spacing w:after="360" w:before="0"/>
      </w:pPr>
      <w:r>
        <w:rPr>
          <w:rFonts w:ascii="Calibri" w:cs="Calibri" w:eastAsia="Calibri" w:hAnsi="Calibri"/>
          <w:i/>
          <w:iCs/>
          <w:color w:val="445566"/>
          <w:sz w:val="28"/>
          <w:szCs w:val="28"/>
        </w:rPr>
        <w:t xml:space="preserve">AI-Assisted Architecture Review for Cloud Programs</w:t>
      </w:r>
    </w:p>
    <w:p>
      <w:pPr>
        <w:pBdr>
          <w:bottom w:val="single" w:color="0078D4" w:sz="4"/>
        </w:pBd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B7C8C"/>
          <w:spacing w:val="40"/>
          <w:sz w:val="18"/>
          <w:szCs w:val="18"/>
        </w:rPr>
        <w:t xml:space="preserve">Prepared for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0E2A47"/>
          <w:sz w:val="24"/>
          <w:szCs w:val="24"/>
        </w:rPr>
        <w:t xml:space="preserve">Cloud Executive Sponsors, Enterprise Architects, Pre-Sales &amp; Alliance Partners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B7C8C"/>
          <w:spacing w:val="40"/>
          <w:sz w:val="18"/>
          <w:szCs w:val="18"/>
        </w:rPr>
        <w:t xml:space="preserve">Document classification</w:t>
      </w:r>
    </w:p>
    <w:p>
      <w:pPr>
        <w:spacing w:after="60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Internal — Strategic Review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1.0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Cloud Architecture Office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Final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April 27, 2026</w:t>
            </w:r>
          </w:p>
        </w:tc>
        <w:tc>
          <w:tcPr>
            <w:tcW w:type="dxa" w:w="187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Executive Summary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The Azure Review Board (ARB) Dashboard is an AI-assisted architecture review platform that converts unstructured solution-design packages into structured, exportable, board-ready reviews scoped to Microsoft frameworks (Well-Architected, Cloud Adoption Framework, Azure Landing Zones, HA/DR, Security). It is operated as a static-first Next.js web application backed by Azure Functions, Azure OpenAI, Azure AI Search, and Azure Storage.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Architecture review today is fragmented across spreadsheets, generic AI chatbots, and manual checklists. ARB consolidates the workflow — upload, extract, analyze, score, decide, export — into a single project-scoped, evidence-grounded experience that produces auditable artifacts in minutes instead of days.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The platform is live, deployed on Azure, and currently in active controlled-pilot operation. This brief outlines its purpose, architecture, value proposition, commercial model, and forward roadmap so executive sponsors and partner stakeholders can evaluate strategic fit and accelerate adoption.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40"/>
                <w:szCs w:val="40"/>
              </w:rPr>
              <w:t xml:space="preserve">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5566"/>
                <w:sz w:val="18"/>
                <w:szCs w:val="18"/>
              </w:rPr>
              <w:t xml:space="preserve">WAF / framework domains scored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F37"/>
                <w:sz w:val="40"/>
                <w:szCs w:val="40"/>
              </w:rPr>
              <w:t xml:space="preserve">&lt;60$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5566"/>
                <w:sz w:val="18"/>
                <w:szCs w:val="18"/>
              </w:rPr>
              <w:t xml:space="preserve">Target monthly run-cost (USD)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40"/>
                <w:szCs w:val="40"/>
              </w:rPr>
              <w:t xml:space="preserve">200+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5566"/>
                <w:sz w:val="18"/>
                <w:szCs w:val="18"/>
              </w:rPr>
              <w:t xml:space="preserve">Azure services in Knowledge Hub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B9C"/>
                <w:sz w:val="40"/>
                <w:szCs w:val="40"/>
              </w:rPr>
              <w:t xml:space="preserve">16+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5566"/>
                <w:sz w:val="18"/>
                <w:szCs w:val="18"/>
              </w:rPr>
              <w:t xml:space="preserve">Deterministic ARB rules (sample)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B9C"/>
                <w:sz w:val="40"/>
                <w:szCs w:val="40"/>
              </w:rPr>
              <w:t xml:space="preserve">4 / 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5566"/>
                <w:sz w:val="18"/>
                <w:szCs w:val="18"/>
              </w:rPr>
              <w:t xml:space="preserve">Delivery milestones complete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B9C"/>
                <w:sz w:val="40"/>
                <w:szCs w:val="40"/>
              </w:rPr>
              <w:t xml:space="preserve">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5566"/>
                <w:sz w:val="18"/>
                <w:szCs w:val="18"/>
              </w:rPr>
              <w:t xml:space="preserve">Export formats (MD, CSV, HTML, JSON, signed URLs)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Live Production Demo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The platform is live at https://jolly-sea-014792b10.6.azurestaticapps.net/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Solution code is open at https://github.com/upendra25312/AzureCheckLists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Sign in via GitHub for read-only exploration; Microsoft Entra for cloud-persisted reviews.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1. The Problem We Solve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Architecture review is broken at every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What customers consistently tell us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Reviews depend on disconnected spreadsheets, slide decks, and individual reviewer tribal knowledge.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Generic AI chat tools (ChatGPT, Copilot) lack project context and can't cite the customer's actual evidence.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Native tools like Azure Advisor and the WAF Review Tool produce general guidance — not project-scoped, not exportable, not workflow-driven.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Architecture Review Boards become bottlenecks: weeks per review, inconsistent rigor, weak audit trail.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Findings cannot be traced back to the customer's design package, so reviewers must re-prove conclusions every cycle.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Why this matters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Pressure point</w:t>
            </w:r>
          </w:p>
        </w:tc>
        <w:tc>
          <w:tcPr>
            <w:tcW w:type="dxa" w:w="31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Operational impact</w:t>
            </w:r>
          </w:p>
        </w:tc>
        <w:tc>
          <w:tcPr>
            <w:tcW w:type="dxa" w:w="31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the timing is right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Cloud spend governance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FinOps and ARB teams must validate every solution before spend is committed.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Regulators and CFOs now require traceable design-time controls.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AI workload acceleration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New AI workloads ship weekly; review depth lags far behind.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Foundry, OpenAI, MCP unlock cost-controlled grounded reviews.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Multi-framework compliance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WAF + CAF + ALZ + Security + DR + industry packs must all align.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Single-pane multi-framework review is now feasible.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Pre-sales velocity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Bids stall in technical review; commercial models drift from design reality.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Live regional fit + retail pricing close the gap to bid-ready evidence.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F8B9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Executive takeaway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ARB is positioned at the intersection of three forces — cloud governance, AI velocity, and pre-sales rigor — that today have no integrated solution.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Acting now establishes a defensible review platform before competing internal builds proliferate.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2. The Solution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Project-scoped, evidence-grounded architecture review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ARB ingests the customer's actual design package (SOW, design document, diagrams, security and DR notes), extracts requirements and evidence with Azure Document Intelligence, applies a transparent rules catalog, and uses Azure OpenAI grounded in the extracted evidence to produce a board-ready scorecard, findings, and action list.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Five-step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Upload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Extract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Analyze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Decide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Export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Customer architecture package: PDF, DOCX, PPTX, MD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Document Intelligence pulls text, tables, structure into AI Search index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Deterministic rules + Foundry agent + Microsoft Learn MCP grounding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Reviewer overrides AI; records decision, conditions, owners, due dates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Markdown, CSV, HTML, JSON; signed URLs valid 1 hour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Capabilities delivered today (Phase 1)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Workflow &amp; evidence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Project-scoped review workspace with cloud persistence in Azure Table Storage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Multi-format upload (PDF, DOCX, PPTX, TXT, Markdown) with multipart form handling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Evidence gating: Ready for Review · Ready with Gaps · Insufficient Evidence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Reviewer sign-off with decision, conditions, action tracking (owner, due date, severity)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Analysis &amp; scoring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Eight weighted scoring domains: Requirements (20%), Security (20%), Reliability (15%), Operational Excellence (10%), Cost (10%), Performance (10%), Governance (10%), Documentation (5%)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Deterministic rules catalog covering regions, identity, network, DR, governance, cost, documentation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Critical-blocker overrides for identity model, network boundary, backup, compliance, regional constraints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AI-assisted findings using Azure OpenAI gpt-4.1-mini, grounded in extracted evidence and Microsoft Learn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Knowledge &amp; commercial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200+ Azure services with live regional availability (Microsoft Product Availability by Region)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Live retail pricing from Azure Retail Prices API, package-scoped to selected services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Restricted-region callouts (UAE Central, China sovereign cloud) so designs don't reference unavailable regions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Exports &amp; governance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Markdown, CSV, HTML, JSON exports — board-ready artifacts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Signed download URLs (1-hour expiry) for secure retrieval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Audit-trail tables: reviewer decisions, evidence-readiness, action history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GitHub OAuth for public exploration; Microsoft Entra ID for cloud persistence and admin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3. Reference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Static-first frontend, dedicated backend, governed 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Design principles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Build-time data normalization keeps the frontend cheap and fast (Azure Static Web Apps).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Dedicated Azure Functions backend exposes monitorable, RBAC-bound APIs and avoids serverless cold-start surprises.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Code-owned retrieval and blob-backed cache eliminate fixed always-on AI Search costs.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Managed Identity throughout — no API keys in code; keys live in Key Vault.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Selective Microsoft Learn MCP grounding — invoked only when materially needed.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2080"/>
        <w:gridCol w:w="2500"/>
      </w:tblGrid>
      <w:tr>
        <w:tc>
          <w:tcPr>
            <w:tcW w:type="dxa" w:w="22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 / Plan</w:t>
            </w:r>
          </w:p>
        </w:tc>
        <w:tc>
          <w:tcPr>
            <w:tcW w:type="dxa" w:w="2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Presentation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Static Web App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Next.js 15 frontend; global CDN; route protection for /admin/*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Function App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Flex Consumption, 512 MB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Node.js 20; upload, extraction, agent orchestration, exports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AI / Agents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OpenAI + Foundry Agent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Standard, Central US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gpt-4.1-mini deployment; Azure-ARB-Agent system prompt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Knowledge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AI Search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arb-documents index; chunked content; RAG grounding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Storage Account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 LRS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Blob: input/output/cache containers · Table: reviews/exports/audit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Secrets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Key Vault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API keys, connection strings, OpenAI credentials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Telemetry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Application Insights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Function execution metrics, errors, latency, custom events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Microsoft Entra + GitHub OAuth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Public sign-in; admin RBAC via SWA roles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Key API surface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POST /api/arb/upload-files — Multipart file ingest into arb-inputfiles blob container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POST /api/arb/extract-files — Document Intelligence extraction; chunked into Azure AI Search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POST /api/arb/run-agent-review — Foundry agent orchestration; persists findings, scorecard, exports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GET /api/arb/get-review — Returns review metadata, findings, and scorecard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GET /api/arb/get-exports — Lists and signs export URLs (MD, CSV, HTML)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GET /api/availability — Live Azure regional availability (cached, scheduled refresh)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GET /api/pricing — Live Azure retail pricing (cached, scheduled refresh)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GET /api/health — Backend health: Function App, Storage, Search, OpenAI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4. Differentiation &amp; Competitive Positioning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Why ARB, not native cloud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c>
          <w:tcPr>
            <w:tcW w:type="dxa" w:w="22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3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Azure Advisor</w:t>
            </w:r>
          </w:p>
        </w:tc>
        <w:tc>
          <w:tcPr>
            <w:tcW w:type="dxa" w:w="143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WAF Review Tool</w:t>
            </w:r>
          </w:p>
        </w:tc>
        <w:tc>
          <w:tcPr>
            <w:tcW w:type="dxa" w:w="143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WA Tool</w:t>
            </w:r>
          </w:p>
        </w:tc>
        <w:tc>
          <w:tcPr>
            <w:tcW w:type="dxa" w:w="143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GCP Active Assist</w:t>
            </w:r>
          </w:p>
        </w:tc>
        <w:tc>
          <w:tcPr>
            <w:tcW w:type="dxa" w:w="14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F8B9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ARB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Project-scoped review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Workload-only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Evidence ingestion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Multi-framework scoring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WAF only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AWS WA only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Patterns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WAF · CAF · ALZ · DR · Security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Board-ready exports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CSV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PDF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PDF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MD · CSV · HTML · JSON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Live regional fit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Live retail pricing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Reviewer override audit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Workflow gating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Unique value proposition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Project-scoped (not global): every review tied to a customer's specific package.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Evidence-grounded (not conversational): findings cite the customer's own document chunks.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Workflow-driven (not lookup-only): clear states, gating, sign-off, audit trail.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Multi-framework (not single-pillar): WAF, CAF, ALZ, HA/DR, Security, custom rules — one pane.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Cost-transparent: deterministic rules carry the score; AI carries the narrative.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Commercial-aware: live regional availability + retail pricing in the same review package.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5. Commercial Model &amp; Run-Cost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Designed to operate under USD 60 per month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ARB is engineered as a cost-constrained agentic platform. The design reuses an existing Azure OpenAI deployment, avoids new always-on services (no AI Search Basic, no Foundry File Search), and pushes deterministic scoring into code so the model is used only for narrative.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8B9C"/>
          <w:sz w:val="22"/>
          <w:szCs w:val="22"/>
        </w:rPr>
        <w:t xml:space="preserve">Estimated monthly cost (typical pilot)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00"/>
        <w:gridCol w:w="1500"/>
        <w:gridCol w:w="1760"/>
      </w:tblGrid>
      <w:tr>
        <w:tc>
          <w:tcPr>
            <w:tcW w:type="dxa" w:w="2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Busy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Blob Storage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 LRS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1–2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2–3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3–5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Table Storage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&lt; USD 1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1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1–2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Functions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Flex Consumption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0–3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3–6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5–10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OpenAI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Pay-per-token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10–18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18–32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30–40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USD 12–24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USD 24–42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USD 39–57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Cost guardrails (in production)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Cap file size per upload (≤ 100 MB) and reject scanned-only PDFs from Phase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Skip re-synthesis if extracted evidence is unchanged.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Cache Microsoft Learn grounding by topic + freshness window.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Compute rubric scores in code; AI is only used for narrative.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Summarize once, reuse many times across exports.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Recommended licensing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1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Solo architects, evaluators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Knowledge Hub · local-only project review · public copilot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Azure-Backed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Pre-sales teams, single-tenant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Cloud-persisted reviews · audit trail · admin diagnostics · scoring weights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Multi-tenant, regulated industries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Industry rule packs · multi-reviewer workflow · SLA · custom frameworks · compliance reporting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6. Roadmap &amp; Forward Plan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Delivery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860"/>
      </w:tblGrid>
      <w:tr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Foundation: ingestion, normalization, catalog, exports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Complete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Phase 1 capabilities live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Commercial intelligence: regions, pricing, fit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Complete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Live pricing + regional matrix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AI-assisted review and copilot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Complete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Foundry agent + 3-mode copilot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Cloud persistence and saved reviews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Complete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Table Storage; My Reviews queue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M5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Admin diagnostics and operational intelligence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Runtime/config inventory live; log-linked next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M6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Enterprise agent and MCP expansion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Planned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Multi-agent governance; industry packs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Near-term priorities (next 30 days)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Resolve P0 audit findings: filter normalization (Bc_Dr → BC and DR), typo fixes, deduplication.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Strengthen the /arb landing page with a preview scorecard so new users immediately understand the deliverable.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Validate live admin role assignment and protected /admin/copilot access end-to-end in production.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Expand admin diagnostics with log-linked evidence and live Azure resource health checks.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Tune multi-mode copilot prompts using real project-review examples.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Strategic horizon (next 90–180 days)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Industry-specific rule packs: healthcare (HIPAA, HITRUST), financial services (SOX, PCI-DSS), public sector (FedRAMP, IL5).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Multi-reviewer workflow with parallel review states, consensus mechanism, and re-review tracking.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Foundry Agent + MCP evolution: governed multi-agent pattern with Azure MCP and azure-skills.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Side-by-side design comparison across review packages.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Advanced diagram inference and topology extraction from architecture images.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200"/>
        <w:gridCol w:w="4660"/>
      </w:tblGrid>
      <w:tr>
        <w:tc>
          <w:tcPr>
            <w:tcW w:type="dxa" w:w="2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6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UI/UX debt visible to customers (raw category names, typos, duplicates)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Realized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Sprint-scope cleanup of all P0 audit findings before next demo cycle.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Admin role assignment not validated in production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End-to-end test with dedicated admin account; document runbook.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Token cost spike under heavy concurrency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Cap file size; cache grounding; budget alerts; rate-limit synthesis.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Reviewer rubber-stamps weak evidence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Enforce evidence-gating workflow; require explicit override comments; audit trail.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Search index scaling beyond Standard tier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Monitor index size; plan upgrade path; archive completed reviews.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Industry rule packs lag behind regulatory change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Version rule packs; subscribe to regulator changes; quarterly refresh cadence.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Foundry agent prompt drift across model upgrades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Pin model deployment; calibration tests on regression set; canary upgrades.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Data retention not automated by lifecycle policy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Apply blob lifecycle: 7-day input deletion, 30-day output deletion; alert on policy drift.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E2A47"/>
          <w:sz w:val="32"/>
          <w:szCs w:val="32"/>
        </w:rPr>
        <w:t xml:space="preserve">8. Recommended Decisions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For executive sponsors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445566"/>
          <w:sz w:val="22"/>
          <w:szCs w:val="22"/>
        </w:rPr>
        <w:t xml:space="preserve">Approve the controlled pilot scope </w:t>
      </w:r>
      <w:r>
        <w:rPr>
          <w:rFonts w:ascii="Calibri" w:cs="Calibri" w:eastAsia="Calibri" w:hAnsi="Calibri"/>
          <w:color w:val="445566"/>
          <w:sz w:val="22"/>
          <w:szCs w:val="22"/>
        </w:rPr>
        <w:t xml:space="preserve">for the next quarter, with the under-USD-60/month cost guardrail as the operating envelope.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445566"/>
          <w:sz w:val="22"/>
          <w:szCs w:val="22"/>
        </w:rPr>
        <w:t xml:space="preserve">Sponsor the P0 audit-finding cleanup </w:t>
      </w:r>
      <w:r>
        <w:rPr>
          <w:rFonts w:ascii="Calibri" w:cs="Calibri" w:eastAsia="Calibri" w:hAnsi="Calibri"/>
          <w:color w:val="445566"/>
          <w:sz w:val="22"/>
          <w:szCs w:val="22"/>
        </w:rPr>
        <w:t xml:space="preserve">as the immediate engineering investment before customer demos resume.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445566"/>
          <w:sz w:val="22"/>
          <w:szCs w:val="22"/>
        </w:rPr>
        <w:t xml:space="preserve">Mandate adoption </w:t>
      </w:r>
      <w:r>
        <w:rPr>
          <w:rFonts w:ascii="Calibri" w:cs="Calibri" w:eastAsia="Calibri" w:hAnsi="Calibri"/>
          <w:color w:val="445566"/>
          <w:sz w:val="22"/>
          <w:szCs w:val="22"/>
        </w:rPr>
        <w:t xml:space="preserve">for new architecture engagements above a defined cloud-spend threshold (e.g., USD 250k annual).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For pre-sales &amp; alliance partners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445566"/>
          <w:sz w:val="22"/>
          <w:szCs w:val="22"/>
        </w:rPr>
        <w:t xml:space="preserve">Use ARB in discovery and bid response </w:t>
      </w:r>
      <w:r>
        <w:rPr>
          <w:rFonts w:ascii="Calibri" w:cs="Calibri" w:eastAsia="Calibri" w:hAnsi="Calibri"/>
          <w:color w:val="445566"/>
          <w:sz w:val="22"/>
          <w:szCs w:val="22"/>
        </w:rPr>
        <w:t xml:space="preserve">to validate region constraints, pricing assumptions, and design completeness before commercial commitment.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445566"/>
          <w:sz w:val="22"/>
          <w:szCs w:val="22"/>
        </w:rPr>
        <w:t xml:space="preserve">Co-brand findings </w:t>
      </w:r>
      <w:r>
        <w:rPr>
          <w:rFonts w:ascii="Calibri" w:cs="Calibri" w:eastAsia="Calibri" w:hAnsi="Calibri"/>
          <w:color w:val="445566"/>
          <w:sz w:val="22"/>
          <w:szCs w:val="22"/>
        </w:rPr>
        <w:t xml:space="preserve">with Microsoft / AWS / GCP partner managers as a way to accelerate joint review cycles.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For engineering leadership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445566"/>
          <w:sz w:val="22"/>
          <w:szCs w:val="22"/>
        </w:rPr>
        <w:t xml:space="preserve">Resource Milestone 5 completion </w:t>
      </w:r>
      <w:r>
        <w:rPr>
          <w:rFonts w:ascii="Calibri" w:cs="Calibri" w:eastAsia="Calibri" w:hAnsi="Calibri"/>
          <w:color w:val="445566"/>
          <w:sz w:val="22"/>
          <w:szCs w:val="22"/>
        </w:rPr>
        <w:t xml:space="preserve">(admin diagnostics, log-linked evidence) and begin Milestone 6 (industry rule packs, multi-agent).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color w:val="445566"/>
          <w:sz w:val="22"/>
          <w:szCs w:val="22"/>
        </w:rPr>
        <w:t xml:space="preserve">Enable lifecycle policies </w:t>
      </w:r>
      <w:r>
        <w:rPr>
          <w:rFonts w:ascii="Calibri" w:cs="Calibri" w:eastAsia="Calibri" w:hAnsi="Calibri"/>
          <w:color w:val="445566"/>
          <w:sz w:val="22"/>
          <w:szCs w:val="22"/>
        </w:rPr>
        <w:t xml:space="preserve">on input/output blob containers; verify managed-identity bindings; document runbook for incident response.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F8B9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Next step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Schedule a 60-minute walkthrough with the Cloud Architecture Office to demo the live platform, validate scope, and confirm the pilot operating envelope.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Demo URL: https://jolly-sea-014792b10.6.azurestaticapps.net/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5566"/>
                <w:sz w:val="20"/>
                <w:szCs w:val="20"/>
              </w:rPr>
              <w:t xml:space="preserve">Repository: https://github.com/upendra25312/AzureCheckLists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C8C"/>
          <w:sz w:val="18"/>
          <w:szCs w:val="18"/>
        </w:rPr>
        <w:t xml:space="preserve">Document prepared by the Cloud Architecture Office under multi-disciplinary review (Microsoft Azure architecture, AWS / GCP comparative architecture, alliance and pre-sales). All cost figures, capabilities, and roadmap items are sourced from the project repository as of April 27,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6" w:space="1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6B7C8C"/>
        <w:sz w:val="16"/>
        <w:szCs w:val="16"/>
      </w:rPr>
      <w:t xml:space="preserve">Cloud Architecture Office · April 2026</w:t>
    </w:r>
    <w:r>
      <w:rPr>
        <w:rFonts w:ascii="Calibri" w:cs="Calibri" w:eastAsia="Calibri" w:hAnsi="Calibri"/>
        <w:color w:val="6B7C8C"/>
        <w:sz w:val="16"/>
        <w:szCs w:val="16"/>
      </w:rPr>
      <w:t xml:space="preserve">	Page </w:t>
    </w:r>
    <w:r>
      <w:rPr>
        <w:rFonts w:ascii="Calibri" w:cs="Calibri" w:eastAsia="Calibri" w:hAnsi="Calibri"/>
        <w:color w:val="6B7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C8C"/>
        <w:sz w:val="16"/>
        <w:szCs w:val="16"/>
      </w:rPr>
      <w:t xml:space="preserve"> of </w:t>
    </w:r>
    <w:r>
      <w:rPr>
        <w:rFonts w:ascii="Calibri" w:cs="Calibri" w:eastAsia="Calibri" w:hAnsi="Calibri"/>
        <w:color w:val="6B7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/>
      </w:pBdr>
      <w:spacing w:after="80"/>
      <w:jc w:val="right"/>
    </w:pPr>
    <w:r>
      <w:rPr>
        <w:rFonts w:ascii="Calibri" w:cs="Calibri" w:eastAsia="Calibri" w:hAnsi="Calibri"/>
        <w:i/>
        <w:iCs/>
        <w:color w:val="6B7C8C"/>
        <w:sz w:val="18"/>
        <w:szCs w:val="18"/>
      </w:rPr>
      <w:t xml:space="preserve">Azure Review Board · Executive Solution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55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Review Board — Executive Solution Brief</dc:title>
  <dc:creator>Cloud Architecture Office</dc:creator>
  <dc:description>Executive solution brief for the Azure Review Board (ARB) Dashboard.</dc:description>
  <cp:lastModifiedBy>Un-named</cp:lastModifiedBy>
  <cp:revision>1</cp:revision>
  <dcterms:created xsi:type="dcterms:W3CDTF">2026-04-27T08:55:11.356Z</dcterms:created>
  <dcterms:modified xsi:type="dcterms:W3CDTF">2026-04-27T08:55:11.357Z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