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78D4" w:sz="18"/>
        </w:pBdr>
        <w:spacing w:before="720"/>
      </w:pPr>
      <w:r>
        <w:t xml:space="preserve"/>
      </w:r>
    </w:p>
    <w:p>
      <w:pPr>
        <w:spacing w:after="60" w:before="600"/>
      </w:pPr>
      <w:r>
        <w:rPr>
          <w:rFonts w:ascii="Calibri" w:cs="Calibri" w:eastAsia="Calibri" w:hAnsi="Calibri"/>
          <w:b/>
          <w:bCs/>
          <w:color w:val="0078D4"/>
          <w:spacing w:val="60"/>
          <w:sz w:val="26"/>
          <w:szCs w:val="26"/>
        </w:rPr>
        <w:t xml:space="preserve">AZURE WELL-ARCHITECTED REVIEW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65D"/>
          <w:sz w:val="64"/>
          <w:szCs w:val="64"/>
        </w:rPr>
        <w:t xml:space="preserve">Architecture &amp; Operational Excellence Assessment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445566"/>
          <w:sz w:val="28"/>
          <w:szCs w:val="28"/>
        </w:rPr>
        <w:t xml:space="preserve">Azure Review Board (ARB) Dashboard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Subject system: Azure Review Board (ARB) Dashboard</w:t>
      </w:r>
    </w:p>
    <w:p>
      <w:pPr>
        <w:spacing w:after="120" w:before="0"/>
      </w:pPr>
      <w:r>
        <w:rPr>
          <w:rFonts w:ascii="Calibri" w:cs="Calibri" w:eastAsia="Calibri" w:hAnsi="Calibri"/>
          <w:color w:val="0078D4"/>
          <w:sz w:val="22"/>
          <w:szCs w:val="22"/>
        </w:rPr>
        <w:t xml:space="preserve">Production URL: https://jolly-sea-014792b10.6.azurestaticapps.net/</w:t>
      </w:r>
    </w:p>
    <w:p>
      <w:pPr>
        <w:spacing w:after="120" w:before="0"/>
      </w:pPr>
      <w:r>
        <w:rPr>
          <w:rFonts w:ascii="Calibri" w:cs="Calibri" w:eastAsia="Calibri" w:hAnsi="Calibri"/>
          <w:color w:val="0078D4"/>
          <w:sz w:val="22"/>
          <w:szCs w:val="22"/>
        </w:rPr>
        <w:t xml:space="preserve">Source repository: https://github.com/upendra25312/AzureCheckLists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April 27, 2026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Cloud Architecture Office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WAF + AWS WA + GCP AF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Approved with Conditions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Methodology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This review is conducted by a multi-disciplinary team operating across Microsoft Azure architecture leadership, AWS comparative architecture, and Google Cloud architecture practice. The review is structured against the Azure Well-Architected Framework (WAF) five pillars, with explicit cross-mapping to the AWS Well-Architected Framework and Google Cloud Architecture Framework so that findings are portable across customer environments.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Scoring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58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90–100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Aligned with best practice; explicit evidence; no material issues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75–89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Acceptable with minor gaps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Sound design; minor improvements; no severe blockers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50–74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Notable gaps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Corrective action required; reduced confidence; remediation in scope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&lt; 50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Insufficient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Major rework or insufficient evidence; cannot fairly approve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Framework cross-mapping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Azure WAF Pillar</w:t>
            </w:r>
          </w:p>
        </w:tc>
        <w:tc>
          <w:tcPr>
            <w:tcW w:type="dxa" w:w="2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99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 WA Pillar</w:t>
            </w:r>
          </w:p>
        </w:tc>
        <w:tc>
          <w:tcPr>
            <w:tcW w:type="dxa" w:w="2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4285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Google AF Category</w:t>
            </w:r>
          </w:p>
        </w:tc>
        <w:tc>
          <w:tcPr>
            <w:tcW w:type="dxa" w:w="21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Concern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System Reliability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HA, DR, recovery, fault domains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Security, privacy, compliance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Identity, secrets, network, encryption, audit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Cost Optimization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Cost Optimization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Cost optimization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Sizing, FinOps, commitment, waste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Operational Excellence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Operational Excellence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Operational excellence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Runbooks, telemetry, automation, SLOs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Performance Efficiency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Performance Efficiency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Performance optimization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Latency, throughput, scaling, caching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C8C"/>
          <w:sz w:val="22"/>
          <w:szCs w:val="22"/>
        </w:rPr>
        <w:t xml:space="preserve">All five pillars are scored against the deployed ARB platform itself — not against a hypothetical customer workload — so this serves as a self-assessment of the reviewer's own platform.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Executive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480"/>
        <w:gridCol w:w="2480"/>
      </w:tblGrid>
      <w:tr>
        <w:tc>
          <w:tcPr>
            <w:tcW w:type="dxa" w:w="32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2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4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4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concern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78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Acceptable with minor gaps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multi-region failover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82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Acceptable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Admin-role validation pending in production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Cost Optimization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88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Cost model unverified at concurrency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Operational Excellence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72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Notable gaps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Log-linked diagnostics incomplete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Performance Efficiency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5F4E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Acceptable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Search-tier scaling unverified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OVERALL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Approved with Conditions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M5 admin-diagnostics + P0 UI cleanup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C8C"/>
          <w:sz w:val="22"/>
          <w:szCs w:val="22"/>
        </w:rPr>
        <w:t xml:space="preserve">Final recommendation: Approved with Conditions. The platform exhibits strong fundamentals (cost discipline, evidence-grounded design, clean separation of concerns) and is fit-for-purpose for controlled pilot operation. Conditions for full ARB approval are listed in the closing section.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Pillar 1 —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500"/>
        <w:gridCol w:w="1360"/>
      </w:tblGrid>
      <w:tr>
        <w:tc>
          <w:tcPr>
            <w:tcW w:type="dxa" w:w="6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Reliability</w:t>
            </w:r>
          </w:p>
        </w:tc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Acceptable</w:t>
            </w:r>
          </w:p>
        </w:tc>
        <w:tc>
          <w:tcPr>
            <w:tcW w:type="dxa" w:w="13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78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Static-first frontend deployed on Azure Static Web App with global CDN — high inherent availability for read-only experiences.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Backend on Azure Functions Flex Consumption — auto-scales without manual capacity planning; idle cost is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Blob-backed cache for commercial data (regions, pricing) means transient upstream failures don't break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Build-time normalization decouples runtime availability from upstream Azure/review-checklists repository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Explicit evidence-gating workflow prevents rubber-stamp approvals when source artifacts are incomplete.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300"/>
        <w:gridCol w:w="2760"/>
      </w:tblGrid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REL-01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multi-region active/active or warm-standby for the Function App or Storage Account; single-region failure produces total outage.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Add paired-region replica (e.g., UK South + UK West) with Front Door for failover.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REL-02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Blob lifecycle policies for arb-inputfiles (7-day delete) and arb-outputfiles (30-day delete) referenced in docs but not confirmed enforced via Bicep.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Codify lifecycle rules in main.bicep; alert on policy drift.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REL-03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documented RTO/RPO targets for the platform itself.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Define RTO 4h / RPO 24h and document recovery runbook.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REL-04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Search index resiliency strategy unstated — losing arb-documents index forces full re-extraction.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Schedule weekly index export to blob; reload procedure documented.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REL-05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chaos / failure injection testing in CI.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5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Add a quarterly fault drill checklist (Function offline, Storage throttled, OpenAI rate-limited).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Cross-cloud mapping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AWS WA Reliability — equivalent concerns: workload availability, fault isolation boundaries, change management, failure management. AWS-equivalent improvements would be Multi-AZ S3, Lambda + API Gateway with Route 53 health-check failover.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GCP AF System Reliability — equivalent concerns: regional vs multi-regional services, Cloud Functions failover, Cloud Storage dual-region buckets, Cloud CDN front-door equivalents.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Pillar 2 —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500"/>
        <w:gridCol w:w="1360"/>
      </w:tblGrid>
      <w:tr>
        <w:tc>
          <w:tcPr>
            <w:tcW w:type="dxa" w:w="6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Acceptable</w:t>
            </w:r>
          </w:p>
        </w:tc>
        <w:tc>
          <w:tcPr>
            <w:tcW w:type="dxa" w:w="13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82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Managed Identity (system-assigned) used for Functions to Storage, Search, Key Vault, and OpenAI — no API keys in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RBAC bindings are minimal and explicit: Storage Blob/Table Data Contributor, Search Index Data Contributor, Key Vault Secret Officer.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Secrets centralized in Azure Key Vault; configuration via app settings sourced from Key Vault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Microsoft Entra ID for cloud-persisted reviews and admin; GitHub OAuth restricted to public read-only exploration.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Signed download URLs with 1-hour expiry for artifact retrieval — no public blob exposure.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Audit-trail Table Storage captures reviewer decisions, approvals, evidence-readiness changes.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300"/>
        <w:gridCol w:w="2760"/>
      </w:tblGrid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SEC-01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Admin role assignment in Static Web App not validated end-to-end in production; /admin/copilot access reportedly unverified live.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Provision a dedicated admin test account, exercise full role workflow, document runbook.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SEC-02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documented threat model for the platform (STRIDE or equivalent).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Author one-page threat model; review quarterly.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SEC-03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Foundry agent system prompt and rules catalog are stored in code; no prompt-injection guardrail on uploaded document content.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Add prompt-injection detection layer; sandbox extracted text; restrict tool-call surface in agent.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SEC-04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PII handling policy for uploaded customer documents not documented.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Publish data-handling note: PII redaction expectations, retention, deletion-on-request process.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SEC-05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private endpoints; all inter-service traffic traverses Azure backbone over public endpoints with managed-identity auth.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5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For enterprise tier, add private endpoints for Storage, Search, OpenAI; deploy Functions into VNet integration.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SEC-06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Defender for Cloud or Azure Policy bindings referenced in IaC.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Enable Defender plans for Storage, Functions, Key Vault; attach baseline policies.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SEC-07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Static Web App custom domain and TLS configuration not validated in IaC.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5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Codify custom domain + managed certificate provisioning.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Cross-cloud mapping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AWS WA Security — equivalent concerns: identity &amp; access (IAM), detective controls (CloudTrail, GuardDuty), data protection at rest and in transit (KMS, ACM), incident response.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GCP AF Security — equivalent concerns: IAM, CMEK / Cloud KMS, VPC Service Controls, Cloud DLP for PII, Security Command Center.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Pillar 3 —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500"/>
        <w:gridCol w:w="1360"/>
      </w:tblGrid>
      <w:tr>
        <w:tc>
          <w:tcPr>
            <w:tcW w:type="dxa" w:w="6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Cost Optimization</w:t>
            </w:r>
          </w:p>
        </w:tc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Strong</w:t>
            </w:r>
          </w:p>
        </w:tc>
        <w:tc>
          <w:tcPr>
            <w:tcW w:type="dxa" w:w="13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88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Explicit cost-engineering target: under USD 60 per month total run-cost — designed in, not back-fitted.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Reuses an existing Azure OpenAI deployment (azreviewchecklistsopenaicu01) — no new fixed-cost AI estate.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Avoids always-on services (no AI Search Basic at idle, no Foundry File Search) — code-owned retrieval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Flex Consumption for Functions provides true scale-to-zero with cold-start trade-off accepted for the workload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Deterministic scoring computed in code, not via the LLM — minimizes token spend per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Selective Microsoft Learn MCP grounding — invoked only when materially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Live retail pricing surfaced in the UI keeps the customer's commercial model honest from day one.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300"/>
        <w:gridCol w:w="2760"/>
      </w:tblGrid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COST-01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USD 60/month target is unverified at concurrency (10 concurrent reviews, 50 MB uploads).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Run a controlled load test, publish a verified cost envelope per usage tier.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COST-02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budget alert or cost-anomaly alert configured at the resource group level.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Add monthly budget alert at USD 50 / USD 75 / USD 100 thresholds.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COST-03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Token usage telemetry per review not surfaced — cost regression risk on prompt-template changes.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Emit token-count custom event per review; track per-week trend in App Insights.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COST-04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 LRS storage may incur unnecessary cost if cross-region durability isn't required.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5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Validate durability needs; consider GZRS only where compliance requires it.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COST-05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Cache warm-up policy (AZURE_COMMERCIAL_WARM_SERVICE_LIMIT) is configurable but no documented value tuned for cost.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5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Establish a default warm-limit policy and document the cost trade-off.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Cross-cloud mapping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AWS WA Cost Optimization — analogous techniques: Lambda right-sizing, S3 Intelligent-Tiering, Reserved Capacity for Bedrock, Cost Anomaly Detection.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GCP AF Cost optimization — analogous techniques: Cloud Run scale-to-zero, Object Lifecycle Management, Vertex AI Prediction quotas, Recommender API for cost insights.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Pillar 4 — Operational Excellence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500"/>
        <w:gridCol w:w="1360"/>
      </w:tblGrid>
      <w:tr>
        <w:tc>
          <w:tcPr>
            <w:tcW w:type="dxa" w:w="6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B5651D" w:color="auto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Operational Excellence</w:t>
            </w:r>
          </w:p>
        </w:tc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B5651D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Notable gaps</w:t>
            </w:r>
          </w:p>
        </w:tc>
        <w:tc>
          <w:tcPr>
            <w:tcW w:type="dxa" w:w="13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B5651D" w:color="auto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72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Application Insights wired into the Function App at provisioning time — execution metrics, errors, latency captured.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Two clean GitHub Actions workflows (frontend + backend) with publish-profile-based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Codified infrastructure: Bicep templates for Static Web App, Function App, supporting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Healthcheck endpoint /api/health and admin-copilot-health for liveness probes.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Backend test suite for review lifecycle regressions (e.g., archive-and-purge edge case).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E2E Playwright tests for ARB findings, library, live review, board surfaces, accessibility, theme rollout.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Data Health dashboard surfaces freshness for region/pricing/knowledge data.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300"/>
        <w:gridCol w:w="2760"/>
      </w:tblGrid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OPS-01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Admin diagnostics surface includes runtime/config inventory but lacks log-linked evidence and live Azure resource health checks (M5 in progress).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Complete M5: Function App health, Storage liveness, Search index status, OpenAI deployment status, Application Insights query links.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OPS-02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on-call runbook for the platform itself (incident response, log triage steps, restart sequences).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Author runbook covering: Function 5xx surge, Storage 429, Search index unavailable, OpenAI rate-limit, signed-URL expiry.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OPS-03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Service-level objectives (SLOs) for review completion time, agent latency, export availability not declared.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Publish target SLOs (e.g., agent review p95 &lt; 90s, export availability 99%).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OPS-04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Deployment uses publish profile secrets — rotation cadence and ownership not documented.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Document secret rotation cadence (90 days); assign owner; consider OIDC federated GitHub Actions auth.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OPS-05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Pre-existing audit finding backlog (16 issues, P0–P3) — known UI/UX defects visible in production.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CEFD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Sprint-fix all P0 (raw category names, typo, duplicates, test data leakage) before next customer demo.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OPS-06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documented rollback procedure for the Static Web App or Function App deployments.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Document rollback path: redeploy previous tag; verify health; communication template.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OPS-07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Visual regression snapshots exist for desktop/mobile homepage but not for the full ARB workflow.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5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Expand visual regression coverage to scorecard, findings, decision pages.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Cross-cloud mapping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AWS WA Operational Excellence — analogous: CloudWatch dashboards, X-Ray tracing, AWS Systems Manager runbooks, CDK/CloudFormation parity.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GCP AF Operational Excellence — analogous: Cloud Operations (Stackdriver), Error Reporting, Cloud Trace, Terraform parity, runbook automation via Cloud Workflows.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Pillar 5 — Performance Efficiency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500"/>
        <w:gridCol w:w="1360"/>
      </w:tblGrid>
      <w:tr>
        <w:tc>
          <w:tcPr>
            <w:tcW w:type="dxa" w:w="6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Performance Efficiency</w:t>
            </w:r>
          </w:p>
        </w:tc>
        <w:tc>
          <w:tcPr>
            <w:tcW w:type="dxa" w:w="15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Acceptable</w:t>
            </w:r>
          </w:p>
        </w:tc>
        <w:tc>
          <w:tcPr>
            <w:tcW w:type="dxa" w:w="13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80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Static export via Next.js to /out keeps page-load latency low and CDN-friendly globally.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Build-time data normalization removes runtime computation for the catalog and best-practice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Cache-first approach for live availability and pricing data — sub-second responses for cached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Token chunking at 1000-token segments for AI Search ingestion is appropriate for current model context limits.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Browser-side filtering and search avoid backend round-trips for catalog navigation.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300"/>
        <w:gridCol w:w="2760"/>
      </w:tblGrid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PERF-01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AI Search Standard tier has ~50GB index ceiling; growth path beyond pilot scale unverified.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Define index-size monitoring alert; document upgrade-path to Standard 2/3 or per-partition scaling.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PERF-02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Foundry agent latency (extraction + retrieval + synthesis) not measured under load — p95 unknown.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Instrument review-execution timer; publish p50/p95/p99 in Data Health dashboard.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PERF-03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No client-side metrics (LCP, INP, CLS) collection for the Static Web App.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5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Add Real User Monitoring via Application Insights JS SDK or equivalent.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PERF-04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Cold-start cost on Flex Consumption Function App for the first agent review of the day not measured.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5F8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Optionally tune always-ready instance from 0 to 1 if customer experience demands; measure cost trade-off.</w:t>
            </w:r>
          </w:p>
        </w:tc>
      </w:tr>
      <w:tr>
        <w:tc>
          <w:tcPr>
            <w:tcW w:type="dxa" w:w="9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PERF-05</w:t>
            </w:r>
          </w:p>
        </w:tc>
        <w:tc>
          <w:tcPr>
            <w:tcW w:type="dxa" w:w="4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Document Intelligence call timeout and retry policy unspecified for pathological PDF inputs.</w:t>
            </w:r>
          </w:p>
        </w:tc>
        <w:tc>
          <w:tcPr>
            <w:tcW w:type="dxa" w:w="13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EAF3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Set explicit timeout (e.g., 120s) and exponential-backoff retry; reject scanned-only PDFs from Phase 1.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Cross-cloud mapping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AWS WA Performance Efficiency — analogous: CloudFront edge caching, Lambda provisioned concurrency, S3 Transfer Acceleration, OpenSearch index sizing.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GCP AF Performance optimization — analogous: Cloud CDN edge caching, Cloud Run min-instances, Vertex AI batch prediction, BigQuery query tuning.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Conditions for Full ARB Approval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The platform is recommended for full ARB approval once the following conditions are demonstrably met. These are derived from the highest-severity findings across the five pillars.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700"/>
        <w:gridCol w:w="1660"/>
      </w:tblGrid>
      <w:tr>
        <w:tc>
          <w:tcPr>
            <w:tcW w:type="dxa" w:w="6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6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Resolve all P0 audit findings (filter normalization, typos, duplicates, test data leakage).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Operational Excellence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Frontend Lead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Validate live admin role assignment and protected /admin/copilot access end-to-end in production.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Security · OpEx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Platform Lead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Add prompt-injection guardrail on uploaded document content; sandbox extracted text.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AI Lead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Codify blob lifecycle policies (7-day inputs, 30-day outputs) in main.bicep; alert on drift.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Reliability · Security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Platform Lead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Publish runbook and SLO targets; complete M5 admin diagnostics with log-linked evidence.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Operational Excellence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SRE / Ops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Verify monthly cost stays under USD 60 envelope under controlled-pilot load (10 concurrent reviews).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Cost Optimization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FinOps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Document RTO 4h / RPO 24h with recovery procedure; weekly Search index export.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Reliability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Platform Lead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5566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Threat-model the platform (one-page STRIDE) and publish data-handling note for uploaded PII.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Security Lead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C8C"/>
          <w:sz w:val="22"/>
          <w:szCs w:val="22"/>
        </w:rPr>
        <w:t xml:space="preserve">Re-review trigger: Once 6 of 8 conditions are met (including all Severity-High remediations), the platform is recommended for full ARB approval and graduation from controlled pilot to general availability within the customer base.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Appendix A — Azure Resource Inventory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Resources referenced in the ARB platform deployment, with role and review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700"/>
        <w:gridCol w:w="3060"/>
      </w:tblGrid>
      <w:tr>
        <w:tc>
          <w:tcPr>
            <w:tcW w:type="dxa" w:w="24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70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 / Plan</w:t>
            </w:r>
          </w:p>
        </w:tc>
        <w:tc>
          <w:tcPr>
            <w:tcW w:type="dxa" w:w="30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0078D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jolly-sea-014792b10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Static Web App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Frontend; CDN; route protection /admin/*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azure-review-checklists-api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Function App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Flex Consumption 512 MB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Backend API (Node.js 20)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azreviewchecklistsopenaicu01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OpenAI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Standard, Central US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gpt-4.1-mini deployment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azreviewstorage*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Storage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 LRS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Blob: arb-inputfiles, arb-outputfiles, commercial-data-cache · Table: arbreviews, arbexports, audittrails, usersessions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azreviewsearch*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AI Search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arb-documents index; RAG retrieval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azreviewkeyvault*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 Key Vault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Secrets: API keys, connection strings, OpenAI credentials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azreview-appinsights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Application Insights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Telemetry; linked to Function App</w:t>
            </w:r>
          </w:p>
        </w:tc>
      </w:tr>
      <w:tr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Azure-ARB-Agent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Foundry Agent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566"/>
                <w:sz w:val="20"/>
                <w:szCs w:val="20"/>
              </w:rPr>
              <w:t xml:space="preserve">Agent definition with system prompt; chat model orchestration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Appendix B — References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This review draws on official cloud-architecture frameworks and the Azure Review Board project repository.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Microsoft Azure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Azure Well-Architected Framework — five-pillar foundation (Reliability, Security, Cost Optimization, Operational Excellence, Performance Efficiency).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Microsoft Cloud Adoption Framework (CAF) — strategy through manage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Azure Landing Zones (ALZ) — enterprise-scale governance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Azure Static Web Apps service documentation — Standard plan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Azure Functions Flex Consumption plan — pricing, scale, instance memory.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Amazon Web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AWS Well-Architected Framework — six-pillar model (Reliability, Security, Cost, OpEx, Performance, Sustainability).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Google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Google Cloud Architecture Framework — system design, reliability, security, cost, performance, operational excellence.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Project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Source: https://github.com/upendra25312/AzureCheckLists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>Production deployment: https://jolly-sea-014792b10.6.azurestaticapps.net/</w:t>
      </w:r>
    </w:p>
    <w:p>
      <w:pPr>
        <w:spacing w:after="120" w:before="0"/>
      </w:pPr>
      <w:r>
        <w:rPr>
          <w:rFonts w:ascii="Calibri" w:cs="Calibri" w:eastAsia="Calibri" w:hAnsi="Calibri"/>
          <w:color w:val="445566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C8C"/>
          <w:sz w:val="22"/>
          <w:szCs w:val="22"/>
        </w:rPr>
        <w:t xml:space="preserve">End of Well-Architected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6" w:space="1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6B7C8C"/>
        <w:sz w:val="16"/>
        <w:szCs w:val="16"/>
      </w:rPr>
      <w:t xml:space="preserve">Cloud Architecture Office · April 2026</w:t>
    </w:r>
    <w:r>
      <w:rPr>
        <w:rFonts w:ascii="Calibri" w:cs="Calibri" w:eastAsia="Calibri" w:hAnsi="Calibri"/>
        <w:color w:val="6B7C8C"/>
        <w:sz w:val="16"/>
        <w:szCs w:val="16"/>
      </w:rPr>
      <w:t xml:space="preserve">	Page </w:t>
    </w:r>
    <w:r>
      <w:rPr>
        <w:rFonts w:ascii="Calibri" w:cs="Calibri" w:eastAsia="Calibri" w:hAnsi="Calibri"/>
        <w:color w:val="6B7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C8C"/>
        <w:sz w:val="16"/>
        <w:szCs w:val="16"/>
      </w:rPr>
      <w:t xml:space="preserve"> of </w:t>
    </w:r>
    <w:r>
      <w:rPr>
        <w:rFonts w:ascii="Calibri" w:cs="Calibri" w:eastAsia="Calibri" w:hAnsi="Calibri"/>
        <w:color w:val="6B7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/>
      </w:pBdr>
      <w:spacing w:after="80"/>
      <w:jc w:val="right"/>
    </w:pPr>
    <w:r>
      <w:rPr>
        <w:rFonts w:ascii="Calibri" w:cs="Calibri" w:eastAsia="Calibri" w:hAnsi="Calibri"/>
        <w:i/>
        <w:iCs/>
        <w:color w:val="6B7C8C"/>
        <w:sz w:val="18"/>
        <w:szCs w:val="18"/>
      </w:rPr>
      <w:t xml:space="preserve">Azure Review Board · Well-Architected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55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Review Board — Well-Architected Review</dc:title>
  <dc:creator>Cloud Architecture Office</dc:creator>
  <dc:description>WAF-aligned architecture and operational excellence assessment.</dc:description>
  <cp:lastModifiedBy>Un-named</cp:lastModifiedBy>
  <cp:revision>1</cp:revision>
  <dcterms:created xsi:type="dcterms:W3CDTF">2026-04-27T08:58:23.755Z</dcterms:created>
  <dcterms:modified xsi:type="dcterms:W3CDTF">2026-04-27T08:58:23.755Z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