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CBD"/>
          <w:sz w:val="48"/>
        </w:rPr>
        <w:t>Azure Landing Zone</w:t>
        <w:br/>
        <w:t>High Level Design</w:t>
      </w:r>
    </w:p>
    <w:p>
      <w:pPr>
        <w:jc w:val="center"/>
      </w:pPr>
      <w:r>
        <w:rPr>
          <w:b/>
          <w:sz w:val="32"/>
        </w:rPr>
        <w:t>Trust Bank</w:t>
        <w:br/>
        <w:t>London, United Kingdom</w:t>
      </w:r>
    </w:p>
    <w:p>
      <w:pPr>
        <w:jc w:val="center"/>
      </w:pPr>
      <w:r>
        <w:rPr>
          <w:sz w:val="26"/>
        </w:rPr>
        <w:t>Primary Region: UK South | Disaster Recovery Region: UK West</w:t>
      </w:r>
    </w:p>
    <w:p>
      <w:pPr>
        <w:jc w:val="center"/>
      </w:pPr>
      <w:r>
        <w:rPr>
          <w:i/>
        </w:rPr>
        <w:t>Version v5 | Assumption-based reference design aligned to CAF, WAF, and Azure Landing Zones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Client</w:t>
            </w:r>
          </w:p>
        </w:tc>
        <w:tc>
          <w:tcPr>
            <w:tcW w:type="dxa" w:w="5112"/>
          </w:tcPr>
          <w:p>
            <w:r>
              <w:t>Trust Bank</w:t>
            </w:r>
          </w:p>
        </w:tc>
      </w:tr>
      <w:tr>
        <w:tc>
          <w:tcPr>
            <w:tcW w:type="dxa" w:w="5112"/>
            <w:shd w:fill="D9EAF7"/>
          </w:tcPr>
          <w:p>
            <w:r>
              <w:t>Architecture pattern</w:t>
            </w:r>
          </w:p>
        </w:tc>
        <w:tc>
          <w:tcPr>
            <w:tcW w:type="dxa" w:w="5112"/>
          </w:tcPr>
          <w:p>
            <w:r>
              <w:t>Enterprise-scale landing zone with platform and application landing zones</w:t>
            </w:r>
          </w:p>
        </w:tc>
      </w:tr>
      <w:tr>
        <w:tc>
          <w:tcPr>
            <w:tcW w:type="dxa" w:w="5112"/>
            <w:shd w:fill="D9EAF7"/>
          </w:tcPr>
          <w:p>
            <w:r>
              <w:t>Deployment model</w:t>
            </w:r>
          </w:p>
        </w:tc>
        <w:tc>
          <w:tcPr>
            <w:tcW w:type="dxa" w:w="5112"/>
          </w:tcPr>
          <w:p>
            <w:r>
              <w:t>Hub-spoke with dual-region resiliency</w:t>
            </w:r>
          </w:p>
        </w:tc>
      </w:tr>
      <w:tr>
        <w:tc>
          <w:tcPr>
            <w:tcW w:type="dxa" w:w="5112"/>
            <w:shd w:fill="D9EAF7"/>
          </w:tcPr>
          <w:p>
            <w:r>
              <w:t>Implementation approach</w:t>
            </w:r>
          </w:p>
        </w:tc>
        <w:tc>
          <w:tcPr>
            <w:tcW w:type="dxa" w:w="5112"/>
          </w:tcPr>
          <w:p>
            <w:r>
              <w:t>Azure Landing Zones IaC Accelerator + Azure Verified Modules + GitHub</w:t>
            </w:r>
          </w:p>
        </w:tc>
      </w:tr>
      <w:tr>
        <w:tc>
          <w:tcPr>
            <w:tcW w:type="dxa" w:w="5112"/>
            <w:shd w:fill="D9EAF7"/>
          </w:tcPr>
          <w:p>
            <w:r>
              <w:t>Document purpose</w:t>
            </w:r>
          </w:p>
        </w:tc>
        <w:tc>
          <w:tcPr>
            <w:tcW w:type="dxa" w:w="5112"/>
          </w:tcPr>
          <w:p>
            <w:r>
              <w:t>High-level reference design for executive review and solution governance</w:t>
            </w:r>
          </w:p>
        </w:tc>
      </w:tr>
    </w:tbl>
    <w:p>
      <w:r>
        <w:br w:type="page"/>
      </w:r>
    </w:p>
    <w:p>
      <w:pPr>
        <w:pStyle w:val="Heading1"/>
      </w:pPr>
      <w:r>
        <w:t>1. Executive Summary</w:t>
      </w:r>
    </w:p>
    <w:p>
      <w:r>
        <w:t>This document defines a bank-grade Azure landing zone for Trust Bank using UK South as the primary region and UK West as the disaster recovery region. The design follows Microsoft Azure Landing Zones enterprise-scale guidance and aligns to the Cloud Adoption Framework and the Azure Well-Architected Framework.</w:t>
      </w:r>
    </w:p>
    <w:p>
      <w:r>
        <w:t>The target state separates platform landing zones from application landing zones. Shared services for identity integration, connectivity, security operations, monitoring, automation, key management, and policy enforcement are centralized in platform subscriptions. Business workloads are deployed into dedicated application subscriptions with inherited guardrails and region-aware resilience patterns.</w:t>
      </w:r>
    </w:p>
    <w:p>
      <w:r>
        <w:t>The design assumes regulated banking workloads, private-first connectivity, centralized inspection, strong policy enforcement, least-privilege access, and a tiered disaster recovery model. It favors infrastructure as code and continuous delivery over manual portal administration.</w:t>
      </w:r>
    </w:p>
    <w:p>
      <w:pPr>
        <w:pStyle w:val="Heading1"/>
      </w:pPr>
      <w:r>
        <w:t>2. Design Objectives</w:t>
      </w:r>
    </w:p>
    <w:p>
      <w:pPr>
        <w:pStyle w:val="ListBullet"/>
      </w:pPr>
      <w:r>
        <w:t>Provide a secure, scalable, repeatable Azure foundation for production and non-production banking workloads.</w:t>
      </w:r>
    </w:p>
    <w:p>
      <w:pPr>
        <w:pStyle w:val="ListBullet"/>
      </w:pPr>
      <w:r>
        <w:t>Meet UK data residency and operational resilience expectations through region selection, policy, and workload tiering.</w:t>
      </w:r>
    </w:p>
    <w:p>
      <w:pPr>
        <w:pStyle w:val="ListBullet"/>
      </w:pPr>
      <w:r>
        <w:t>Separate shared platform capabilities from application landing zones using enterprise-scale patterns.</w:t>
      </w:r>
    </w:p>
    <w:p>
      <w:pPr>
        <w:pStyle w:val="ListBullet"/>
      </w:pPr>
      <w:r>
        <w:t>Standardize governance with management groups, policy assignments, RBAC, and IaC-based deployment pipelines.</w:t>
      </w:r>
    </w:p>
    <w:p>
      <w:pPr>
        <w:pStyle w:val="ListBullet"/>
      </w:pPr>
      <w:r>
        <w:t>Support modern workloads, including private PaaS, container platforms, and data and AI services, without redesigning the landing zone model.</w:t>
      </w:r>
    </w:p>
    <w:p>
      <w:pPr>
        <w:pStyle w:val="Heading1"/>
      </w:pPr>
      <w:r>
        <w:t>3. Architecture Principles</w:t>
      </w:r>
    </w:p>
    <w:tbl>
      <w:tblPr>
        <w:tblStyle w:val="TableGrid"/>
        <w:tblW w:type="auto" w:w="0"/>
        <w:jc w:val="center"/>
        <w:tblLook w:firstColumn="1" w:firstRow="1" w:lastColumn="0" w:lastRow="0" w:noHBand="0" w:noVBand="1" w:val="04A0"/>
      </w:tblPr>
      <w:tblGrid>
        <w:gridCol w:w="5112"/>
        <w:gridCol w:w="5112"/>
      </w:tblGrid>
      <w:tr>
        <w:tc>
          <w:tcPr>
            <w:tcW w:type="dxa" w:w="5112"/>
            <w:shd w:fill="0F6CBD"/>
          </w:tcPr>
          <w:p>
            <w:r>
              <w:rPr>
                <w:b/>
                <w:color w:val="FFFFFF"/>
              </w:rPr>
              <w:t>Principle</w:t>
            </w:r>
          </w:p>
        </w:tc>
        <w:tc>
          <w:tcPr>
            <w:tcW w:type="dxa" w:w="5112"/>
            <w:shd w:fill="0F6CBD"/>
          </w:tcPr>
          <w:p>
            <w:r>
              <w:rPr>
                <w:b/>
                <w:color w:val="FFFFFF"/>
              </w:rPr>
              <w:t>Application</w:t>
            </w:r>
          </w:p>
        </w:tc>
      </w:tr>
      <w:tr>
        <w:tc>
          <w:tcPr>
            <w:tcW w:type="dxa" w:w="5112"/>
          </w:tcPr>
          <w:p>
            <w:r>
              <w:t>Platform first</w:t>
            </w:r>
          </w:p>
        </w:tc>
        <w:tc>
          <w:tcPr>
            <w:tcW w:type="dxa" w:w="5112"/>
          </w:tcPr>
          <w:p>
            <w:r>
              <w:t>Centralize identity, connectivity, management, and security services in platform subscriptions.</w:t>
            </w:r>
          </w:p>
        </w:tc>
      </w:tr>
      <w:tr>
        <w:tc>
          <w:tcPr>
            <w:tcW w:type="dxa" w:w="5112"/>
          </w:tcPr>
          <w:p>
            <w:r>
              <w:t>Policy driven</w:t>
            </w:r>
          </w:p>
        </w:tc>
        <w:tc>
          <w:tcPr>
            <w:tcW w:type="dxa" w:w="5112"/>
          </w:tcPr>
          <w:p>
            <w:r>
              <w:t>Use Azure Policy and management group inheritance to enforce baseline controls by default.</w:t>
            </w:r>
          </w:p>
        </w:tc>
      </w:tr>
      <w:tr>
        <w:tc>
          <w:tcPr>
            <w:tcW w:type="dxa" w:w="5112"/>
          </w:tcPr>
          <w:p>
            <w:r>
              <w:t>Private by default</w:t>
            </w:r>
          </w:p>
        </w:tc>
        <w:tc>
          <w:tcPr>
            <w:tcW w:type="dxa" w:w="5112"/>
          </w:tcPr>
          <w:p>
            <w:r>
              <w:t>Prefer private endpoints, private DNS, and controlled egress through inspected paths.</w:t>
            </w:r>
          </w:p>
        </w:tc>
      </w:tr>
      <w:tr>
        <w:tc>
          <w:tcPr>
            <w:tcW w:type="dxa" w:w="5112"/>
          </w:tcPr>
          <w:p>
            <w:r>
              <w:t>Least privilege</w:t>
            </w:r>
          </w:p>
        </w:tc>
        <w:tc>
          <w:tcPr>
            <w:tcW w:type="dxa" w:w="5112"/>
          </w:tcPr>
          <w:p>
            <w:r>
              <w:t>Use PIM-enabled role elevation, managed identities, and privileged access boundaries.</w:t>
            </w:r>
          </w:p>
        </w:tc>
      </w:tr>
      <w:tr>
        <w:tc>
          <w:tcPr>
            <w:tcW w:type="dxa" w:w="5112"/>
          </w:tcPr>
          <w:p>
            <w:r>
              <w:t>Resilience by tier</w:t>
            </w:r>
          </w:p>
        </w:tc>
        <w:tc>
          <w:tcPr>
            <w:tcW w:type="dxa" w:w="5112"/>
          </w:tcPr>
          <w:p>
            <w:r>
              <w:t>Apply zones, regions, backup, and replication patterns according to business RTO and RPO.</w:t>
            </w:r>
          </w:p>
        </w:tc>
      </w:tr>
      <w:tr>
        <w:tc>
          <w:tcPr>
            <w:tcW w:type="dxa" w:w="5112"/>
          </w:tcPr>
          <w:p>
            <w:r>
              <w:t>Everything as code</w:t>
            </w:r>
          </w:p>
        </w:tc>
        <w:tc>
          <w:tcPr>
            <w:tcW w:type="dxa" w:w="5112"/>
          </w:tcPr>
          <w:p>
            <w:r>
              <w:t>Deploy and update the platform using source control, CI/CD, and tested modules.</w:t>
            </w:r>
          </w:p>
        </w:tc>
      </w:tr>
    </w:tbl>
    <w:p>
      <w:pPr>
        <w:pStyle w:val="Heading1"/>
      </w:pPr>
      <w:r>
        <w:t>4. Key Assumptions</w:t>
      </w:r>
    </w:p>
    <w:tbl>
      <w:tblPr>
        <w:tblStyle w:val="TableGrid"/>
        <w:tblW w:type="auto" w:w="0"/>
        <w:jc w:val="center"/>
        <w:tblLook w:firstColumn="1" w:firstRow="1" w:lastColumn="0" w:lastRow="0" w:noHBand="0" w:noVBand="1" w:val="04A0"/>
      </w:tblPr>
      <w:tblGrid>
        <w:gridCol w:w="5112"/>
        <w:gridCol w:w="5112"/>
      </w:tblGrid>
      <w:tr>
        <w:tc>
          <w:tcPr>
            <w:tcW w:type="dxa" w:w="5112"/>
            <w:shd w:fill="0F6CBD"/>
          </w:tcPr>
          <w:p>
            <w:r>
              <w:rPr>
                <w:b/>
                <w:color w:val="FFFFFF"/>
              </w:rPr>
              <w:t>Area</w:t>
            </w:r>
          </w:p>
        </w:tc>
        <w:tc>
          <w:tcPr>
            <w:tcW w:type="dxa" w:w="5112"/>
            <w:shd w:fill="0F6CBD"/>
          </w:tcPr>
          <w:p>
            <w:r>
              <w:rPr>
                <w:b/>
                <w:color w:val="FFFFFF"/>
              </w:rPr>
              <w:t>Assumption</w:t>
            </w:r>
          </w:p>
        </w:tc>
      </w:tr>
      <w:tr>
        <w:tc>
          <w:tcPr>
            <w:tcW w:type="dxa" w:w="5112"/>
          </w:tcPr>
          <w:p>
            <w:r>
              <w:t>Tenant strategy</w:t>
            </w:r>
          </w:p>
        </w:tc>
        <w:tc>
          <w:tcPr>
            <w:tcW w:type="dxa" w:w="5112"/>
          </w:tcPr>
          <w:p>
            <w:r>
              <w:t>Single Microsoft Entra tenant for Trust Bank production estate.</w:t>
            </w:r>
          </w:p>
        </w:tc>
      </w:tr>
      <w:tr>
        <w:tc>
          <w:tcPr>
            <w:tcW w:type="dxa" w:w="5112"/>
          </w:tcPr>
          <w:p>
            <w:r>
              <w:t>Cloud model</w:t>
            </w:r>
          </w:p>
        </w:tc>
        <w:tc>
          <w:tcPr>
            <w:tcW w:type="dxa" w:w="5112"/>
          </w:tcPr>
          <w:p>
            <w:r>
              <w:t>Hub-spoke network topology with centralized shared services aligned to Azure Landing Zones.</w:t>
            </w:r>
          </w:p>
        </w:tc>
      </w:tr>
      <w:tr>
        <w:tc>
          <w:tcPr>
            <w:tcW w:type="dxa" w:w="5112"/>
          </w:tcPr>
          <w:p>
            <w:r>
              <w:t>Primary / DR regions</w:t>
            </w:r>
          </w:p>
        </w:tc>
        <w:tc>
          <w:tcPr>
            <w:tcW w:type="dxa" w:w="5112"/>
          </w:tcPr>
          <w:p>
            <w:r>
              <w:t>UK South as primary region, UK West as disaster recovery region.</w:t>
            </w:r>
          </w:p>
        </w:tc>
      </w:tr>
      <w:tr>
        <w:tc>
          <w:tcPr>
            <w:tcW w:type="dxa" w:w="5112"/>
          </w:tcPr>
          <w:p>
            <w:r>
              <w:t>Identity</w:t>
            </w:r>
          </w:p>
        </w:tc>
        <w:tc>
          <w:tcPr>
            <w:tcW w:type="dxa" w:w="5112"/>
          </w:tcPr>
          <w:p>
            <w:r>
              <w:t>Federated Microsoft Entra ID with PIM, Conditional Access, break-glass accounts, and centralized RBAC model.</w:t>
            </w:r>
          </w:p>
        </w:tc>
      </w:tr>
      <w:tr>
        <w:tc>
          <w:tcPr>
            <w:tcW w:type="dxa" w:w="5112"/>
          </w:tcPr>
          <w:p>
            <w:r>
              <w:t>Connectivity</w:t>
            </w:r>
          </w:p>
        </w:tc>
        <w:tc>
          <w:tcPr>
            <w:tcW w:type="dxa" w:w="5112"/>
          </w:tcPr>
          <w:p>
            <w:r>
              <w:t>Dual private connectivity to Azure with ExpressRoute as primary and IPSec VPN as tertiary backup path.</w:t>
            </w:r>
          </w:p>
        </w:tc>
      </w:tr>
      <w:tr>
        <w:tc>
          <w:tcPr>
            <w:tcW w:type="dxa" w:w="5112"/>
          </w:tcPr>
          <w:p>
            <w:r>
              <w:t>Inspection</w:t>
            </w:r>
          </w:p>
        </w:tc>
        <w:tc>
          <w:tcPr>
            <w:tcW w:type="dxa" w:w="5112"/>
          </w:tcPr>
          <w:p>
            <w:r>
              <w:t>Centralized Azure Firewall Premium in each regional hub. Internet egress is forced through the regional firewall.</w:t>
            </w:r>
          </w:p>
        </w:tc>
      </w:tr>
      <w:tr>
        <w:tc>
          <w:tcPr>
            <w:tcW w:type="dxa" w:w="5112"/>
          </w:tcPr>
          <w:p>
            <w:r>
              <w:t>DNS</w:t>
            </w:r>
          </w:p>
        </w:tc>
        <w:tc>
          <w:tcPr>
            <w:tcW w:type="dxa" w:w="5112"/>
          </w:tcPr>
          <w:p>
            <w:r>
              <w:t>Azure Private DNS Zones plus Azure DNS Private Resolver for hybrid name resolution.</w:t>
            </w:r>
          </w:p>
        </w:tc>
      </w:tr>
      <w:tr>
        <w:tc>
          <w:tcPr>
            <w:tcW w:type="dxa" w:w="5112"/>
          </w:tcPr>
          <w:p>
            <w:r>
              <w:t>Platform operations</w:t>
            </w:r>
          </w:p>
        </w:tc>
        <w:tc>
          <w:tcPr>
            <w:tcW w:type="dxa" w:w="5112"/>
          </w:tcPr>
          <w:p>
            <w:r>
              <w:t>Centralized management subscription with Azure Monitor, Log Analytics, Microsoft Sentinel, automation, backup vaults, and update management.</w:t>
            </w:r>
          </w:p>
        </w:tc>
      </w:tr>
      <w:tr>
        <w:tc>
          <w:tcPr>
            <w:tcW w:type="dxa" w:w="5112"/>
          </w:tcPr>
          <w:p>
            <w:r>
              <w:t>Security</w:t>
            </w:r>
          </w:p>
        </w:tc>
        <w:tc>
          <w:tcPr>
            <w:tcW w:type="dxa" w:w="5112"/>
          </w:tcPr>
          <w:p>
            <w:r>
              <w:t>Microsoft Defender for Cloud enabled across subscriptions with regulatory and workload-specific policies.</w:t>
            </w:r>
          </w:p>
        </w:tc>
      </w:tr>
      <w:tr>
        <w:tc>
          <w:tcPr>
            <w:tcW w:type="dxa" w:w="5112"/>
          </w:tcPr>
          <w:p>
            <w:r>
              <w:t>Data residency</w:t>
            </w:r>
          </w:p>
        </w:tc>
        <w:tc>
          <w:tcPr>
            <w:tcW w:type="dxa" w:w="5112"/>
          </w:tcPr>
          <w:p>
            <w:r>
              <w:t>Primary banking data remains in UK geography unless a documented exception is approved.</w:t>
            </w:r>
          </w:p>
        </w:tc>
      </w:tr>
      <w:tr>
        <w:tc>
          <w:tcPr>
            <w:tcW w:type="dxa" w:w="5112"/>
          </w:tcPr>
          <w:p>
            <w:r>
              <w:t>DR strategy</w:t>
            </w:r>
          </w:p>
        </w:tc>
        <w:tc>
          <w:tcPr>
            <w:tcW w:type="dxa" w:w="5112"/>
          </w:tcPr>
          <w:p>
            <w:r>
              <w:t>Tiered resilience model. Tier 0 and Tier 1 workloads replicate to UK West. Tier 2 may use backup-only or regional restore patterns.</w:t>
            </w:r>
          </w:p>
        </w:tc>
      </w:tr>
      <w:tr>
        <w:tc>
          <w:tcPr>
            <w:tcW w:type="dxa" w:w="5112"/>
          </w:tcPr>
          <w:p>
            <w:r>
              <w:t>Implementation approach</w:t>
            </w:r>
          </w:p>
        </w:tc>
        <w:tc>
          <w:tcPr>
            <w:tcW w:type="dxa" w:w="5112"/>
          </w:tcPr>
          <w:p>
            <w:r>
              <w:t>Infrastructure as Code using Azure Landing Zones IaC Accelerator and Azure Verified Modules. GitHub is used for source control and pipeline orchestration.</w:t>
            </w:r>
          </w:p>
        </w:tc>
      </w:tr>
    </w:tbl>
    <w:p>
      <w:r>
        <w:br w:type="page"/>
      </w:r>
    </w:p>
    <w:p>
      <w:pPr>
        <w:pStyle w:val="Heading1"/>
      </w:pPr>
      <w:r>
        <w:t>5. High-Level Architecture</w:t>
      </w:r>
    </w:p>
    <w:p>
      <w:r>
        <w:t>The landing zone uses a dual-region hub-spoke architecture. UK South hosts the primary regional hub. UK West hosts the disaster recovery hub and recovery landing space. Shared connectivity and security services are deployed in both hubs. Production and non-production spokes attach to the primary hub by default, with recovery patterns extending into the DR region according to workload tier.</w:t>
      </w:r>
    </w:p>
    <w:p>
      <w:pPr>
        <w:pStyle w:val="ListBullet"/>
      </w:pPr>
      <w:r>
        <w:t>Platform subscriptions: Identity, Management, Connectivity-UKS, Connectivity-UKW, Security.</w:t>
      </w:r>
    </w:p>
    <w:p>
      <w:pPr>
        <w:pStyle w:val="ListBullet"/>
      </w:pPr>
      <w:r>
        <w:t>Application subscriptions: customer-facing banking, payments, shared services, and data and AI.</w:t>
      </w:r>
    </w:p>
    <w:p>
      <w:pPr>
        <w:pStyle w:val="ListBullet"/>
      </w:pPr>
      <w:r>
        <w:t>Connectivity: ExpressRoute as primary, VPN as backup, private DNS resolution, and forced egress through Azure Firewall Premium.</w:t>
      </w:r>
    </w:p>
    <w:p>
      <w:pPr>
        <w:pStyle w:val="ListBullet"/>
      </w:pPr>
      <w:r>
        <w:t>Operations: central logging, Defender for Cloud, Sentinel, automation runbooks, backup vaults, and recovery validation.</w:t>
      </w:r>
    </w:p>
    <w:p>
      <w:pPr>
        <w:pStyle w:val="Heading1"/>
      </w:pPr>
      <w:r>
        <w:t>6. Management Group and Subscription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6CBD"/>
          </w:tcPr>
          <w:p>
            <w:r>
              <w:rPr>
                <w:b/>
                <w:color w:val="FFFFFF"/>
              </w:rPr>
              <w:t>Management Group</w:t>
            </w:r>
          </w:p>
        </w:tc>
        <w:tc>
          <w:tcPr>
            <w:tcW w:type="dxa" w:w="3408"/>
            <w:shd w:fill="0F6CBD"/>
          </w:tcPr>
          <w:p>
            <w:r>
              <w:rPr>
                <w:b/>
                <w:color w:val="FFFFFF"/>
              </w:rPr>
              <w:t>Purpose</w:t>
            </w:r>
          </w:p>
        </w:tc>
        <w:tc>
          <w:tcPr>
            <w:tcW w:type="dxa" w:w="3408"/>
            <w:shd w:fill="0F6CBD"/>
          </w:tcPr>
          <w:p>
            <w:r>
              <w:rPr>
                <w:b/>
                <w:color w:val="FFFFFF"/>
              </w:rPr>
              <w:t>Typical controls</w:t>
            </w:r>
          </w:p>
        </w:tc>
      </w:tr>
      <w:tr>
        <w:tc>
          <w:tcPr>
            <w:tcW w:type="dxa" w:w="3408"/>
          </w:tcPr>
          <w:p>
            <w:r>
              <w:t>Tenant Root Group</w:t>
            </w:r>
          </w:p>
        </w:tc>
        <w:tc>
          <w:tcPr>
            <w:tcW w:type="dxa" w:w="3408"/>
          </w:tcPr>
          <w:p>
            <w:r>
              <w:t>Top-level governance boundary</w:t>
            </w:r>
          </w:p>
        </w:tc>
        <w:tc>
          <w:tcPr>
            <w:tcW w:type="dxa" w:w="3408"/>
          </w:tcPr>
          <w:p>
            <w:r>
              <w:t>Global policy, RBAC guardrails</w:t>
            </w:r>
          </w:p>
        </w:tc>
      </w:tr>
      <w:tr>
        <w:tc>
          <w:tcPr>
            <w:tcW w:type="dxa" w:w="3408"/>
          </w:tcPr>
          <w:p>
            <w:r>
              <w:t>Platform</w:t>
            </w:r>
          </w:p>
        </w:tc>
        <w:tc>
          <w:tcPr>
            <w:tcW w:type="dxa" w:w="3408"/>
          </w:tcPr>
          <w:p>
            <w:r>
              <w:t>Shared platform services</w:t>
            </w:r>
          </w:p>
        </w:tc>
        <w:tc>
          <w:tcPr>
            <w:tcW w:type="dxa" w:w="3408"/>
          </w:tcPr>
          <w:p>
            <w:r>
              <w:t>Identity, management, connectivity, security</w:t>
            </w:r>
          </w:p>
        </w:tc>
      </w:tr>
      <w:tr>
        <w:tc>
          <w:tcPr>
            <w:tcW w:type="dxa" w:w="3408"/>
          </w:tcPr>
          <w:p>
            <w:r>
              <w:t>Landing Zones</w:t>
            </w:r>
          </w:p>
        </w:tc>
        <w:tc>
          <w:tcPr>
            <w:tcW w:type="dxa" w:w="3408"/>
          </w:tcPr>
          <w:p>
            <w:r>
              <w:t>Application landing zones</w:t>
            </w:r>
          </w:p>
        </w:tc>
        <w:tc>
          <w:tcPr>
            <w:tcW w:type="dxa" w:w="3408"/>
          </w:tcPr>
          <w:p>
            <w:r>
              <w:t>Production and non-production workload subscriptions</w:t>
            </w:r>
          </w:p>
        </w:tc>
      </w:tr>
      <w:tr>
        <w:tc>
          <w:tcPr>
            <w:tcW w:type="dxa" w:w="3408"/>
          </w:tcPr>
          <w:p>
            <w:r>
              <w:t>Corp</w:t>
            </w:r>
          </w:p>
        </w:tc>
        <w:tc>
          <w:tcPr>
            <w:tcW w:type="dxa" w:w="3408"/>
          </w:tcPr>
          <w:p>
            <w:r>
              <w:t>Corporate shared business services</w:t>
            </w:r>
          </w:p>
        </w:tc>
        <w:tc>
          <w:tcPr>
            <w:tcW w:type="dxa" w:w="3408"/>
          </w:tcPr>
          <w:p>
            <w:r>
              <w:t>Shared line-of-business services</w:t>
            </w:r>
          </w:p>
        </w:tc>
      </w:tr>
      <w:tr>
        <w:tc>
          <w:tcPr>
            <w:tcW w:type="dxa" w:w="3408"/>
          </w:tcPr>
          <w:p>
            <w:r>
              <w:t>Online</w:t>
            </w:r>
          </w:p>
        </w:tc>
        <w:tc>
          <w:tcPr>
            <w:tcW w:type="dxa" w:w="3408"/>
          </w:tcPr>
          <w:p>
            <w:r>
              <w:t>Digital banking and customer-facing estates</w:t>
            </w:r>
          </w:p>
        </w:tc>
        <w:tc>
          <w:tcPr>
            <w:tcW w:type="dxa" w:w="3408"/>
          </w:tcPr>
          <w:p>
            <w:r>
              <w:t>Internet-facing workloads</w:t>
            </w:r>
          </w:p>
        </w:tc>
      </w:tr>
      <w:tr>
        <w:tc>
          <w:tcPr>
            <w:tcW w:type="dxa" w:w="3408"/>
          </w:tcPr>
          <w:p>
            <w:r>
              <w:t>Sandbox</w:t>
            </w:r>
          </w:p>
        </w:tc>
        <w:tc>
          <w:tcPr>
            <w:tcW w:type="dxa" w:w="3408"/>
          </w:tcPr>
          <w:p>
            <w:r>
              <w:t>Experimentation and limited-scope development</w:t>
            </w:r>
          </w:p>
        </w:tc>
        <w:tc>
          <w:tcPr>
            <w:tcW w:type="dxa" w:w="3408"/>
          </w:tcPr>
          <w:p>
            <w:r>
              <w:t>Tighter quotas and cost controls</w:t>
            </w:r>
          </w:p>
        </w:tc>
      </w:tr>
      <w:tr>
        <w:tc>
          <w:tcPr>
            <w:tcW w:type="dxa" w:w="3408"/>
          </w:tcPr>
          <w:p>
            <w:r>
              <w:t>Decommissioned</w:t>
            </w:r>
          </w:p>
        </w:tc>
        <w:tc>
          <w:tcPr>
            <w:tcW w:type="dxa" w:w="3408"/>
          </w:tcPr>
          <w:p>
            <w:r>
              <w:t>Retired subscriptions</w:t>
            </w:r>
          </w:p>
        </w:tc>
        <w:tc>
          <w:tcPr>
            <w:tcW w:type="dxa" w:w="3408"/>
          </w:tcPr>
          <w:p>
            <w:r>
              <w:t>Read-only retention and cleanup</w:t>
            </w:r>
          </w:p>
        </w:tc>
      </w:tr>
    </w:tbl>
    <w:p>
      <w:r>
        <w:t>Assumed platform and application subscriptions are summarized below.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Subscription</w:t>
            </w:r>
          </w:p>
        </w:tc>
        <w:tc>
          <w:tcPr>
            <w:tcW w:type="dxa" w:w="3408"/>
            <w:shd w:fill="D9EAF7"/>
          </w:tcPr>
          <w:p>
            <w:r>
              <w:t>Type</w:t>
            </w:r>
          </w:p>
        </w:tc>
        <w:tc>
          <w:tcPr>
            <w:tcW w:type="dxa" w:w="3408"/>
            <w:shd w:fill="D9EAF7"/>
          </w:tcPr>
          <w:p>
            <w:r>
              <w:t>Purpose</w:t>
            </w:r>
          </w:p>
        </w:tc>
      </w:tr>
      <w:tr>
        <w:tc>
          <w:tcPr>
            <w:tcW w:type="dxa" w:w="3408"/>
          </w:tcPr>
          <w:p>
            <w:r>
              <w:t>Platform-Identity-Prod</w:t>
            </w:r>
          </w:p>
        </w:tc>
        <w:tc>
          <w:tcPr>
            <w:tcW w:type="dxa" w:w="3408"/>
          </w:tcPr>
          <w:p>
            <w:r>
              <w:t>Identity</w:t>
            </w:r>
          </w:p>
        </w:tc>
        <w:tc>
          <w:tcPr>
            <w:tcW w:type="dxa" w:w="3408"/>
          </w:tcPr>
          <w:p>
            <w:r>
              <w:t>Shared identity integration, domain services if needed, Entra-related platform items</w:t>
            </w:r>
          </w:p>
        </w:tc>
      </w:tr>
      <w:tr>
        <w:tc>
          <w:tcPr>
            <w:tcW w:type="dxa" w:w="3408"/>
          </w:tcPr>
          <w:p>
            <w:r>
              <w:t>Platform-Management-Prod</w:t>
            </w:r>
          </w:p>
        </w:tc>
        <w:tc>
          <w:tcPr>
            <w:tcW w:type="dxa" w:w="3408"/>
          </w:tcPr>
          <w:p>
            <w:r>
              <w:t>Management</w:t>
            </w:r>
          </w:p>
        </w:tc>
        <w:tc>
          <w:tcPr>
            <w:tcW w:type="dxa" w:w="3408"/>
          </w:tcPr>
          <w:p>
            <w:r>
              <w:t>Monitoring, Sentinel, automation, backup, update services</w:t>
            </w:r>
          </w:p>
        </w:tc>
      </w:tr>
      <w:tr>
        <w:tc>
          <w:tcPr>
            <w:tcW w:type="dxa" w:w="3408"/>
          </w:tcPr>
          <w:p>
            <w:r>
              <w:t>Platform-Connectivity-UKS</w:t>
            </w:r>
          </w:p>
        </w:tc>
        <w:tc>
          <w:tcPr>
            <w:tcW w:type="dxa" w:w="3408"/>
          </w:tcPr>
          <w:p>
            <w:r>
              <w:t>Connectivity</w:t>
            </w:r>
          </w:p>
        </w:tc>
        <w:tc>
          <w:tcPr>
            <w:tcW w:type="dxa" w:w="3408"/>
          </w:tcPr>
          <w:p>
            <w:r>
              <w:t>Primary hub network, ER/VPN gateways, firewall, Bastion, DNS</w:t>
            </w:r>
          </w:p>
        </w:tc>
      </w:tr>
      <w:tr>
        <w:tc>
          <w:tcPr>
            <w:tcW w:type="dxa" w:w="3408"/>
          </w:tcPr>
          <w:p>
            <w:r>
              <w:t>Platform-Connectivity-UKW</w:t>
            </w:r>
          </w:p>
        </w:tc>
        <w:tc>
          <w:tcPr>
            <w:tcW w:type="dxa" w:w="3408"/>
          </w:tcPr>
          <w:p>
            <w:r>
              <w:t>Connectivity</w:t>
            </w:r>
          </w:p>
        </w:tc>
        <w:tc>
          <w:tcPr>
            <w:tcW w:type="dxa" w:w="3408"/>
          </w:tcPr>
          <w:p>
            <w:r>
              <w:t>DR hub network, VPN gateway, firewall, DNS, restore path</w:t>
            </w:r>
          </w:p>
        </w:tc>
      </w:tr>
      <w:tr>
        <w:tc>
          <w:tcPr>
            <w:tcW w:type="dxa" w:w="3408"/>
          </w:tcPr>
          <w:p>
            <w:r>
              <w:t>Platform-Security-Prod</w:t>
            </w:r>
          </w:p>
        </w:tc>
        <w:tc>
          <w:tcPr>
            <w:tcW w:type="dxa" w:w="3408"/>
          </w:tcPr>
          <w:p>
            <w:r>
              <w:t>Security</w:t>
            </w:r>
          </w:p>
        </w:tc>
        <w:tc>
          <w:tcPr>
            <w:tcW w:type="dxa" w:w="3408"/>
          </w:tcPr>
          <w:p>
            <w:r>
              <w:t>Key management, privileged access support tooling, security shared services</w:t>
            </w:r>
          </w:p>
        </w:tc>
      </w:tr>
      <w:tr>
        <w:tc>
          <w:tcPr>
            <w:tcW w:type="dxa" w:w="3408"/>
          </w:tcPr>
          <w:p>
            <w:r>
              <w:t>Corp-SharedServices-Prod</w:t>
            </w:r>
          </w:p>
        </w:tc>
        <w:tc>
          <w:tcPr>
            <w:tcW w:type="dxa" w:w="3408"/>
          </w:tcPr>
          <w:p>
            <w:r>
              <w:t>Landing Zone</w:t>
            </w:r>
          </w:p>
        </w:tc>
        <w:tc>
          <w:tcPr>
            <w:tcW w:type="dxa" w:w="3408"/>
          </w:tcPr>
          <w:p>
            <w:r>
              <w:t>Core shared services and middleware</w:t>
            </w:r>
          </w:p>
        </w:tc>
      </w:tr>
      <w:tr>
        <w:tc>
          <w:tcPr>
            <w:tcW w:type="dxa" w:w="3408"/>
          </w:tcPr>
          <w:p>
            <w:r>
              <w:t>Online-Banking-Prod</w:t>
            </w:r>
          </w:p>
        </w:tc>
        <w:tc>
          <w:tcPr>
            <w:tcW w:type="dxa" w:w="3408"/>
          </w:tcPr>
          <w:p>
            <w:r>
              <w:t>Landing Zone</w:t>
            </w:r>
          </w:p>
        </w:tc>
        <w:tc>
          <w:tcPr>
            <w:tcW w:type="dxa" w:w="3408"/>
          </w:tcPr>
          <w:p>
            <w:r>
              <w:t>Customer-facing banking applications</w:t>
            </w:r>
          </w:p>
        </w:tc>
      </w:tr>
      <w:tr>
        <w:tc>
          <w:tcPr>
            <w:tcW w:type="dxa" w:w="3408"/>
          </w:tcPr>
          <w:p>
            <w:r>
              <w:t>Online-Payments-Prod</w:t>
            </w:r>
          </w:p>
        </w:tc>
        <w:tc>
          <w:tcPr>
            <w:tcW w:type="dxa" w:w="3408"/>
          </w:tcPr>
          <w:p>
            <w:r>
              <w:t>Landing Zone</w:t>
            </w:r>
          </w:p>
        </w:tc>
        <w:tc>
          <w:tcPr>
            <w:tcW w:type="dxa" w:w="3408"/>
          </w:tcPr>
          <w:p>
            <w:r>
              <w:t>Payments workloads</w:t>
            </w:r>
          </w:p>
        </w:tc>
      </w:tr>
      <w:tr>
        <w:tc>
          <w:tcPr>
            <w:tcW w:type="dxa" w:w="3408"/>
          </w:tcPr>
          <w:p>
            <w:r>
              <w:t>Online-DataAI-Prod</w:t>
            </w:r>
          </w:p>
        </w:tc>
        <w:tc>
          <w:tcPr>
            <w:tcW w:type="dxa" w:w="3408"/>
          </w:tcPr>
          <w:p>
            <w:r>
              <w:t>Landing Zone</w:t>
            </w:r>
          </w:p>
        </w:tc>
        <w:tc>
          <w:tcPr>
            <w:tcW w:type="dxa" w:w="3408"/>
          </w:tcPr>
          <w:p>
            <w:r>
              <w:t>Data platform, AI/ML workloads, private endpoints</w:t>
            </w:r>
          </w:p>
        </w:tc>
      </w:tr>
      <w:tr>
        <w:tc>
          <w:tcPr>
            <w:tcW w:type="dxa" w:w="3408"/>
          </w:tcPr>
          <w:p>
            <w:r>
              <w:t>Corp-SharedServices-NonProd</w:t>
            </w:r>
          </w:p>
        </w:tc>
        <w:tc>
          <w:tcPr>
            <w:tcW w:type="dxa" w:w="3408"/>
          </w:tcPr>
          <w:p>
            <w:r>
              <w:t>Landing Zone</w:t>
            </w:r>
          </w:p>
        </w:tc>
        <w:tc>
          <w:tcPr>
            <w:tcW w:type="dxa" w:w="3408"/>
          </w:tcPr>
          <w:p>
            <w:r>
              <w:t>Non-production shared services</w:t>
            </w:r>
          </w:p>
        </w:tc>
      </w:tr>
      <w:tr>
        <w:tc>
          <w:tcPr>
            <w:tcW w:type="dxa" w:w="3408"/>
          </w:tcPr>
          <w:p>
            <w:r>
              <w:t>Online-Banking-NonProd</w:t>
            </w:r>
          </w:p>
        </w:tc>
        <w:tc>
          <w:tcPr>
            <w:tcW w:type="dxa" w:w="3408"/>
          </w:tcPr>
          <w:p>
            <w:r>
              <w:t>Landing Zone</w:t>
            </w:r>
          </w:p>
        </w:tc>
        <w:tc>
          <w:tcPr>
            <w:tcW w:type="dxa" w:w="3408"/>
          </w:tcPr>
          <w:p>
            <w:r>
              <w:t>Non-production digital banking</w:t>
            </w:r>
          </w:p>
        </w:tc>
      </w:tr>
      <w:tr>
        <w:tc>
          <w:tcPr>
            <w:tcW w:type="dxa" w:w="3408"/>
          </w:tcPr>
          <w:p>
            <w:r>
              <w:t>Online-DataAI-NonProd</w:t>
            </w:r>
          </w:p>
        </w:tc>
        <w:tc>
          <w:tcPr>
            <w:tcW w:type="dxa" w:w="3408"/>
          </w:tcPr>
          <w:p>
            <w:r>
              <w:t>Landing Zone</w:t>
            </w:r>
          </w:p>
        </w:tc>
        <w:tc>
          <w:tcPr>
            <w:tcW w:type="dxa" w:w="3408"/>
          </w:tcPr>
          <w:p>
            <w:r>
              <w:t>Non-production data and AI</w:t>
            </w:r>
          </w:p>
        </w:tc>
      </w:tr>
      <w:tr>
        <w:tc>
          <w:tcPr>
            <w:tcW w:type="dxa" w:w="3408"/>
          </w:tcPr>
          <w:p>
            <w:r>
              <w:t>Sandbox</w:t>
            </w:r>
          </w:p>
        </w:tc>
        <w:tc>
          <w:tcPr>
            <w:tcW w:type="dxa" w:w="3408"/>
          </w:tcPr>
          <w:p>
            <w:r>
              <w:t>Sandbox</w:t>
            </w:r>
          </w:p>
        </w:tc>
        <w:tc>
          <w:tcPr>
            <w:tcW w:type="dxa" w:w="3408"/>
          </w:tcPr>
          <w:p>
            <w:r>
              <w:t>Innovation and controlled experiments</w:t>
            </w:r>
          </w:p>
        </w:tc>
      </w:tr>
    </w:tbl>
    <w:p>
      <w:r>
        <w:br w:type="page"/>
      </w:r>
    </w:p>
    <w:p>
      <w:pPr>
        <w:pStyle w:val="Heading1"/>
      </w:pPr>
      <w:r>
        <w:t>7. Network Topology and Regional Design</w:t>
      </w:r>
    </w:p>
    <w:p>
      <w:r>
        <w:t>The network model follows Azure Landing Zones connectivity guidance with regional hubs, spoke isolation, centralized inspection, and private service consumption.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0F6CBD"/>
          </w:tcPr>
          <w:p>
            <w:r>
              <w:rPr>
                <w:b/>
                <w:color w:val="FFFFFF"/>
              </w:rPr>
              <w:t>VNet</w:t>
            </w:r>
          </w:p>
        </w:tc>
        <w:tc>
          <w:tcPr>
            <w:tcW w:type="dxa" w:w="2556"/>
            <w:shd w:fill="0F6CBD"/>
          </w:tcPr>
          <w:p>
            <w:r>
              <w:rPr>
                <w:b/>
                <w:color w:val="FFFFFF"/>
              </w:rPr>
              <w:t>Region</w:t>
            </w:r>
          </w:p>
        </w:tc>
        <w:tc>
          <w:tcPr>
            <w:tcW w:type="dxa" w:w="2556"/>
            <w:shd w:fill="0F6CBD"/>
          </w:tcPr>
          <w:p>
            <w:r>
              <w:rPr>
                <w:b/>
                <w:color w:val="FFFFFF"/>
              </w:rPr>
              <w:t>CIDR</w:t>
            </w:r>
          </w:p>
        </w:tc>
        <w:tc>
          <w:tcPr>
            <w:tcW w:type="dxa" w:w="2556"/>
            <w:shd w:fill="0F6CBD"/>
          </w:tcPr>
          <w:p>
            <w:r>
              <w:rPr>
                <w:b/>
                <w:color w:val="FFFFFF"/>
              </w:rPr>
              <w:t>Purpose</w:t>
            </w:r>
          </w:p>
        </w:tc>
      </w:tr>
      <w:tr>
        <w:tc>
          <w:tcPr>
            <w:tcW w:type="dxa" w:w="2556"/>
          </w:tcPr>
          <w:p>
            <w:r>
              <w:t>UKS-Hub-VNet</w:t>
            </w:r>
          </w:p>
        </w:tc>
        <w:tc>
          <w:tcPr>
            <w:tcW w:type="dxa" w:w="2556"/>
          </w:tcPr>
          <w:p>
            <w:r>
              <w:t>UK South</w:t>
            </w:r>
          </w:p>
        </w:tc>
        <w:tc>
          <w:tcPr>
            <w:tcW w:type="dxa" w:w="2556"/>
          </w:tcPr>
          <w:p>
            <w:r>
              <w:t>10.100.0.0/20</w:t>
            </w:r>
          </w:p>
        </w:tc>
        <w:tc>
          <w:tcPr>
            <w:tcW w:type="dxa" w:w="2556"/>
          </w:tcPr>
          <w:p>
            <w:r>
              <w:t>Primary regional hub</w:t>
            </w:r>
          </w:p>
        </w:tc>
      </w:tr>
      <w:tr>
        <w:tc>
          <w:tcPr>
            <w:tcW w:type="dxa" w:w="2556"/>
          </w:tcPr>
          <w:p>
            <w:r>
              <w:t>UKW-Hub-VNet</w:t>
            </w:r>
          </w:p>
        </w:tc>
        <w:tc>
          <w:tcPr>
            <w:tcW w:type="dxa" w:w="2556"/>
          </w:tcPr>
          <w:p>
            <w:r>
              <w:t>UK West</w:t>
            </w:r>
          </w:p>
        </w:tc>
        <w:tc>
          <w:tcPr>
            <w:tcW w:type="dxa" w:w="2556"/>
          </w:tcPr>
          <w:p>
            <w:r>
              <w:t>10.100.16.0/20</w:t>
            </w:r>
          </w:p>
        </w:tc>
        <w:tc>
          <w:tcPr>
            <w:tcW w:type="dxa" w:w="2556"/>
          </w:tcPr>
          <w:p>
            <w:r>
              <w:t>DR regional hub</w:t>
            </w:r>
          </w:p>
        </w:tc>
      </w:tr>
      <w:tr>
        <w:tc>
          <w:tcPr>
            <w:tcW w:type="dxa" w:w="2556"/>
          </w:tcPr>
          <w:p>
            <w:r>
              <w:t>Corp-SharedServices-Prod</w:t>
            </w:r>
          </w:p>
        </w:tc>
        <w:tc>
          <w:tcPr>
            <w:tcW w:type="dxa" w:w="2556"/>
          </w:tcPr>
          <w:p>
            <w:r>
              <w:t>UK South</w:t>
            </w:r>
          </w:p>
        </w:tc>
        <w:tc>
          <w:tcPr>
            <w:tcW w:type="dxa" w:w="2556"/>
          </w:tcPr>
          <w:p>
            <w:r>
              <w:t>10.101.0.0/20</w:t>
            </w:r>
          </w:p>
        </w:tc>
        <w:tc>
          <w:tcPr>
            <w:tcW w:type="dxa" w:w="2556"/>
          </w:tcPr>
          <w:p>
            <w:r>
              <w:t>Shared services spoke</w:t>
            </w:r>
          </w:p>
        </w:tc>
      </w:tr>
      <w:tr>
        <w:tc>
          <w:tcPr>
            <w:tcW w:type="dxa" w:w="2556"/>
          </w:tcPr>
          <w:p>
            <w:r>
              <w:t>Online-Banking-Prod</w:t>
            </w:r>
          </w:p>
        </w:tc>
        <w:tc>
          <w:tcPr>
            <w:tcW w:type="dxa" w:w="2556"/>
          </w:tcPr>
          <w:p>
            <w:r>
              <w:t>UK South</w:t>
            </w:r>
          </w:p>
        </w:tc>
        <w:tc>
          <w:tcPr>
            <w:tcW w:type="dxa" w:w="2556"/>
          </w:tcPr>
          <w:p>
            <w:r>
              <w:t>10.101.16.0/20</w:t>
            </w:r>
          </w:p>
        </w:tc>
        <w:tc>
          <w:tcPr>
            <w:tcW w:type="dxa" w:w="2556"/>
          </w:tcPr>
          <w:p>
            <w:r>
              <w:t>Digital banking prod spoke</w:t>
            </w:r>
          </w:p>
        </w:tc>
      </w:tr>
      <w:tr>
        <w:tc>
          <w:tcPr>
            <w:tcW w:type="dxa" w:w="2556"/>
          </w:tcPr>
          <w:p>
            <w:r>
              <w:t>Online-Payments-Prod</w:t>
            </w:r>
          </w:p>
        </w:tc>
        <w:tc>
          <w:tcPr>
            <w:tcW w:type="dxa" w:w="2556"/>
          </w:tcPr>
          <w:p>
            <w:r>
              <w:t>UK South</w:t>
            </w:r>
          </w:p>
        </w:tc>
        <w:tc>
          <w:tcPr>
            <w:tcW w:type="dxa" w:w="2556"/>
          </w:tcPr>
          <w:p>
            <w:r>
              <w:t>10.101.32.0/20</w:t>
            </w:r>
          </w:p>
        </w:tc>
        <w:tc>
          <w:tcPr>
            <w:tcW w:type="dxa" w:w="2556"/>
          </w:tcPr>
          <w:p>
            <w:r>
              <w:t>Payments prod spoke</w:t>
            </w:r>
          </w:p>
        </w:tc>
      </w:tr>
      <w:tr>
        <w:tc>
          <w:tcPr>
            <w:tcW w:type="dxa" w:w="2556"/>
          </w:tcPr>
          <w:p>
            <w:r>
              <w:t>Online-DataAI-Prod</w:t>
            </w:r>
          </w:p>
        </w:tc>
        <w:tc>
          <w:tcPr>
            <w:tcW w:type="dxa" w:w="2556"/>
          </w:tcPr>
          <w:p>
            <w:r>
              <w:t>UK South</w:t>
            </w:r>
          </w:p>
        </w:tc>
        <w:tc>
          <w:tcPr>
            <w:tcW w:type="dxa" w:w="2556"/>
          </w:tcPr>
          <w:p>
            <w:r>
              <w:t>10.101.48.0/20</w:t>
            </w:r>
          </w:p>
        </w:tc>
        <w:tc>
          <w:tcPr>
            <w:tcW w:type="dxa" w:w="2556"/>
          </w:tcPr>
          <w:p>
            <w:r>
              <w:t>Data and AI prod spoke</w:t>
            </w:r>
          </w:p>
        </w:tc>
      </w:tr>
      <w:tr>
        <w:tc>
          <w:tcPr>
            <w:tcW w:type="dxa" w:w="2556"/>
          </w:tcPr>
          <w:p>
            <w:r>
              <w:t>Corp-SharedServices-NonProd</w:t>
            </w:r>
          </w:p>
        </w:tc>
        <w:tc>
          <w:tcPr>
            <w:tcW w:type="dxa" w:w="2556"/>
          </w:tcPr>
          <w:p>
            <w:r>
              <w:t>UK South</w:t>
            </w:r>
          </w:p>
        </w:tc>
        <w:tc>
          <w:tcPr>
            <w:tcW w:type="dxa" w:w="2556"/>
          </w:tcPr>
          <w:p>
            <w:r>
              <w:t>10.102.0.0/20</w:t>
            </w:r>
          </w:p>
        </w:tc>
        <w:tc>
          <w:tcPr>
            <w:tcW w:type="dxa" w:w="2556"/>
          </w:tcPr>
          <w:p>
            <w:r>
              <w:t>Shared services non-prod spoke</w:t>
            </w:r>
          </w:p>
        </w:tc>
      </w:tr>
      <w:tr>
        <w:tc>
          <w:tcPr>
            <w:tcW w:type="dxa" w:w="2556"/>
          </w:tcPr>
          <w:p>
            <w:r>
              <w:t>Online-Banking-NonProd</w:t>
            </w:r>
          </w:p>
        </w:tc>
        <w:tc>
          <w:tcPr>
            <w:tcW w:type="dxa" w:w="2556"/>
          </w:tcPr>
          <w:p>
            <w:r>
              <w:t>UK South</w:t>
            </w:r>
          </w:p>
        </w:tc>
        <w:tc>
          <w:tcPr>
            <w:tcW w:type="dxa" w:w="2556"/>
          </w:tcPr>
          <w:p>
            <w:r>
              <w:t>10.102.16.0/20</w:t>
            </w:r>
          </w:p>
        </w:tc>
        <w:tc>
          <w:tcPr>
            <w:tcW w:type="dxa" w:w="2556"/>
          </w:tcPr>
          <w:p>
            <w:r>
              <w:t>Digital banking non-prod spoke</w:t>
            </w:r>
          </w:p>
        </w:tc>
      </w:tr>
      <w:tr>
        <w:tc>
          <w:tcPr>
            <w:tcW w:type="dxa" w:w="2556"/>
          </w:tcPr>
          <w:p>
            <w:r>
              <w:t>Online-DataAI-NonProd</w:t>
            </w:r>
          </w:p>
        </w:tc>
        <w:tc>
          <w:tcPr>
            <w:tcW w:type="dxa" w:w="2556"/>
          </w:tcPr>
          <w:p>
            <w:r>
              <w:t>UK South</w:t>
            </w:r>
          </w:p>
        </w:tc>
        <w:tc>
          <w:tcPr>
            <w:tcW w:type="dxa" w:w="2556"/>
          </w:tcPr>
          <w:p>
            <w:r>
              <w:t>10.102.32.0/20</w:t>
            </w:r>
          </w:p>
        </w:tc>
        <w:tc>
          <w:tcPr>
            <w:tcW w:type="dxa" w:w="2556"/>
          </w:tcPr>
          <w:p>
            <w:r>
              <w:t>Data and AI non-prod spoke</w:t>
            </w:r>
          </w:p>
        </w:tc>
      </w:tr>
      <w:tr>
        <w:tc>
          <w:tcPr>
            <w:tcW w:type="dxa" w:w="2556"/>
          </w:tcPr>
          <w:p>
            <w:r>
              <w:t>DR-Spoke-Reserve</w:t>
            </w:r>
          </w:p>
        </w:tc>
        <w:tc>
          <w:tcPr>
            <w:tcW w:type="dxa" w:w="2556"/>
          </w:tcPr>
          <w:p>
            <w:r>
              <w:t>UK West</w:t>
            </w:r>
          </w:p>
        </w:tc>
        <w:tc>
          <w:tcPr>
            <w:tcW w:type="dxa" w:w="2556"/>
          </w:tcPr>
          <w:p>
            <w:r>
              <w:t>10.103.0.0/16</w:t>
            </w:r>
          </w:p>
        </w:tc>
        <w:tc>
          <w:tcPr>
            <w:tcW w:type="dxa" w:w="2556"/>
          </w:tcPr>
          <w:p>
            <w:r>
              <w:t>Reserved for failover / rebuild / warm standby</w:t>
            </w:r>
          </w:p>
        </w:tc>
      </w:tr>
    </w:tbl>
    <w:p>
      <w:r>
        <w:t>Standard subnet pattern assumed for hub and spoke VNets.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Subnet</w:t>
            </w:r>
          </w:p>
        </w:tc>
        <w:tc>
          <w:tcPr>
            <w:tcW w:type="dxa" w:w="3408"/>
            <w:shd w:fill="D9EAF7"/>
          </w:tcPr>
          <w:p>
            <w:r>
              <w:t>Size</w:t>
            </w:r>
          </w:p>
        </w:tc>
        <w:tc>
          <w:tcPr>
            <w:tcW w:type="dxa" w:w="3408"/>
            <w:shd w:fill="D9EAF7"/>
          </w:tcPr>
          <w:p>
            <w:r>
              <w:t>Use</w:t>
            </w:r>
          </w:p>
        </w:tc>
      </w:tr>
      <w:tr>
        <w:tc>
          <w:tcPr>
            <w:tcW w:type="dxa" w:w="3408"/>
          </w:tcPr>
          <w:p>
            <w:r>
              <w:t>AzureFirewallSubnet</w:t>
            </w:r>
          </w:p>
        </w:tc>
        <w:tc>
          <w:tcPr>
            <w:tcW w:type="dxa" w:w="3408"/>
          </w:tcPr>
          <w:p>
            <w:r>
              <w:t>/26</w:t>
            </w:r>
          </w:p>
        </w:tc>
        <w:tc>
          <w:tcPr>
            <w:tcW w:type="dxa" w:w="3408"/>
          </w:tcPr>
          <w:p>
            <w:r>
              <w:t>Regional Azure Firewall Premium</w:t>
            </w:r>
          </w:p>
        </w:tc>
      </w:tr>
      <w:tr>
        <w:tc>
          <w:tcPr>
            <w:tcW w:type="dxa" w:w="3408"/>
          </w:tcPr>
          <w:p>
            <w:r>
              <w:t>AzureFirewallManagementSubnet</w:t>
            </w:r>
          </w:p>
        </w:tc>
        <w:tc>
          <w:tcPr>
            <w:tcW w:type="dxa" w:w="3408"/>
          </w:tcPr>
          <w:p>
            <w:r>
              <w:t>/26</w:t>
            </w:r>
          </w:p>
        </w:tc>
        <w:tc>
          <w:tcPr>
            <w:tcW w:type="dxa" w:w="3408"/>
          </w:tcPr>
          <w:p>
            <w:r>
              <w:t>Firewall management plane</w:t>
            </w:r>
          </w:p>
        </w:tc>
      </w:tr>
      <w:tr>
        <w:tc>
          <w:tcPr>
            <w:tcW w:type="dxa" w:w="3408"/>
          </w:tcPr>
          <w:p>
            <w:r>
              <w:t>GatewaySubnet</w:t>
            </w:r>
          </w:p>
        </w:tc>
        <w:tc>
          <w:tcPr>
            <w:tcW w:type="dxa" w:w="3408"/>
          </w:tcPr>
          <w:p>
            <w:r>
              <w:t>/27</w:t>
            </w:r>
          </w:p>
        </w:tc>
        <w:tc>
          <w:tcPr>
            <w:tcW w:type="dxa" w:w="3408"/>
          </w:tcPr>
          <w:p>
            <w:r>
              <w:t>ExpressRoute / VPN gateway</w:t>
            </w:r>
          </w:p>
        </w:tc>
      </w:tr>
      <w:tr>
        <w:tc>
          <w:tcPr>
            <w:tcW w:type="dxa" w:w="3408"/>
          </w:tcPr>
          <w:p>
            <w:r>
              <w:t>AzureBastionSubnet</w:t>
            </w:r>
          </w:p>
        </w:tc>
        <w:tc>
          <w:tcPr>
            <w:tcW w:type="dxa" w:w="3408"/>
          </w:tcPr>
          <w:p>
            <w:r>
              <w:t>/26</w:t>
            </w:r>
          </w:p>
        </w:tc>
        <w:tc>
          <w:tcPr>
            <w:tcW w:type="dxa" w:w="3408"/>
          </w:tcPr>
          <w:p>
            <w:r>
              <w:t>Azure Bastion</w:t>
            </w:r>
          </w:p>
        </w:tc>
      </w:tr>
      <w:tr>
        <w:tc>
          <w:tcPr>
            <w:tcW w:type="dxa" w:w="3408"/>
          </w:tcPr>
          <w:p>
            <w:r>
              <w:t>PrivateResolverInbound</w:t>
            </w:r>
          </w:p>
        </w:tc>
        <w:tc>
          <w:tcPr>
            <w:tcW w:type="dxa" w:w="3408"/>
          </w:tcPr>
          <w:p>
            <w:r>
              <w:t>/28</w:t>
            </w:r>
          </w:p>
        </w:tc>
        <w:tc>
          <w:tcPr>
            <w:tcW w:type="dxa" w:w="3408"/>
          </w:tcPr>
          <w:p>
            <w:r>
              <w:t>DNS Private Resolver inbound endpoint</w:t>
            </w:r>
          </w:p>
        </w:tc>
      </w:tr>
      <w:tr>
        <w:tc>
          <w:tcPr>
            <w:tcW w:type="dxa" w:w="3408"/>
          </w:tcPr>
          <w:p>
            <w:r>
              <w:t>PrivateResolverOutbound</w:t>
            </w:r>
          </w:p>
        </w:tc>
        <w:tc>
          <w:tcPr>
            <w:tcW w:type="dxa" w:w="3408"/>
          </w:tcPr>
          <w:p>
            <w:r>
              <w:t>/28</w:t>
            </w:r>
          </w:p>
        </w:tc>
        <w:tc>
          <w:tcPr>
            <w:tcW w:type="dxa" w:w="3408"/>
          </w:tcPr>
          <w:p>
            <w:r>
              <w:t>DNS Private Resolver outbound endpoint</w:t>
            </w:r>
          </w:p>
        </w:tc>
      </w:tr>
      <w:tr>
        <w:tc>
          <w:tcPr>
            <w:tcW w:type="dxa" w:w="3408"/>
          </w:tcPr>
          <w:p>
            <w:r>
              <w:t>SharedServices</w:t>
            </w:r>
          </w:p>
        </w:tc>
        <w:tc>
          <w:tcPr>
            <w:tcW w:type="dxa" w:w="3408"/>
          </w:tcPr>
          <w:p>
            <w:r>
              <w:t>/24</w:t>
            </w:r>
          </w:p>
        </w:tc>
        <w:tc>
          <w:tcPr>
            <w:tcW w:type="dxa" w:w="3408"/>
          </w:tcPr>
          <w:p>
            <w:r>
              <w:t>Shared platform services</w:t>
            </w:r>
          </w:p>
        </w:tc>
      </w:tr>
      <w:tr>
        <w:tc>
          <w:tcPr>
            <w:tcW w:type="dxa" w:w="3408"/>
          </w:tcPr>
          <w:p>
            <w:r>
              <w:t>App</w:t>
            </w:r>
          </w:p>
        </w:tc>
        <w:tc>
          <w:tcPr>
            <w:tcW w:type="dxa" w:w="3408"/>
          </w:tcPr>
          <w:p>
            <w:r>
              <w:t>/24</w:t>
            </w:r>
          </w:p>
        </w:tc>
        <w:tc>
          <w:tcPr>
            <w:tcW w:type="dxa" w:w="3408"/>
          </w:tcPr>
          <w:p>
            <w:r>
              <w:t>Application tier</w:t>
            </w:r>
          </w:p>
        </w:tc>
      </w:tr>
      <w:tr>
        <w:tc>
          <w:tcPr>
            <w:tcW w:type="dxa" w:w="3408"/>
          </w:tcPr>
          <w:p>
            <w:r>
              <w:t>Data</w:t>
            </w:r>
          </w:p>
        </w:tc>
        <w:tc>
          <w:tcPr>
            <w:tcW w:type="dxa" w:w="3408"/>
          </w:tcPr>
          <w:p>
            <w:r>
              <w:t>/24</w:t>
            </w:r>
          </w:p>
        </w:tc>
        <w:tc>
          <w:tcPr>
            <w:tcW w:type="dxa" w:w="3408"/>
          </w:tcPr>
          <w:p>
            <w:r>
              <w:t>Data tier / managed instances</w:t>
            </w:r>
          </w:p>
        </w:tc>
      </w:tr>
      <w:tr>
        <w:tc>
          <w:tcPr>
            <w:tcW w:type="dxa" w:w="3408"/>
          </w:tcPr>
          <w:p>
            <w:r>
              <w:t>PrivateEndpoints</w:t>
            </w:r>
          </w:p>
        </w:tc>
        <w:tc>
          <w:tcPr>
            <w:tcW w:type="dxa" w:w="3408"/>
          </w:tcPr>
          <w:p>
            <w:r>
              <w:t>/24</w:t>
            </w:r>
          </w:p>
        </w:tc>
        <w:tc>
          <w:tcPr>
            <w:tcW w:type="dxa" w:w="3408"/>
          </w:tcPr>
          <w:p>
            <w:r>
              <w:t>Private endpoint landing subnet</w:t>
            </w:r>
          </w:p>
        </w:tc>
      </w:tr>
    </w:tbl>
    <w:p>
      <w:pPr>
        <w:pStyle w:val="Heading1"/>
      </w:pPr>
      <w:r>
        <w:t>8. Security Baseline</w:t>
      </w:r>
    </w:p>
    <w:tbl>
      <w:tblPr>
        <w:tblStyle w:val="TableGrid"/>
        <w:tblW w:type="auto" w:w="0"/>
        <w:jc w:val="center"/>
        <w:tblLook w:firstColumn="1" w:firstRow="1" w:lastColumn="0" w:lastRow="0" w:noHBand="0" w:noVBand="1" w:val="04A0"/>
      </w:tblPr>
      <w:tblGrid>
        <w:gridCol w:w="5112"/>
        <w:gridCol w:w="5112"/>
      </w:tblGrid>
      <w:tr>
        <w:tc>
          <w:tcPr>
            <w:tcW w:type="dxa" w:w="5112"/>
            <w:shd w:fill="0F6CBD"/>
          </w:tcPr>
          <w:p>
            <w:r>
              <w:rPr>
                <w:b/>
                <w:color w:val="FFFFFF"/>
              </w:rPr>
              <w:t>Control domain</w:t>
            </w:r>
          </w:p>
        </w:tc>
        <w:tc>
          <w:tcPr>
            <w:tcW w:type="dxa" w:w="5112"/>
            <w:shd w:fill="0F6CBD"/>
          </w:tcPr>
          <w:p>
            <w:r>
              <w:rPr>
                <w:b/>
                <w:color w:val="FFFFFF"/>
              </w:rPr>
              <w:t>Assumed baseline</w:t>
            </w:r>
          </w:p>
        </w:tc>
      </w:tr>
      <w:tr>
        <w:tc>
          <w:tcPr>
            <w:tcW w:type="dxa" w:w="5112"/>
          </w:tcPr>
          <w:p>
            <w:r>
              <w:t>Identity</w:t>
            </w:r>
          </w:p>
        </w:tc>
        <w:tc>
          <w:tcPr>
            <w:tcW w:type="dxa" w:w="5112"/>
          </w:tcPr>
          <w:p>
            <w:r>
              <w:t>Microsoft Entra ID, Conditional Access, PIM, MFA, break-glass accounts</w:t>
            </w:r>
          </w:p>
        </w:tc>
      </w:tr>
      <w:tr>
        <w:tc>
          <w:tcPr>
            <w:tcW w:type="dxa" w:w="5112"/>
          </w:tcPr>
          <w:p>
            <w:r>
              <w:t>Network</w:t>
            </w:r>
          </w:p>
        </w:tc>
        <w:tc>
          <w:tcPr>
            <w:tcW w:type="dxa" w:w="5112"/>
          </w:tcPr>
          <w:p>
            <w:r>
              <w:t>Azure Firewall Premium, NSG baseline, DDoS Network Protection, private endpoints, no direct RDP/SSH</w:t>
            </w:r>
          </w:p>
        </w:tc>
      </w:tr>
      <w:tr>
        <w:tc>
          <w:tcPr>
            <w:tcW w:type="dxa" w:w="5112"/>
          </w:tcPr>
          <w:p>
            <w:r>
              <w:t>Key Management</w:t>
            </w:r>
          </w:p>
        </w:tc>
        <w:tc>
          <w:tcPr>
            <w:tcW w:type="dxa" w:w="5112"/>
          </w:tcPr>
          <w:p>
            <w:r>
              <w:t>Azure Key Vault Premium and Managed HSM for high-value keys</w:t>
            </w:r>
          </w:p>
        </w:tc>
      </w:tr>
      <w:tr>
        <w:tc>
          <w:tcPr>
            <w:tcW w:type="dxa" w:w="5112"/>
          </w:tcPr>
          <w:p>
            <w:r>
              <w:t>Threat Protection</w:t>
            </w:r>
          </w:p>
        </w:tc>
        <w:tc>
          <w:tcPr>
            <w:tcW w:type="dxa" w:w="5112"/>
          </w:tcPr>
          <w:p>
            <w:r>
              <w:t>Defender for Cloud plans enabled for servers, PaaS, containers, SQL, storage</w:t>
            </w:r>
          </w:p>
        </w:tc>
      </w:tr>
      <w:tr>
        <w:tc>
          <w:tcPr>
            <w:tcW w:type="dxa" w:w="5112"/>
          </w:tcPr>
          <w:p>
            <w:r>
              <w:t>SOC / SIEM</w:t>
            </w:r>
          </w:p>
        </w:tc>
        <w:tc>
          <w:tcPr>
            <w:tcW w:type="dxa" w:w="5112"/>
          </w:tcPr>
          <w:p>
            <w:r>
              <w:t>Microsoft Sentinel with curated analytics, UEBA, playbooks, and bank-specific retention</w:t>
            </w:r>
          </w:p>
        </w:tc>
      </w:tr>
      <w:tr>
        <w:tc>
          <w:tcPr>
            <w:tcW w:type="dxa" w:w="5112"/>
          </w:tcPr>
          <w:p>
            <w:r>
              <w:t>Secrets</w:t>
            </w:r>
          </w:p>
        </w:tc>
        <w:tc>
          <w:tcPr>
            <w:tcW w:type="dxa" w:w="5112"/>
          </w:tcPr>
          <w:p>
            <w:r>
              <w:t>Managed identity first; secrets in Key Vault only</w:t>
            </w:r>
          </w:p>
        </w:tc>
      </w:tr>
      <w:tr>
        <w:tc>
          <w:tcPr>
            <w:tcW w:type="dxa" w:w="5112"/>
          </w:tcPr>
          <w:p>
            <w:r>
              <w:t>Data Controls</w:t>
            </w:r>
          </w:p>
        </w:tc>
        <w:tc>
          <w:tcPr>
            <w:tcW w:type="dxa" w:w="5112"/>
          </w:tcPr>
          <w:p>
            <w:r>
              <w:t>Private Link, CMK where required, Defender for Storage / SQL, Purview optional future state</w:t>
            </w:r>
          </w:p>
        </w:tc>
      </w:tr>
    </w:tbl>
    <w:p>
      <w:r>
        <w:br w:type="page"/>
      </w:r>
    </w:p>
    <w:p>
      <w:pPr>
        <w:pStyle w:val="Heading1"/>
      </w:pPr>
      <w:r>
        <w:t>9. Governance, Policy, and Operational Controls</w:t>
      </w:r>
    </w:p>
    <w:p>
      <w:r>
        <w:t>Baseline policy initiatives are inherited from management groups and adjusted by environment and workload class. Exception handling must be approved, time-bound, and tracked.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Policy initiative</w:t>
            </w:r>
          </w:p>
        </w:tc>
        <w:tc>
          <w:tcPr>
            <w:tcW w:type="dxa" w:w="5112"/>
            <w:shd w:fill="D9EAF7"/>
          </w:tcPr>
          <w:p>
            <w:r>
              <w:t>Intent</w:t>
            </w:r>
          </w:p>
        </w:tc>
      </w:tr>
      <w:tr>
        <w:tc>
          <w:tcPr>
            <w:tcW w:type="dxa" w:w="5112"/>
          </w:tcPr>
          <w:p>
            <w:r>
              <w:t>Deny-Public-PaaS</w:t>
            </w:r>
          </w:p>
        </w:tc>
        <w:tc>
          <w:tcPr>
            <w:tcW w:type="dxa" w:w="5112"/>
          </w:tcPr>
          <w:p>
            <w:r>
              <w:t>Deny public network access for selected PaaS services unless exception approved</w:t>
            </w:r>
          </w:p>
        </w:tc>
      </w:tr>
      <w:tr>
        <w:tc>
          <w:tcPr>
            <w:tcW w:type="dxa" w:w="5112"/>
          </w:tcPr>
          <w:p>
            <w:r>
              <w:t>Allowed-Regions-UK</w:t>
            </w:r>
          </w:p>
        </w:tc>
        <w:tc>
          <w:tcPr>
            <w:tcW w:type="dxa" w:w="5112"/>
          </w:tcPr>
          <w:p>
            <w:r>
              <w:t>Permit deployment only in approved UK regions for regulated workloads</w:t>
            </w:r>
          </w:p>
        </w:tc>
      </w:tr>
      <w:tr>
        <w:tc>
          <w:tcPr>
            <w:tcW w:type="dxa" w:w="5112"/>
          </w:tcPr>
          <w:p>
            <w:r>
              <w:t>Enforce-Diagnostics</w:t>
            </w:r>
          </w:p>
        </w:tc>
        <w:tc>
          <w:tcPr>
            <w:tcW w:type="dxa" w:w="5112"/>
          </w:tcPr>
          <w:p>
            <w:r>
              <w:t>Require diagnostic settings to Log Analytics / Event Hub / Storage where applicable</w:t>
            </w:r>
          </w:p>
        </w:tc>
      </w:tr>
      <w:tr>
        <w:tc>
          <w:tcPr>
            <w:tcW w:type="dxa" w:w="5112"/>
          </w:tcPr>
          <w:p>
            <w:r>
              <w:t>Enforce-Tagging</w:t>
            </w:r>
          </w:p>
        </w:tc>
        <w:tc>
          <w:tcPr>
            <w:tcW w:type="dxa" w:w="5112"/>
          </w:tcPr>
          <w:p>
            <w:r>
              <w:t>Cost center, data classification, owner, environment, application, criticality</w:t>
            </w:r>
          </w:p>
        </w:tc>
      </w:tr>
      <w:tr>
        <w:tc>
          <w:tcPr>
            <w:tcW w:type="dxa" w:w="5112"/>
          </w:tcPr>
          <w:p>
            <w:r>
              <w:t>Restrict-RBAC</w:t>
            </w:r>
          </w:p>
        </w:tc>
        <w:tc>
          <w:tcPr>
            <w:tcW w:type="dxa" w:w="5112"/>
          </w:tcPr>
          <w:p>
            <w:r>
              <w:t>Limit Owner assignment, enforce PIM for privileged roles</w:t>
            </w:r>
          </w:p>
        </w:tc>
      </w:tr>
      <w:tr>
        <w:tc>
          <w:tcPr>
            <w:tcW w:type="dxa" w:w="5112"/>
          </w:tcPr>
          <w:p>
            <w:r>
              <w:t>Encrypt-At-Rest</w:t>
            </w:r>
          </w:p>
        </w:tc>
        <w:tc>
          <w:tcPr>
            <w:tcW w:type="dxa" w:w="5112"/>
          </w:tcPr>
          <w:p>
            <w:r>
              <w:t>Require platform-managed or customer-managed encryption based on workload class</w:t>
            </w:r>
          </w:p>
        </w:tc>
      </w:tr>
      <w:tr>
        <w:tc>
          <w:tcPr>
            <w:tcW w:type="dxa" w:w="5112"/>
          </w:tcPr>
          <w:p>
            <w:r>
              <w:t>Approved-SKUs</w:t>
            </w:r>
          </w:p>
        </w:tc>
        <w:tc>
          <w:tcPr>
            <w:tcW w:type="dxa" w:w="5112"/>
          </w:tcPr>
          <w:p>
            <w:r>
              <w:t>Restrict unsupported or high-risk resource SKUs</w:t>
            </w:r>
          </w:p>
        </w:tc>
      </w:tr>
      <w:tr>
        <w:tc>
          <w:tcPr>
            <w:tcW w:type="dxa" w:w="5112"/>
          </w:tcPr>
          <w:p>
            <w:r>
              <w:t>Private-Link-First</w:t>
            </w:r>
          </w:p>
        </w:tc>
        <w:tc>
          <w:tcPr>
            <w:tcW w:type="dxa" w:w="5112"/>
          </w:tcPr>
          <w:p>
            <w:r>
              <w:t>Require private endpoints for supported PaaS patterns</w:t>
            </w:r>
          </w:p>
        </w:tc>
      </w:tr>
      <w:tr>
        <w:tc>
          <w:tcPr>
            <w:tcW w:type="dxa" w:w="5112"/>
          </w:tcPr>
          <w:p>
            <w:r>
              <w:t>Backup-Required</w:t>
            </w:r>
          </w:p>
        </w:tc>
        <w:tc>
          <w:tcPr>
            <w:tcW w:type="dxa" w:w="5112"/>
          </w:tcPr>
          <w:p>
            <w:r>
              <w:t>Enforce backup for in-scope IaaS resources</w:t>
            </w:r>
          </w:p>
        </w:tc>
      </w:tr>
    </w:tbl>
    <w:p>
      <w:pPr>
        <w:pStyle w:val="Heading1"/>
      </w:pPr>
      <w:r>
        <w:t>10. Observability and Platform Operations</w:t>
      </w:r>
    </w:p>
    <w:p>
      <w:pPr>
        <w:pStyle w:val="ListBullet"/>
      </w:pPr>
      <w:r>
        <w:t>Single operating model with central Log Analytics, Sentinel, service health, activity logs, and alert routing.</w:t>
      </w:r>
    </w:p>
    <w:p>
      <w:pPr>
        <w:pStyle w:val="ListBullet"/>
      </w:pPr>
      <w:r>
        <w:t>Diagnostics enabled by policy for supported services, with regional ingestion and retention aligned to bank policy.</w:t>
      </w:r>
    </w:p>
    <w:p>
      <w:pPr>
        <w:pStyle w:val="ListBullet"/>
      </w:pPr>
      <w:r>
        <w:t>Backup and restore testing scheduled by workload tier. Runbooks and failover procedures stored in version-controlled repositories.</w:t>
      </w:r>
    </w:p>
    <w:p>
      <w:pPr>
        <w:pStyle w:val="ListBullet"/>
      </w:pPr>
      <w:r>
        <w:t>Golden images, IaC pipelines, and deployment approvals integrated with GitHub-based workflows.</w:t>
      </w:r>
    </w:p>
    <w:p>
      <w:pPr>
        <w:pStyle w:val="Heading1"/>
      </w:pPr>
      <w:r>
        <w:t>11. Reliability and Disaster Recovery Model</w:t>
      </w:r>
    </w:p>
    <w:p>
      <w:r>
        <w:t>The design follows workload-tiered resilience rather than one-size-fits-all DR. Zone redundancy in the primary region is preferred for many production workloads. Region-level failover to UK West is reserved for services and workloads that justify the operational and cost overhead.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0F6CBD"/>
          </w:tcPr>
          <w:p>
            <w:r>
              <w:rPr>
                <w:b/>
                <w:color w:val="FFFFFF"/>
              </w:rPr>
              <w:t>Tier</w:t>
            </w:r>
          </w:p>
        </w:tc>
        <w:tc>
          <w:tcPr>
            <w:tcW w:type="dxa" w:w="2045"/>
            <w:shd w:fill="0F6CBD"/>
          </w:tcPr>
          <w:p>
            <w:r>
              <w:rPr>
                <w:b/>
                <w:color w:val="FFFFFF"/>
              </w:rPr>
              <w:t>Workloads</w:t>
            </w:r>
          </w:p>
        </w:tc>
        <w:tc>
          <w:tcPr>
            <w:tcW w:type="dxa" w:w="2045"/>
            <w:shd w:fill="0F6CBD"/>
          </w:tcPr>
          <w:p>
            <w:r>
              <w:rPr>
                <w:b/>
                <w:color w:val="FFFFFF"/>
              </w:rPr>
              <w:t>Target RTO</w:t>
            </w:r>
          </w:p>
        </w:tc>
        <w:tc>
          <w:tcPr>
            <w:tcW w:type="dxa" w:w="2045"/>
            <w:shd w:fill="0F6CBD"/>
          </w:tcPr>
          <w:p>
            <w:r>
              <w:rPr>
                <w:b/>
                <w:color w:val="FFFFFF"/>
              </w:rPr>
              <w:t>Target RPO</w:t>
            </w:r>
          </w:p>
        </w:tc>
        <w:tc>
          <w:tcPr>
            <w:tcW w:type="dxa" w:w="2045"/>
            <w:shd w:fill="0F6CBD"/>
          </w:tcPr>
          <w:p>
            <w:r>
              <w:rPr>
                <w:b/>
                <w:color w:val="FFFFFF"/>
              </w:rPr>
              <w:t>Preferred DR pattern</w:t>
            </w:r>
          </w:p>
        </w:tc>
      </w:tr>
      <w:tr>
        <w:tc>
          <w:tcPr>
            <w:tcW w:type="dxa" w:w="2045"/>
          </w:tcPr>
          <w:p>
            <w:r>
              <w:t>Tier 0</w:t>
            </w:r>
          </w:p>
        </w:tc>
        <w:tc>
          <w:tcPr>
            <w:tcW w:type="dxa" w:w="2045"/>
          </w:tcPr>
          <w:p>
            <w:r>
              <w:t>Identity, core payments control services, critical security tooling</w:t>
            </w:r>
          </w:p>
        </w:tc>
        <w:tc>
          <w:tcPr>
            <w:tcW w:type="dxa" w:w="2045"/>
          </w:tcPr>
          <w:p>
            <w:r>
              <w:t>Near-zero to 1 hour</w:t>
            </w:r>
          </w:p>
        </w:tc>
        <w:tc>
          <w:tcPr>
            <w:tcW w:type="dxa" w:w="2045"/>
          </w:tcPr>
          <w:p>
            <w:r>
              <w:t>0 to 15 minutes</w:t>
            </w:r>
          </w:p>
        </w:tc>
        <w:tc>
          <w:tcPr>
            <w:tcW w:type="dxa" w:w="2045"/>
          </w:tcPr>
          <w:p>
            <w:r>
              <w:t>Active-passive or active-active where service supports it</w:t>
            </w:r>
          </w:p>
        </w:tc>
      </w:tr>
      <w:tr>
        <w:tc>
          <w:tcPr>
            <w:tcW w:type="dxa" w:w="2045"/>
          </w:tcPr>
          <w:p>
            <w:r>
              <w:t>Tier 1</w:t>
            </w:r>
          </w:p>
        </w:tc>
        <w:tc>
          <w:tcPr>
            <w:tcW w:type="dxa" w:w="2045"/>
          </w:tcPr>
          <w:p>
            <w:r>
              <w:t>Digital banking channels, API mediation, core shared services</w:t>
            </w:r>
          </w:p>
        </w:tc>
        <w:tc>
          <w:tcPr>
            <w:tcW w:type="dxa" w:w="2045"/>
          </w:tcPr>
          <w:p>
            <w:r>
              <w:t>4 hours</w:t>
            </w:r>
          </w:p>
        </w:tc>
        <w:tc>
          <w:tcPr>
            <w:tcW w:type="dxa" w:w="2045"/>
          </w:tcPr>
          <w:p>
            <w:r>
              <w:t>30 minutes</w:t>
            </w:r>
          </w:p>
        </w:tc>
        <w:tc>
          <w:tcPr>
            <w:tcW w:type="dxa" w:w="2045"/>
          </w:tcPr>
          <w:p>
            <w:r>
              <w:t>Warm standby or replicated infrastructure</w:t>
            </w:r>
          </w:p>
        </w:tc>
      </w:tr>
      <w:tr>
        <w:tc>
          <w:tcPr>
            <w:tcW w:type="dxa" w:w="2045"/>
          </w:tcPr>
          <w:p>
            <w:r>
              <w:t>Tier 2</w:t>
            </w:r>
          </w:p>
        </w:tc>
        <w:tc>
          <w:tcPr>
            <w:tcW w:type="dxa" w:w="2045"/>
          </w:tcPr>
          <w:p>
            <w:r>
              <w:t>Back-office services, internal analytics, non-customer-facing tools</w:t>
            </w:r>
          </w:p>
        </w:tc>
        <w:tc>
          <w:tcPr>
            <w:tcW w:type="dxa" w:w="2045"/>
          </w:tcPr>
          <w:p>
            <w:r>
              <w:t>24 hours</w:t>
            </w:r>
          </w:p>
        </w:tc>
        <w:tc>
          <w:tcPr>
            <w:tcW w:type="dxa" w:w="2045"/>
          </w:tcPr>
          <w:p>
            <w:r>
              <w:t>4 hours</w:t>
            </w:r>
          </w:p>
        </w:tc>
        <w:tc>
          <w:tcPr>
            <w:tcW w:type="dxa" w:w="2045"/>
          </w:tcPr>
          <w:p>
            <w:r>
              <w:t>Restore from backup or redeploy plus data restore</w:t>
            </w:r>
          </w:p>
        </w:tc>
      </w:tr>
      <w:tr>
        <w:tc>
          <w:tcPr>
            <w:tcW w:type="dxa" w:w="2045"/>
          </w:tcPr>
          <w:p>
            <w:r>
              <w:t>Tier 3</w:t>
            </w:r>
          </w:p>
        </w:tc>
        <w:tc>
          <w:tcPr>
            <w:tcW w:type="dxa" w:w="2045"/>
          </w:tcPr>
          <w:p>
            <w:r>
              <w:t>Dev/test and low-criticality workloads</w:t>
            </w:r>
          </w:p>
        </w:tc>
        <w:tc>
          <w:tcPr>
            <w:tcW w:type="dxa" w:w="2045"/>
          </w:tcPr>
          <w:p>
            <w:r>
              <w:t>48 to 72 hours</w:t>
            </w:r>
          </w:p>
        </w:tc>
        <w:tc>
          <w:tcPr>
            <w:tcW w:type="dxa" w:w="2045"/>
          </w:tcPr>
          <w:p>
            <w:r>
              <w:t>24 hours</w:t>
            </w:r>
          </w:p>
        </w:tc>
        <w:tc>
          <w:tcPr>
            <w:tcW w:type="dxa" w:w="2045"/>
          </w:tcPr>
          <w:p>
            <w:r>
              <w:t>Rebuild on demand</w:t>
            </w:r>
          </w:p>
        </w:tc>
      </w:tr>
    </w:tbl>
    <w:p>
      <w:pPr>
        <w:pStyle w:val="Heading1"/>
      </w:pPr>
      <w:r>
        <w:t>12. Indicative Platform Bill of Materials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Component</w:t>
            </w:r>
          </w:p>
        </w:tc>
        <w:tc>
          <w:tcPr>
            <w:tcW w:type="dxa" w:w="3408"/>
            <w:shd w:fill="D9EAF7"/>
          </w:tcPr>
          <w:p>
            <w:r>
              <w:t>Qty</w:t>
            </w:r>
          </w:p>
        </w:tc>
        <w:tc>
          <w:tcPr>
            <w:tcW w:type="dxa" w:w="3408"/>
            <w:shd w:fill="D9EAF7"/>
          </w:tcPr>
          <w:p>
            <w:r>
              <w:t>Notes</w:t>
            </w:r>
          </w:p>
        </w:tc>
      </w:tr>
      <w:tr>
        <w:tc>
          <w:tcPr>
            <w:tcW w:type="dxa" w:w="3408"/>
          </w:tcPr>
          <w:p>
            <w:r>
              <w:t>Management Groups</w:t>
            </w:r>
          </w:p>
        </w:tc>
        <w:tc>
          <w:tcPr>
            <w:tcW w:type="dxa" w:w="3408"/>
          </w:tcPr>
          <w:p>
            <w:r>
              <w:t>7</w:t>
            </w:r>
          </w:p>
        </w:tc>
        <w:tc>
          <w:tcPr>
            <w:tcW w:type="dxa" w:w="3408"/>
          </w:tcPr>
          <w:p>
            <w:r>
              <w:t>ALZ-style hierarchy with policy inheritance</w:t>
            </w:r>
          </w:p>
        </w:tc>
      </w:tr>
      <w:tr>
        <w:tc>
          <w:tcPr>
            <w:tcW w:type="dxa" w:w="3408"/>
          </w:tcPr>
          <w:p>
            <w:r>
              <w:t>Subscriptions</w:t>
            </w:r>
          </w:p>
        </w:tc>
        <w:tc>
          <w:tcPr>
            <w:tcW w:type="dxa" w:w="3408"/>
          </w:tcPr>
          <w:p>
            <w:r>
              <w:t>13</w:t>
            </w:r>
          </w:p>
        </w:tc>
        <w:tc>
          <w:tcPr>
            <w:tcW w:type="dxa" w:w="3408"/>
          </w:tcPr>
          <w:p>
            <w:r>
              <w:t>Platform and application landing zones</w:t>
            </w:r>
          </w:p>
        </w:tc>
      </w:tr>
      <w:tr>
        <w:tc>
          <w:tcPr>
            <w:tcW w:type="dxa" w:w="3408"/>
          </w:tcPr>
          <w:p>
            <w:r>
              <w:t>Regional Hubs</w:t>
            </w:r>
          </w:p>
        </w:tc>
        <w:tc>
          <w:tcPr>
            <w:tcW w:type="dxa" w:w="3408"/>
          </w:tcPr>
          <w:p>
            <w:r>
              <w:t>2</w:t>
            </w:r>
          </w:p>
        </w:tc>
        <w:tc>
          <w:tcPr>
            <w:tcW w:type="dxa" w:w="3408"/>
          </w:tcPr>
          <w:p>
            <w:r>
              <w:t>UK South and UK West</w:t>
            </w:r>
          </w:p>
        </w:tc>
      </w:tr>
      <w:tr>
        <w:tc>
          <w:tcPr>
            <w:tcW w:type="dxa" w:w="3408"/>
          </w:tcPr>
          <w:p>
            <w:r>
              <w:t>Azure Firewall Premium</w:t>
            </w:r>
          </w:p>
        </w:tc>
        <w:tc>
          <w:tcPr>
            <w:tcW w:type="dxa" w:w="3408"/>
          </w:tcPr>
          <w:p>
            <w:r>
              <w:t>2</w:t>
            </w:r>
          </w:p>
        </w:tc>
        <w:tc>
          <w:tcPr>
            <w:tcW w:type="dxa" w:w="3408"/>
          </w:tcPr>
          <w:p>
            <w:r>
              <w:t>One per hub</w:t>
            </w:r>
          </w:p>
        </w:tc>
      </w:tr>
      <w:tr>
        <w:tc>
          <w:tcPr>
            <w:tcW w:type="dxa" w:w="3408"/>
          </w:tcPr>
          <w:p>
            <w:r>
              <w:t>ExpressRoute circuits</w:t>
            </w:r>
          </w:p>
        </w:tc>
        <w:tc>
          <w:tcPr>
            <w:tcW w:type="dxa" w:w="3408"/>
          </w:tcPr>
          <w:p>
            <w:r>
              <w:t>2</w:t>
            </w:r>
          </w:p>
        </w:tc>
        <w:tc>
          <w:tcPr>
            <w:tcW w:type="dxa" w:w="3408"/>
          </w:tcPr>
          <w:p>
            <w:r>
              <w:t>Assumed dual circuits / diverse paths</w:t>
            </w:r>
          </w:p>
        </w:tc>
      </w:tr>
      <w:tr>
        <w:tc>
          <w:tcPr>
            <w:tcW w:type="dxa" w:w="3408"/>
          </w:tcPr>
          <w:p>
            <w:r>
              <w:t>VPN gateways</w:t>
            </w:r>
          </w:p>
        </w:tc>
        <w:tc>
          <w:tcPr>
            <w:tcW w:type="dxa" w:w="3408"/>
          </w:tcPr>
          <w:p>
            <w:r>
              <w:t>2</w:t>
            </w:r>
          </w:p>
        </w:tc>
        <w:tc>
          <w:tcPr>
            <w:tcW w:type="dxa" w:w="3408"/>
          </w:tcPr>
          <w:p>
            <w:r>
              <w:t>Per-region recovery and emergency access</w:t>
            </w:r>
          </w:p>
        </w:tc>
      </w:tr>
      <w:tr>
        <w:tc>
          <w:tcPr>
            <w:tcW w:type="dxa" w:w="3408"/>
          </w:tcPr>
          <w:p>
            <w:r>
              <w:t>Azure Bastion</w:t>
            </w:r>
          </w:p>
        </w:tc>
        <w:tc>
          <w:tcPr>
            <w:tcW w:type="dxa" w:w="3408"/>
          </w:tcPr>
          <w:p>
            <w:r>
              <w:t>2</w:t>
            </w:r>
          </w:p>
        </w:tc>
        <w:tc>
          <w:tcPr>
            <w:tcW w:type="dxa" w:w="3408"/>
          </w:tcPr>
          <w:p>
            <w:r>
              <w:t>Per regional hub</w:t>
            </w:r>
          </w:p>
        </w:tc>
      </w:tr>
      <w:tr>
        <w:tc>
          <w:tcPr>
            <w:tcW w:type="dxa" w:w="3408"/>
          </w:tcPr>
          <w:p>
            <w:r>
              <w:t>DNS Private Resolver</w:t>
            </w:r>
          </w:p>
        </w:tc>
        <w:tc>
          <w:tcPr>
            <w:tcW w:type="dxa" w:w="3408"/>
          </w:tcPr>
          <w:p>
            <w:r>
              <w:t>2</w:t>
            </w:r>
          </w:p>
        </w:tc>
        <w:tc>
          <w:tcPr>
            <w:tcW w:type="dxa" w:w="3408"/>
          </w:tcPr>
          <w:p>
            <w:r>
              <w:t>Per region</w:t>
            </w:r>
          </w:p>
        </w:tc>
      </w:tr>
      <w:tr>
        <w:tc>
          <w:tcPr>
            <w:tcW w:type="dxa" w:w="3408"/>
          </w:tcPr>
          <w:p>
            <w:r>
              <w:t>Log Analytics workspaces</w:t>
            </w:r>
          </w:p>
        </w:tc>
        <w:tc>
          <w:tcPr>
            <w:tcW w:type="dxa" w:w="3408"/>
          </w:tcPr>
          <w:p>
            <w:r>
              <w:t>2</w:t>
            </w:r>
          </w:p>
        </w:tc>
        <w:tc>
          <w:tcPr>
            <w:tcW w:type="dxa" w:w="3408"/>
          </w:tcPr>
          <w:p>
            <w:r>
              <w:t>Primary and DR / secondary ingestion</w:t>
            </w:r>
          </w:p>
        </w:tc>
      </w:tr>
      <w:tr>
        <w:tc>
          <w:tcPr>
            <w:tcW w:type="dxa" w:w="3408"/>
          </w:tcPr>
          <w:p>
            <w:r>
              <w:t>Recovery Services Vaults</w:t>
            </w:r>
          </w:p>
        </w:tc>
        <w:tc>
          <w:tcPr>
            <w:tcW w:type="dxa" w:w="3408"/>
          </w:tcPr>
          <w:p>
            <w:r>
              <w:t>2</w:t>
            </w:r>
          </w:p>
        </w:tc>
        <w:tc>
          <w:tcPr>
            <w:tcW w:type="dxa" w:w="3408"/>
          </w:tcPr>
          <w:p>
            <w:r>
              <w:t>Primary and DR</w:t>
            </w:r>
          </w:p>
        </w:tc>
      </w:tr>
    </w:tbl>
    <w:p>
      <w:pPr>
        <w:pStyle w:val="Heading1"/>
      </w:pPr>
      <w:r>
        <w:t>13.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Wave</w:t>
            </w:r>
          </w:p>
        </w:tc>
        <w:tc>
          <w:tcPr>
            <w:tcW w:type="dxa" w:w="3408"/>
            <w:shd w:fill="D9EAF7"/>
          </w:tcPr>
          <w:p>
            <w:r>
              <w:t>Outcome</w:t>
            </w:r>
          </w:p>
        </w:tc>
        <w:tc>
          <w:tcPr>
            <w:tcW w:type="dxa" w:w="3408"/>
            <w:shd w:fill="D9EAF7"/>
          </w:tcPr>
          <w:p>
            <w:r>
              <w:t>Scope</w:t>
            </w:r>
          </w:p>
        </w:tc>
      </w:tr>
      <w:tr>
        <w:tc>
          <w:tcPr>
            <w:tcW w:type="dxa" w:w="3408"/>
          </w:tcPr>
          <w:p>
            <w:r>
              <w:t>Wave 0</w:t>
            </w:r>
          </w:p>
        </w:tc>
        <w:tc>
          <w:tcPr>
            <w:tcW w:type="dxa" w:w="3408"/>
          </w:tcPr>
          <w:p>
            <w:r>
              <w:t>Confirm client standards</w:t>
            </w:r>
          </w:p>
        </w:tc>
        <w:tc>
          <w:tcPr>
            <w:tcW w:type="dxa" w:w="3408"/>
          </w:tcPr>
          <w:p>
            <w:r>
              <w:t>Validate naming, tagging, IPAM, connectivity, identity, security, retention</w:t>
            </w:r>
          </w:p>
        </w:tc>
      </w:tr>
      <w:tr>
        <w:tc>
          <w:tcPr>
            <w:tcW w:type="dxa" w:w="3408"/>
          </w:tcPr>
          <w:p>
            <w:r>
              <w:t>Wave 1</w:t>
            </w:r>
          </w:p>
        </w:tc>
        <w:tc>
          <w:tcPr>
            <w:tcW w:type="dxa" w:w="3408"/>
          </w:tcPr>
          <w:p>
            <w:r>
              <w:t>Deploy ALZ management group structure</w:t>
            </w:r>
          </w:p>
        </w:tc>
        <w:tc>
          <w:tcPr>
            <w:tcW w:type="dxa" w:w="3408"/>
          </w:tcPr>
          <w:p>
            <w:r>
              <w:t>Root management groups, subscriptions, RBAC, policy assignments</w:t>
            </w:r>
          </w:p>
        </w:tc>
      </w:tr>
      <w:tr>
        <w:tc>
          <w:tcPr>
            <w:tcW w:type="dxa" w:w="3408"/>
          </w:tcPr>
          <w:p>
            <w:r>
              <w:t>Wave 2</w:t>
            </w:r>
          </w:p>
        </w:tc>
        <w:tc>
          <w:tcPr>
            <w:tcW w:type="dxa" w:w="3408"/>
          </w:tcPr>
          <w:p>
            <w:r>
              <w:t>Build platform landing zones</w:t>
            </w:r>
          </w:p>
        </w:tc>
        <w:tc>
          <w:tcPr>
            <w:tcW w:type="dxa" w:w="3408"/>
          </w:tcPr>
          <w:p>
            <w:r>
              <w:t>Connectivity, management, security, identity integration</w:t>
            </w:r>
          </w:p>
        </w:tc>
      </w:tr>
      <w:tr>
        <w:tc>
          <w:tcPr>
            <w:tcW w:type="dxa" w:w="3408"/>
          </w:tcPr>
          <w:p>
            <w:r>
              <w:t>Wave 3</w:t>
            </w:r>
          </w:p>
        </w:tc>
        <w:tc>
          <w:tcPr>
            <w:tcW w:type="dxa" w:w="3408"/>
          </w:tcPr>
          <w:p>
            <w:r>
              <w:t>Establish observability and SecOps</w:t>
            </w:r>
          </w:p>
        </w:tc>
        <w:tc>
          <w:tcPr>
            <w:tcW w:type="dxa" w:w="3408"/>
          </w:tcPr>
          <w:p>
            <w:r>
              <w:t>Sentinel, Log Analytics, Defender, playbooks, alert routing</w:t>
            </w:r>
          </w:p>
        </w:tc>
      </w:tr>
      <w:tr>
        <w:tc>
          <w:tcPr>
            <w:tcW w:type="dxa" w:w="3408"/>
          </w:tcPr>
          <w:p>
            <w:r>
              <w:t>Wave 4</w:t>
            </w:r>
          </w:p>
        </w:tc>
        <w:tc>
          <w:tcPr>
            <w:tcW w:type="dxa" w:w="3408"/>
          </w:tcPr>
          <w:p>
            <w:r>
              <w:t>Onboard shared services</w:t>
            </w:r>
          </w:p>
        </w:tc>
        <w:tc>
          <w:tcPr>
            <w:tcW w:type="dxa" w:w="3408"/>
          </w:tcPr>
          <w:p>
            <w:r>
              <w:t>Shared services, DNS, PKI integration, key management</w:t>
            </w:r>
          </w:p>
        </w:tc>
      </w:tr>
      <w:tr>
        <w:tc>
          <w:tcPr>
            <w:tcW w:type="dxa" w:w="3408"/>
          </w:tcPr>
          <w:p>
            <w:r>
              <w:t>Wave 5</w:t>
            </w:r>
          </w:p>
        </w:tc>
        <w:tc>
          <w:tcPr>
            <w:tcW w:type="dxa" w:w="3408"/>
          </w:tcPr>
          <w:p>
            <w:r>
              <w:t>Onboard Tier 0/Tier 1 workloads</w:t>
            </w:r>
          </w:p>
        </w:tc>
        <w:tc>
          <w:tcPr>
            <w:tcW w:type="dxa" w:w="3408"/>
          </w:tcPr>
          <w:p>
            <w:r>
              <w:t>Landing zone vending, CI/CD, private networking, DR patterns</w:t>
            </w:r>
          </w:p>
        </w:tc>
      </w:tr>
      <w:tr>
        <w:tc>
          <w:tcPr>
            <w:tcW w:type="dxa" w:w="3408"/>
          </w:tcPr>
          <w:p>
            <w:r>
              <w:t>Wave 6</w:t>
            </w:r>
          </w:p>
        </w:tc>
        <w:tc>
          <w:tcPr>
            <w:tcW w:type="dxa" w:w="3408"/>
          </w:tcPr>
          <w:p>
            <w:r>
              <w:t>Exercise resilience</w:t>
            </w:r>
          </w:p>
        </w:tc>
        <w:tc>
          <w:tcPr>
            <w:tcW w:type="dxa" w:w="3408"/>
          </w:tcPr>
          <w:p>
            <w:r>
              <w:t>Failover/failback tests, backup restore tests, runbook validation</w:t>
            </w:r>
          </w:p>
        </w:tc>
      </w:tr>
    </w:tbl>
    <w:p>
      <w:pPr>
        <w:pStyle w:val="Heading1"/>
      </w:pPr>
      <w:r>
        <w:t>14. Risks and Design Caveats</w:t>
      </w:r>
    </w:p>
    <w:p>
      <w:pPr>
        <w:pStyle w:val="ListBullet"/>
      </w:pPr>
      <w:r>
        <w:t>This design uses assumed IP ranges, subscription names, connectivity patterns, and operational retention values. These must be replaced with client-approved standards before deployment.</w:t>
      </w:r>
    </w:p>
    <w:p>
      <w:pPr>
        <w:pStyle w:val="ListBullet"/>
      </w:pPr>
      <w:r>
        <w:t>Workload-specific service availability, zone support, throughput, and data replication capabilities must be validated during detailed design.</w:t>
      </w:r>
    </w:p>
    <w:p>
      <w:pPr>
        <w:pStyle w:val="ListBullet"/>
      </w:pPr>
      <w:r>
        <w:t>ExpressRoute diversity, network provider selection, and on-premises routing constraints are not confirmed in this document.</w:t>
      </w:r>
    </w:p>
    <w:p>
      <w:pPr>
        <w:pStyle w:val="ListBullet"/>
      </w:pPr>
      <w:r>
        <w:t>Regulatory mappings for FCA, PRA, PCI DSS, ISO 27001, and internal bank controls require separate control-by-control validation.</w:t>
      </w:r>
    </w:p>
    <w:p>
      <w:pPr>
        <w:pStyle w:val="Heading1"/>
      </w:pPr>
      <w:r>
        <w:t>15. References</w:t>
      </w:r>
    </w:p>
    <w:p>
      <w:pPr>
        <w:pStyle w:val="ListBullet"/>
      </w:pPr>
      <w:r>
        <w:t>https://learn.microsoft.com/en-us/azure/cloud-adoption-framework/ready/landing-zone/</w:t>
      </w:r>
    </w:p>
    <w:p>
      <w:pPr>
        <w:pStyle w:val="ListBullet"/>
      </w:pPr>
      <w:r>
        <w:t>https://learn.microsoft.com/en-us/azure/cloud-adoption-framework/ready/landing-zone/design-areas</w:t>
      </w:r>
    </w:p>
    <w:p>
      <w:pPr>
        <w:pStyle w:val="ListBullet"/>
      </w:pPr>
      <w:r>
        <w:t>https://learn.microsoft.com/en-us/azure/cloud-adoption-framework/ready/landing-zone/implementation-options</w:t>
      </w:r>
    </w:p>
    <w:p>
      <w:pPr>
        <w:pStyle w:val="ListBullet"/>
      </w:pPr>
      <w:r>
        <w:t>https://learn.microsoft.com/en-us/azure/well-architected/</w:t>
      </w:r>
    </w:p>
    <w:p>
      <w:pPr>
        <w:pStyle w:val="ListBullet"/>
      </w:pPr>
      <w:r>
        <w:t>https://learn.microsoft.com/en-us/azure/well-architected/design-guides/regions-availability-zones</w:t>
      </w:r>
    </w:p>
    <w:p>
      <w:pPr>
        <w:pStyle w:val="ListBullet"/>
      </w:pPr>
      <w:r>
        <w:t>https://learn.microsoft.com/en-us/azure/reliability/regions-list</w:t>
      </w:r>
    </w:p>
    <w:p>
      <w:pPr>
        <w:pStyle w:val="ListBullet"/>
      </w:pPr>
      <w:r>
        <w:t>https://github.com/Azure/Azure-Landing-Zones</w:t>
      </w:r>
    </w:p>
    <w:sectPr w:rsidR="00FC693F" w:rsidRPr="0006063C" w:rsidSect="00034616">
      <w:headerReference w:type="default" r:id="rId9"/>
      <w:footerReference w:type="default" r:id="rId10"/>
      <w:pgSz w:w="12240" w:h="15840"/>
      <w:pgMar w:top="936"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8"/>
      </w:rPr>
      <w:t>Trust Bank | Azure Landing Zone HLD | UK South / UK West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6CB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B1A1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6CB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