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Contoso Financial Services — Azure Landing Zone High-Level Design v1.0  NETWORK ARCHITECTURE Hub-spoke topology deployed with a central Connectivity Hub subscription. Azure Firewall deployed in Hub VNet providing centralised egress control and boundary protection. All spoke VNets peer to Hub VNet; forced tunnelling routes all egress through Azure Firewall. Network Security Groups applied to all subnets.  IDENTITY AND ACCESS Microsoft Entra ID as authoritative identity provider. Privileged Identity Management (PIM) configured for all privileged roles. Conditional Access Policies enforced: MFA required, compliant-device required. Break-glass accounts documented and secured.  SECURITY CONTROLS Microsoft Defender for Cloud enabled across all subscriptions. Azure Key Vault for all secret and certificate management. Encryption at rest and in transit enforced by policy.  GOVERNANCE Management Group hierarchy: Tenant Root &gt; Contoso &gt; Platform &gt; Landing Zones. Azure Policy deployed for naming, tagging, networking, and security baseline. RBAC model documented with least-privilege principles. Budget alerts configured per subscription.  RELIABILITY Availability Zones used for all critical services. Cross-region DR plan documented with RPO ≤ 4h, RTO ≤ 8h. Backup policy: daily snapshots, 30-day retention. </w:t>
      </w:r>
    </w:p>
  </w:body>
</w:document>
</file>

<file path=word/_rels/document.xml.rels><?xml version="1.0" encoding="UTF-8" standalone="yes"?>
<Relationships xmlns="http://schemas.openxmlformats.org/package/2006/relationships">
</Relationships>
</file>