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Contoso Financial Services — Statement of Work v1.0  SCOPE OF WORK Rackspace Technology will deliver an Azure Landing Zone design and implementation for Contoso Financial Services.  IN SCOPE - Azure Landing Zone architecture design (hub-spoke topology) - Azure Firewall deployment and policy configuration - Management Group hierarchy and Azure Policy deployment - Identity and access management design (Entra ID, PIM, Conditional Access) - Security baseline configuration (Defender for Cloud, Key Vault) - Network design: Hub VNet, Spoke VNets, NSGs, forced tunneling - Governance framework: RBAC, tagging, budget alerts - High Availability and Disaster Recovery design  OUT OF SCOPE - Day-2 operational runbook authoring (Managed Services / Operations team responsibility) - Ongoing incident management and operational ownership (Operations team) - Deployment ownership post go-live (Managed Services)  DELIVERABLES 1. High-Level Design document 2. Low-Level Design document 3. Azure Firewall policy baseline 4. Management Group and Policy definitions 5. RBAC model and role assignments </w:t>
      </w:r>
    </w:p>
  </w:body>
</w:document>
</file>

<file path=word/_rels/document.xml.rels><?xml version="1.0" encoding="UTF-8" standalone="yes"?>
<Relationships xmlns="http://schemas.openxmlformats.org/package/2006/relationships">
</Relationships>
</file>