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7D9B0" w14:textId="56CF21CA" w:rsidR="00E74FD1" w:rsidRPr="00A61669" w:rsidRDefault="00E74FD1" w:rsidP="00E40261">
      <w:pPr>
        <w:pStyle w:val="AddressandName"/>
        <w:jc w:val="both"/>
        <w:rPr>
          <w:rFonts w:asciiTheme="majorHAnsi" w:hAnsiTheme="majorHAnsi" w:cstheme="majorHAnsi"/>
          <w:lang w:val="en-IN"/>
        </w:rPr>
      </w:pPr>
    </w:p>
    <w:sdt>
      <w:sdtPr>
        <w:rPr>
          <w:rFonts w:asciiTheme="majorHAnsi" w:hAnsiTheme="majorHAnsi" w:cstheme="majorBidi"/>
        </w:rPr>
        <w:id w:val="-520932309"/>
        <w:docPartObj>
          <w:docPartGallery w:val="Cover Pages"/>
          <w:docPartUnique/>
        </w:docPartObj>
      </w:sdtPr>
      <w:sdtContent>
        <w:p w14:paraId="70ED096B" w14:textId="7986F3F3" w:rsidR="00506EAE" w:rsidRPr="00A61669" w:rsidRDefault="00506EAE" w:rsidP="00E40261">
          <w:pPr>
            <w:pStyle w:val="AddressandName"/>
            <w:jc w:val="both"/>
            <w:rPr>
              <w:rFonts w:asciiTheme="majorHAnsi" w:hAnsiTheme="majorHAnsi" w:cstheme="majorHAnsi"/>
            </w:rPr>
          </w:pPr>
        </w:p>
        <w:p w14:paraId="10C9C608" w14:textId="13991D5E" w:rsidR="00B43EFE" w:rsidRPr="00A61669" w:rsidRDefault="00B43EFE" w:rsidP="00E40261">
          <w:pPr>
            <w:jc w:val="both"/>
            <w:rPr>
              <w:rFonts w:asciiTheme="majorHAnsi" w:hAnsiTheme="majorHAnsi" w:cstheme="majorHAnsi"/>
            </w:rPr>
          </w:pPr>
        </w:p>
        <w:p w14:paraId="74085385" w14:textId="0141D0D8" w:rsidR="00B43EFE" w:rsidRPr="00A61669" w:rsidRDefault="00B43EFE" w:rsidP="00E40261">
          <w:pPr>
            <w:jc w:val="both"/>
            <w:rPr>
              <w:rFonts w:asciiTheme="majorHAnsi" w:hAnsiTheme="majorHAnsi" w:cstheme="majorHAnsi"/>
            </w:rPr>
          </w:pPr>
        </w:p>
        <w:p w14:paraId="54F59EF2" w14:textId="5FF54D2C" w:rsidR="00B43EFE" w:rsidRPr="00A61669" w:rsidRDefault="00B43EFE" w:rsidP="00E40261">
          <w:pPr>
            <w:jc w:val="both"/>
            <w:rPr>
              <w:rFonts w:asciiTheme="majorHAnsi" w:hAnsiTheme="majorHAnsi" w:cstheme="majorHAnsi"/>
            </w:rPr>
          </w:pPr>
        </w:p>
        <w:p w14:paraId="609E838C" w14:textId="77777777" w:rsidR="00B43EFE" w:rsidRPr="00A61669" w:rsidRDefault="00B43EFE" w:rsidP="00E40261">
          <w:pPr>
            <w:jc w:val="both"/>
            <w:rPr>
              <w:rFonts w:asciiTheme="majorHAnsi" w:hAnsiTheme="majorHAnsi" w:cstheme="majorHAnsi"/>
            </w:rPr>
          </w:pPr>
        </w:p>
        <w:p w14:paraId="35CDDDB8" w14:textId="77777777" w:rsidR="00B43EFE" w:rsidRPr="00A61669" w:rsidRDefault="00B43EFE" w:rsidP="00E40261">
          <w:pPr>
            <w:jc w:val="both"/>
            <w:rPr>
              <w:rFonts w:asciiTheme="majorHAnsi" w:hAnsiTheme="majorHAnsi" w:cstheme="majorHAnsi"/>
            </w:rPr>
          </w:pPr>
        </w:p>
        <w:p w14:paraId="06ED3192" w14:textId="77777777" w:rsidR="00B52580" w:rsidRPr="00A61669" w:rsidRDefault="00506EAE" w:rsidP="00B52580">
          <w:pPr>
            <w:pStyle w:val="Title"/>
            <w:spacing w:after="720" w:line="264" w:lineRule="auto"/>
            <w:rPr>
              <w:rFonts w:asciiTheme="majorHAnsi" w:hAnsiTheme="majorHAnsi" w:cstheme="majorHAnsi"/>
            </w:rPr>
          </w:pPr>
          <w:r w:rsidRPr="00A61669">
            <w:rPr>
              <w:rFonts w:asciiTheme="majorHAnsi" w:hAnsiTheme="majorHAnsi" w:cstheme="majorHAnsi"/>
            </w:rPr>
            <w:t>DMG Media</w:t>
          </w:r>
        </w:p>
        <w:p w14:paraId="24AA731F" w14:textId="2FEBDF95" w:rsidR="00506EAE" w:rsidRPr="00A61669" w:rsidRDefault="00506EAE" w:rsidP="00B52580">
          <w:pPr>
            <w:pStyle w:val="Title"/>
            <w:spacing w:after="720" w:line="264" w:lineRule="auto"/>
            <w:rPr>
              <w:rFonts w:asciiTheme="majorHAnsi" w:hAnsiTheme="majorHAnsi" w:cstheme="majorHAnsi"/>
              <w:color w:val="D9D9D9" w:themeColor="background1" w:themeShade="D9"/>
              <w:kern w:val="15"/>
              <w:lang w:val="en-US" w:eastAsia="en-GB"/>
            </w:rPr>
          </w:pPr>
          <w:r w:rsidRPr="00A61669">
            <w:rPr>
              <w:rFonts w:asciiTheme="majorHAnsi" w:hAnsiTheme="majorHAnsi" w:cstheme="majorHAnsi"/>
              <w:color w:val="D9D9D9" w:themeColor="background1" w:themeShade="D9"/>
              <w:kern w:val="15"/>
              <w:lang w:val="en-US" w:eastAsia="en-GB"/>
            </w:rPr>
            <w:t>Cloud Readiness Assessment</w:t>
          </w:r>
        </w:p>
        <w:p w14:paraId="61C785FF" w14:textId="0D5C6CE2" w:rsidR="00B43EFE" w:rsidRPr="00A61669" w:rsidRDefault="00506EAE" w:rsidP="00E40261">
          <w:pPr>
            <w:pStyle w:val="Subtitle"/>
            <w:jc w:val="both"/>
            <w:rPr>
              <w:rFonts w:asciiTheme="majorHAnsi" w:hAnsiTheme="majorHAnsi" w:cstheme="majorHAnsi"/>
            </w:rPr>
          </w:pPr>
          <w:r w:rsidRPr="00A61669">
            <w:rPr>
              <w:rFonts w:asciiTheme="majorHAnsi" w:eastAsia="Times New Roman" w:hAnsiTheme="majorHAnsi" w:cstheme="majorHAnsi"/>
              <w:b/>
              <w:color w:val="auto"/>
              <w:sz w:val="40"/>
              <w:szCs w:val="40"/>
              <w:lang w:val="en-US" w:eastAsia="en-GB"/>
            </w:rPr>
            <w:t>P</w:t>
          </w:r>
          <w:r w:rsidR="00AF7F5B" w:rsidRPr="00A61669">
            <w:rPr>
              <w:rFonts w:asciiTheme="majorHAnsi" w:eastAsia="Times New Roman" w:hAnsiTheme="majorHAnsi" w:cstheme="majorHAnsi"/>
              <w:b/>
              <w:color w:val="auto"/>
              <w:sz w:val="40"/>
              <w:szCs w:val="40"/>
              <w:lang w:val="en-US" w:eastAsia="en-GB"/>
            </w:rPr>
            <w:t>art</w:t>
          </w:r>
          <w:r w:rsidRPr="00A61669">
            <w:rPr>
              <w:rFonts w:asciiTheme="majorHAnsi" w:eastAsia="Times New Roman" w:hAnsiTheme="majorHAnsi" w:cstheme="majorHAnsi"/>
              <w:b/>
              <w:color w:val="auto"/>
              <w:sz w:val="40"/>
              <w:szCs w:val="40"/>
              <w:lang w:val="en-US" w:eastAsia="en-GB"/>
            </w:rPr>
            <w:t xml:space="preserve"> 1</w:t>
          </w:r>
          <w:r w:rsidRPr="00A61669">
            <w:rPr>
              <w:rFonts w:asciiTheme="majorHAnsi" w:hAnsiTheme="majorHAnsi" w:cstheme="majorHAnsi"/>
            </w:rPr>
            <w:t xml:space="preserve">: </w:t>
          </w:r>
          <w:r w:rsidRPr="00A61669">
            <w:rPr>
              <w:rFonts w:asciiTheme="majorHAnsi" w:eastAsia="Times New Roman" w:hAnsiTheme="majorHAnsi" w:cstheme="majorHAnsi"/>
              <w:color w:val="auto"/>
              <w:sz w:val="40"/>
              <w:szCs w:val="40"/>
              <w:lang w:val="en-US" w:eastAsia="en-GB"/>
            </w:rPr>
            <w:t>Strategy, Discovery and TCO Analysis</w:t>
          </w:r>
        </w:p>
        <w:p w14:paraId="78AE045C" w14:textId="77777777" w:rsidR="00B43EFE" w:rsidRPr="00A61669" w:rsidRDefault="00B43EFE" w:rsidP="00E40261">
          <w:pPr>
            <w:jc w:val="both"/>
            <w:rPr>
              <w:rFonts w:asciiTheme="majorHAnsi" w:hAnsiTheme="majorHAnsi" w:cstheme="majorHAnsi"/>
            </w:rPr>
          </w:pPr>
        </w:p>
        <w:p w14:paraId="6117597B" w14:textId="77777777" w:rsidR="00357A3E" w:rsidRPr="00A61669" w:rsidRDefault="00357A3E" w:rsidP="00E40261">
          <w:pPr>
            <w:jc w:val="both"/>
            <w:rPr>
              <w:rFonts w:asciiTheme="majorHAnsi" w:hAnsiTheme="majorHAnsi" w:cstheme="majorHAnsi"/>
            </w:rPr>
          </w:pPr>
        </w:p>
        <w:p w14:paraId="7D204258" w14:textId="77777777" w:rsidR="00357A3E" w:rsidRPr="00A61669" w:rsidRDefault="00357A3E" w:rsidP="00E40261">
          <w:pPr>
            <w:jc w:val="both"/>
            <w:rPr>
              <w:rFonts w:asciiTheme="majorHAnsi" w:hAnsiTheme="majorHAnsi" w:cstheme="majorHAnsi"/>
            </w:rPr>
          </w:pPr>
        </w:p>
        <w:p w14:paraId="218005DB" w14:textId="77777777" w:rsidR="00357A3E" w:rsidRPr="00A61669" w:rsidRDefault="00357A3E" w:rsidP="00E40261">
          <w:pPr>
            <w:jc w:val="both"/>
            <w:rPr>
              <w:rFonts w:asciiTheme="majorHAnsi" w:hAnsiTheme="majorHAnsi" w:cstheme="majorHAnsi"/>
            </w:rPr>
          </w:pPr>
        </w:p>
        <w:p w14:paraId="4D898F64" w14:textId="77777777" w:rsidR="00357A3E" w:rsidRPr="00A61669" w:rsidRDefault="00357A3E" w:rsidP="00E40261">
          <w:pPr>
            <w:jc w:val="both"/>
            <w:rPr>
              <w:rFonts w:asciiTheme="majorHAnsi" w:hAnsiTheme="majorHAnsi" w:cstheme="majorHAnsi"/>
            </w:rPr>
          </w:pPr>
        </w:p>
        <w:p w14:paraId="37995C02" w14:textId="77777777" w:rsidR="00357A3E" w:rsidRPr="00A61669" w:rsidRDefault="00357A3E" w:rsidP="00E40261">
          <w:pPr>
            <w:jc w:val="both"/>
            <w:rPr>
              <w:rFonts w:asciiTheme="majorHAnsi" w:hAnsiTheme="majorHAnsi" w:cstheme="majorHAnsi"/>
            </w:rPr>
          </w:pPr>
        </w:p>
        <w:p w14:paraId="58CEA48D" w14:textId="77777777" w:rsidR="00357A3E" w:rsidRPr="00A61669" w:rsidRDefault="00357A3E" w:rsidP="00E40261">
          <w:pPr>
            <w:jc w:val="both"/>
            <w:rPr>
              <w:rFonts w:asciiTheme="majorHAnsi" w:hAnsiTheme="majorHAnsi" w:cstheme="majorHAnsi"/>
            </w:rPr>
          </w:pPr>
        </w:p>
        <w:p w14:paraId="28F613BA" w14:textId="77777777" w:rsidR="00357A3E" w:rsidRPr="00A61669" w:rsidRDefault="00357A3E" w:rsidP="00E40261">
          <w:pPr>
            <w:jc w:val="both"/>
            <w:rPr>
              <w:rFonts w:asciiTheme="majorHAnsi" w:hAnsiTheme="majorHAnsi" w:cstheme="majorHAnsi"/>
            </w:rPr>
          </w:pPr>
        </w:p>
        <w:p w14:paraId="0152AA9B" w14:textId="77777777" w:rsidR="00357A3E" w:rsidRPr="00A61669" w:rsidRDefault="00357A3E" w:rsidP="00E40261">
          <w:pPr>
            <w:jc w:val="both"/>
            <w:rPr>
              <w:rFonts w:asciiTheme="majorHAnsi" w:hAnsiTheme="majorHAnsi" w:cstheme="majorHAnsi"/>
            </w:rPr>
          </w:pPr>
        </w:p>
        <w:p w14:paraId="7D078865" w14:textId="77777777" w:rsidR="00357A3E" w:rsidRPr="00A61669" w:rsidRDefault="00357A3E" w:rsidP="00E40261">
          <w:pPr>
            <w:jc w:val="both"/>
            <w:rPr>
              <w:rFonts w:asciiTheme="majorHAnsi" w:hAnsiTheme="majorHAnsi" w:cstheme="majorHAnsi"/>
            </w:rPr>
          </w:pPr>
        </w:p>
        <w:p w14:paraId="1557FF5A" w14:textId="77777777" w:rsidR="00DC2289" w:rsidRPr="00A61669" w:rsidRDefault="00B43EFE" w:rsidP="00E40261">
          <w:pPr>
            <w:jc w:val="both"/>
            <w:rPr>
              <w:rFonts w:asciiTheme="majorHAnsi" w:hAnsiTheme="majorHAnsi" w:cstheme="majorHAnsi"/>
              <w:b/>
            </w:rPr>
          </w:pPr>
          <w:r w:rsidRPr="00A61669">
            <w:rPr>
              <w:rFonts w:asciiTheme="majorHAnsi" w:hAnsiTheme="majorHAnsi" w:cstheme="majorHAnsi"/>
            </w:rPr>
            <w:t xml:space="preserve">Prepared by: </w:t>
          </w:r>
          <w:r w:rsidRPr="00A61669">
            <w:rPr>
              <w:rFonts w:asciiTheme="majorHAnsi" w:hAnsiTheme="majorHAnsi" w:cstheme="majorHAnsi"/>
              <w:b/>
            </w:rPr>
            <w:t>Rackspace Technology</w:t>
          </w:r>
        </w:p>
        <w:p w14:paraId="76E4ACA5" w14:textId="0B165367" w:rsidR="00F23729" w:rsidRPr="00A61669" w:rsidRDefault="00DC2289" w:rsidP="00AF7F5B">
          <w:pPr>
            <w:spacing w:after="160"/>
            <w:rPr>
              <w:rFonts w:asciiTheme="majorHAnsi" w:hAnsiTheme="majorHAnsi" w:cstheme="majorHAnsi"/>
            </w:rPr>
          </w:pPr>
          <w:r w:rsidRPr="00A61669">
            <w:rPr>
              <w:rFonts w:asciiTheme="majorHAnsi" w:hAnsiTheme="majorHAnsi" w:cstheme="majorHAnsi"/>
            </w:rPr>
            <w:t>Professional Services</w:t>
          </w:r>
          <w:r w:rsidRPr="00A61669">
            <w:rPr>
              <w:rFonts w:asciiTheme="majorHAnsi" w:hAnsiTheme="majorHAnsi" w:cstheme="majorHAnsi"/>
            </w:rPr>
            <w:br/>
            <w:t>Rackspace Europe, Middle East, Africa (EMEA</w:t>
          </w:r>
          <w:bookmarkStart w:id="0" w:name="_Toc104307396"/>
          <w:bookmarkEnd w:id="0"/>
          <w:r w:rsidRPr="00A61669">
            <w:rPr>
              <w:rFonts w:asciiTheme="majorHAnsi" w:hAnsiTheme="majorHAnsi" w:cstheme="majorHAnsi"/>
            </w:rPr>
            <w:t>)</w:t>
          </w:r>
        </w:p>
      </w:sdtContent>
    </w:sdt>
    <w:p w14:paraId="05C2FE90" w14:textId="77777777" w:rsidR="008D2E15" w:rsidRPr="00A7681A" w:rsidRDefault="008D2E15" w:rsidP="008D2E15">
      <w:pPr>
        <w:spacing w:after="200" w:line="288" w:lineRule="auto"/>
        <w:rPr>
          <w:rFonts w:asciiTheme="majorHAnsi" w:hAnsiTheme="majorHAnsi" w:cstheme="majorHAnsi"/>
          <w:color w:val="EB0000"/>
          <w:sz w:val="36"/>
          <w:szCs w:val="36"/>
        </w:rPr>
      </w:pPr>
      <w:r w:rsidRPr="00A7681A">
        <w:rPr>
          <w:rFonts w:asciiTheme="majorHAnsi" w:hAnsiTheme="majorHAnsi" w:cstheme="majorHAnsi"/>
          <w:color w:val="EB0000" w:themeColor="text2"/>
          <w:sz w:val="36"/>
          <w:szCs w:val="36"/>
        </w:rPr>
        <w:lastRenderedPageBreak/>
        <w:t>Table of Contents</w:t>
      </w:r>
    </w:p>
    <w:sdt>
      <w:sdtPr>
        <w:rPr>
          <w:rFonts w:asciiTheme="majorHAnsi" w:hAnsiTheme="majorHAnsi" w:cstheme="majorBidi"/>
          <w:b w:val="0"/>
          <w:bCs w:val="0"/>
          <w:sz w:val="20"/>
          <w:szCs w:val="20"/>
        </w:rPr>
        <w:id w:val="150185726"/>
        <w:docPartObj>
          <w:docPartGallery w:val="Table of Contents"/>
          <w:docPartUnique/>
        </w:docPartObj>
      </w:sdtPr>
      <w:sdtEndPr>
        <w:rPr>
          <w:b/>
          <w:bCs/>
          <w:sz w:val="24"/>
          <w:szCs w:val="24"/>
        </w:rPr>
      </w:sdtEndPr>
      <w:sdtContent>
        <w:p w14:paraId="437CFA1C" w14:textId="5FC1C5BE" w:rsidR="00CF031B" w:rsidRDefault="009E7AEA">
          <w:pPr>
            <w:pStyle w:val="TOC1"/>
            <w:tabs>
              <w:tab w:val="right" w:leader="dot" w:pos="9730"/>
            </w:tabs>
            <w:rPr>
              <w:b w:val="0"/>
              <w:bCs w:val="0"/>
              <w:noProof/>
              <w:kern w:val="2"/>
              <w:lang w:eastAsia="en-GB"/>
              <w14:ligatures w14:val="standardContextual"/>
            </w:rPr>
          </w:pPr>
          <w:r w:rsidRPr="00A61669">
            <w:rPr>
              <w:rFonts w:asciiTheme="majorHAnsi" w:hAnsiTheme="majorHAnsi" w:cstheme="majorHAnsi"/>
              <w:b w:val="0"/>
              <w:bCs w:val="0"/>
            </w:rPr>
            <w:fldChar w:fldCharType="begin"/>
          </w:r>
          <w:r w:rsidRPr="00A61669">
            <w:rPr>
              <w:rFonts w:asciiTheme="majorHAnsi" w:hAnsiTheme="majorHAnsi" w:cstheme="majorHAnsi"/>
              <w:b w:val="0"/>
              <w:bCs w:val="0"/>
            </w:rPr>
            <w:instrText xml:space="preserve"> TOC \o "1-1" \h \z \u \t "Heading 6,2" </w:instrText>
          </w:r>
          <w:r w:rsidRPr="00A61669">
            <w:rPr>
              <w:rFonts w:asciiTheme="majorHAnsi" w:hAnsiTheme="majorHAnsi" w:cstheme="majorHAnsi"/>
              <w:b w:val="0"/>
              <w:bCs w:val="0"/>
            </w:rPr>
            <w:fldChar w:fldCharType="separate"/>
          </w:r>
          <w:hyperlink w:anchor="_Toc228549352" w:history="1">
            <w:r w:rsidR="00CF031B" w:rsidRPr="00702E7C">
              <w:rPr>
                <w:rStyle w:val="Hyperlink"/>
                <w:rFonts w:asciiTheme="majorHAnsi" w:hAnsiTheme="majorHAnsi" w:cstheme="majorHAnsi"/>
                <w:noProof/>
              </w:rPr>
              <w:t>Document Control</w:t>
            </w:r>
            <w:r w:rsidR="00CF031B">
              <w:rPr>
                <w:noProof/>
                <w:webHidden/>
              </w:rPr>
              <w:tab/>
            </w:r>
            <w:r w:rsidR="00CF031B">
              <w:rPr>
                <w:noProof/>
                <w:webHidden/>
              </w:rPr>
              <w:fldChar w:fldCharType="begin"/>
            </w:r>
            <w:r w:rsidR="00CF031B">
              <w:rPr>
                <w:noProof/>
                <w:webHidden/>
              </w:rPr>
              <w:instrText xml:space="preserve"> PAGEREF _Toc228549352 \h </w:instrText>
            </w:r>
            <w:r w:rsidR="00CF031B">
              <w:rPr>
                <w:noProof/>
                <w:webHidden/>
              </w:rPr>
            </w:r>
            <w:r w:rsidR="00CF031B">
              <w:rPr>
                <w:noProof/>
                <w:webHidden/>
              </w:rPr>
              <w:fldChar w:fldCharType="separate"/>
            </w:r>
            <w:r w:rsidR="00EB3ECF">
              <w:rPr>
                <w:noProof/>
                <w:webHidden/>
              </w:rPr>
              <w:t>2</w:t>
            </w:r>
            <w:r w:rsidR="00CF031B">
              <w:rPr>
                <w:noProof/>
                <w:webHidden/>
              </w:rPr>
              <w:fldChar w:fldCharType="end"/>
            </w:r>
          </w:hyperlink>
        </w:p>
        <w:p w14:paraId="2C93D8C4" w14:textId="1697BF1F" w:rsidR="00CF031B" w:rsidRDefault="00CF031B">
          <w:pPr>
            <w:pStyle w:val="TOC1"/>
            <w:tabs>
              <w:tab w:val="right" w:leader="dot" w:pos="9730"/>
            </w:tabs>
            <w:rPr>
              <w:b w:val="0"/>
              <w:bCs w:val="0"/>
              <w:noProof/>
              <w:kern w:val="2"/>
              <w:lang w:eastAsia="en-GB"/>
              <w14:ligatures w14:val="standardContextual"/>
            </w:rPr>
          </w:pPr>
          <w:hyperlink w:anchor="_Toc228549353" w:history="1">
            <w:r w:rsidRPr="00702E7C">
              <w:rPr>
                <w:rStyle w:val="Hyperlink"/>
                <w:rFonts w:asciiTheme="majorHAnsi" w:hAnsiTheme="majorHAnsi" w:cstheme="majorHAnsi"/>
                <w:noProof/>
              </w:rPr>
              <w:t>Section 1: Executive Summary</w:t>
            </w:r>
            <w:r>
              <w:rPr>
                <w:noProof/>
                <w:webHidden/>
              </w:rPr>
              <w:tab/>
            </w:r>
            <w:r>
              <w:rPr>
                <w:noProof/>
                <w:webHidden/>
              </w:rPr>
              <w:fldChar w:fldCharType="begin"/>
            </w:r>
            <w:r>
              <w:rPr>
                <w:noProof/>
                <w:webHidden/>
              </w:rPr>
              <w:instrText xml:space="preserve"> PAGEREF _Toc228549353 \h </w:instrText>
            </w:r>
            <w:r>
              <w:rPr>
                <w:noProof/>
                <w:webHidden/>
              </w:rPr>
            </w:r>
            <w:r>
              <w:rPr>
                <w:noProof/>
                <w:webHidden/>
              </w:rPr>
              <w:fldChar w:fldCharType="separate"/>
            </w:r>
            <w:r w:rsidR="00EB3ECF">
              <w:rPr>
                <w:noProof/>
                <w:webHidden/>
              </w:rPr>
              <w:t>3</w:t>
            </w:r>
            <w:r>
              <w:rPr>
                <w:noProof/>
                <w:webHidden/>
              </w:rPr>
              <w:fldChar w:fldCharType="end"/>
            </w:r>
          </w:hyperlink>
        </w:p>
        <w:p w14:paraId="3EEFB3D1" w14:textId="4B999D38" w:rsidR="00CF031B" w:rsidRDefault="00CF031B">
          <w:pPr>
            <w:pStyle w:val="TOC1"/>
            <w:tabs>
              <w:tab w:val="right" w:leader="dot" w:pos="9730"/>
            </w:tabs>
            <w:rPr>
              <w:b w:val="0"/>
              <w:bCs w:val="0"/>
              <w:noProof/>
              <w:kern w:val="2"/>
              <w:lang w:eastAsia="en-GB"/>
              <w14:ligatures w14:val="standardContextual"/>
            </w:rPr>
          </w:pPr>
          <w:hyperlink w:anchor="_Toc228549354" w:history="1">
            <w:r w:rsidRPr="00702E7C">
              <w:rPr>
                <w:rStyle w:val="Hyperlink"/>
                <w:rFonts w:asciiTheme="majorHAnsi" w:hAnsiTheme="majorHAnsi" w:cstheme="majorHAnsi"/>
                <w:noProof/>
              </w:rPr>
              <w:t>Section 2: About This Assessment</w:t>
            </w:r>
            <w:r>
              <w:rPr>
                <w:noProof/>
                <w:webHidden/>
              </w:rPr>
              <w:tab/>
            </w:r>
            <w:r>
              <w:rPr>
                <w:noProof/>
                <w:webHidden/>
              </w:rPr>
              <w:fldChar w:fldCharType="begin"/>
            </w:r>
            <w:r>
              <w:rPr>
                <w:noProof/>
                <w:webHidden/>
              </w:rPr>
              <w:instrText xml:space="preserve"> PAGEREF _Toc228549354 \h </w:instrText>
            </w:r>
            <w:r>
              <w:rPr>
                <w:noProof/>
                <w:webHidden/>
              </w:rPr>
            </w:r>
            <w:r>
              <w:rPr>
                <w:noProof/>
                <w:webHidden/>
              </w:rPr>
              <w:fldChar w:fldCharType="separate"/>
            </w:r>
            <w:r w:rsidR="00EB3ECF">
              <w:rPr>
                <w:noProof/>
                <w:webHidden/>
              </w:rPr>
              <w:t>10</w:t>
            </w:r>
            <w:r>
              <w:rPr>
                <w:noProof/>
                <w:webHidden/>
              </w:rPr>
              <w:fldChar w:fldCharType="end"/>
            </w:r>
          </w:hyperlink>
        </w:p>
        <w:p w14:paraId="0CD21FE3" w14:textId="7E5420F6" w:rsidR="00CF031B" w:rsidRDefault="00CF031B">
          <w:pPr>
            <w:pStyle w:val="TOC1"/>
            <w:tabs>
              <w:tab w:val="right" w:leader="dot" w:pos="9730"/>
            </w:tabs>
            <w:rPr>
              <w:b w:val="0"/>
              <w:bCs w:val="0"/>
              <w:noProof/>
              <w:kern w:val="2"/>
              <w:lang w:eastAsia="en-GB"/>
              <w14:ligatures w14:val="standardContextual"/>
            </w:rPr>
          </w:pPr>
          <w:hyperlink w:anchor="_Toc228549355" w:history="1">
            <w:r w:rsidRPr="00702E7C">
              <w:rPr>
                <w:rStyle w:val="Hyperlink"/>
                <w:rFonts w:asciiTheme="majorHAnsi" w:hAnsiTheme="majorHAnsi" w:cstheme="majorHAnsi"/>
                <w:noProof/>
              </w:rPr>
              <w:t>Section 3: Why Cloud, Why Now</w:t>
            </w:r>
            <w:r>
              <w:rPr>
                <w:noProof/>
                <w:webHidden/>
              </w:rPr>
              <w:tab/>
            </w:r>
            <w:r>
              <w:rPr>
                <w:noProof/>
                <w:webHidden/>
              </w:rPr>
              <w:fldChar w:fldCharType="begin"/>
            </w:r>
            <w:r>
              <w:rPr>
                <w:noProof/>
                <w:webHidden/>
              </w:rPr>
              <w:instrText xml:space="preserve"> PAGEREF _Toc228549355 \h </w:instrText>
            </w:r>
            <w:r>
              <w:rPr>
                <w:noProof/>
                <w:webHidden/>
              </w:rPr>
            </w:r>
            <w:r>
              <w:rPr>
                <w:noProof/>
                <w:webHidden/>
              </w:rPr>
              <w:fldChar w:fldCharType="separate"/>
            </w:r>
            <w:r w:rsidR="00EB3ECF">
              <w:rPr>
                <w:noProof/>
                <w:webHidden/>
              </w:rPr>
              <w:t>13</w:t>
            </w:r>
            <w:r>
              <w:rPr>
                <w:noProof/>
                <w:webHidden/>
              </w:rPr>
              <w:fldChar w:fldCharType="end"/>
            </w:r>
          </w:hyperlink>
        </w:p>
        <w:p w14:paraId="741DFB76" w14:textId="0E5C4022" w:rsidR="00CF031B" w:rsidRDefault="00CF031B">
          <w:pPr>
            <w:pStyle w:val="TOC1"/>
            <w:tabs>
              <w:tab w:val="right" w:leader="dot" w:pos="9730"/>
            </w:tabs>
            <w:rPr>
              <w:b w:val="0"/>
              <w:bCs w:val="0"/>
              <w:noProof/>
              <w:kern w:val="2"/>
              <w:lang w:eastAsia="en-GB"/>
              <w14:ligatures w14:val="standardContextual"/>
            </w:rPr>
          </w:pPr>
          <w:hyperlink w:anchor="_Toc228549356" w:history="1">
            <w:r w:rsidRPr="00702E7C">
              <w:rPr>
                <w:rStyle w:val="Hyperlink"/>
                <w:rFonts w:asciiTheme="majorHAnsi" w:hAnsiTheme="majorHAnsi" w:cstheme="majorHAnsi"/>
                <w:noProof/>
              </w:rPr>
              <w:t>Section 4: DMG Media’s Estate</w:t>
            </w:r>
            <w:r>
              <w:rPr>
                <w:noProof/>
                <w:webHidden/>
              </w:rPr>
              <w:tab/>
            </w:r>
            <w:r>
              <w:rPr>
                <w:noProof/>
                <w:webHidden/>
              </w:rPr>
              <w:fldChar w:fldCharType="begin"/>
            </w:r>
            <w:r>
              <w:rPr>
                <w:noProof/>
                <w:webHidden/>
              </w:rPr>
              <w:instrText xml:space="preserve"> PAGEREF _Toc228549356 \h </w:instrText>
            </w:r>
            <w:r>
              <w:rPr>
                <w:noProof/>
                <w:webHidden/>
              </w:rPr>
            </w:r>
            <w:r>
              <w:rPr>
                <w:noProof/>
                <w:webHidden/>
              </w:rPr>
              <w:fldChar w:fldCharType="separate"/>
            </w:r>
            <w:r w:rsidR="00EB3ECF">
              <w:rPr>
                <w:noProof/>
                <w:webHidden/>
              </w:rPr>
              <w:t>16</w:t>
            </w:r>
            <w:r>
              <w:rPr>
                <w:noProof/>
                <w:webHidden/>
              </w:rPr>
              <w:fldChar w:fldCharType="end"/>
            </w:r>
          </w:hyperlink>
        </w:p>
        <w:p w14:paraId="3D44E051" w14:textId="35DE1C6A" w:rsidR="00CF031B" w:rsidRDefault="00CF031B">
          <w:pPr>
            <w:pStyle w:val="TOC1"/>
            <w:tabs>
              <w:tab w:val="right" w:leader="dot" w:pos="9730"/>
            </w:tabs>
            <w:rPr>
              <w:b w:val="0"/>
              <w:bCs w:val="0"/>
              <w:noProof/>
              <w:kern w:val="2"/>
              <w:lang w:eastAsia="en-GB"/>
              <w14:ligatures w14:val="standardContextual"/>
            </w:rPr>
          </w:pPr>
          <w:hyperlink w:anchor="_Toc228549357" w:history="1">
            <w:r w:rsidRPr="00702E7C">
              <w:rPr>
                <w:rStyle w:val="Hyperlink"/>
                <w:rFonts w:asciiTheme="majorHAnsi" w:hAnsiTheme="majorHAnsi" w:cstheme="majorHAnsi"/>
                <w:noProof/>
              </w:rPr>
              <w:t>Section 5: Cost Comparison</w:t>
            </w:r>
            <w:r>
              <w:rPr>
                <w:noProof/>
                <w:webHidden/>
              </w:rPr>
              <w:tab/>
            </w:r>
            <w:r>
              <w:rPr>
                <w:noProof/>
                <w:webHidden/>
              </w:rPr>
              <w:fldChar w:fldCharType="begin"/>
            </w:r>
            <w:r>
              <w:rPr>
                <w:noProof/>
                <w:webHidden/>
              </w:rPr>
              <w:instrText xml:space="preserve"> PAGEREF _Toc228549357 \h </w:instrText>
            </w:r>
            <w:r>
              <w:rPr>
                <w:noProof/>
                <w:webHidden/>
              </w:rPr>
            </w:r>
            <w:r>
              <w:rPr>
                <w:noProof/>
                <w:webHidden/>
              </w:rPr>
              <w:fldChar w:fldCharType="separate"/>
            </w:r>
            <w:r w:rsidR="00EB3ECF">
              <w:rPr>
                <w:noProof/>
                <w:webHidden/>
              </w:rPr>
              <w:t>22</w:t>
            </w:r>
            <w:r>
              <w:rPr>
                <w:noProof/>
                <w:webHidden/>
              </w:rPr>
              <w:fldChar w:fldCharType="end"/>
            </w:r>
          </w:hyperlink>
        </w:p>
        <w:p w14:paraId="165E6669" w14:textId="600FCC32" w:rsidR="00CF031B" w:rsidRDefault="00CF031B">
          <w:pPr>
            <w:pStyle w:val="TOC1"/>
            <w:tabs>
              <w:tab w:val="right" w:leader="dot" w:pos="9730"/>
            </w:tabs>
            <w:rPr>
              <w:b w:val="0"/>
              <w:bCs w:val="0"/>
              <w:noProof/>
              <w:kern w:val="2"/>
              <w:lang w:eastAsia="en-GB"/>
              <w14:ligatures w14:val="standardContextual"/>
            </w:rPr>
          </w:pPr>
          <w:hyperlink w:anchor="_Toc228549358" w:history="1">
            <w:r w:rsidRPr="00702E7C">
              <w:rPr>
                <w:rStyle w:val="Hyperlink"/>
                <w:rFonts w:asciiTheme="majorHAnsi" w:hAnsiTheme="majorHAnsi" w:cstheme="majorHAnsi"/>
                <w:noProof/>
              </w:rPr>
              <w:t>Section 6: Business and Application Fit</w:t>
            </w:r>
            <w:r>
              <w:rPr>
                <w:noProof/>
                <w:webHidden/>
              </w:rPr>
              <w:tab/>
            </w:r>
            <w:r>
              <w:rPr>
                <w:noProof/>
                <w:webHidden/>
              </w:rPr>
              <w:fldChar w:fldCharType="begin"/>
            </w:r>
            <w:r>
              <w:rPr>
                <w:noProof/>
                <w:webHidden/>
              </w:rPr>
              <w:instrText xml:space="preserve"> PAGEREF _Toc228549358 \h </w:instrText>
            </w:r>
            <w:r>
              <w:rPr>
                <w:noProof/>
                <w:webHidden/>
              </w:rPr>
            </w:r>
            <w:r>
              <w:rPr>
                <w:noProof/>
                <w:webHidden/>
              </w:rPr>
              <w:fldChar w:fldCharType="separate"/>
            </w:r>
            <w:r w:rsidR="00EB3ECF">
              <w:rPr>
                <w:noProof/>
                <w:webHidden/>
              </w:rPr>
              <w:t>32</w:t>
            </w:r>
            <w:r>
              <w:rPr>
                <w:noProof/>
                <w:webHidden/>
              </w:rPr>
              <w:fldChar w:fldCharType="end"/>
            </w:r>
          </w:hyperlink>
        </w:p>
        <w:p w14:paraId="3E8B7B99" w14:textId="42DA0123" w:rsidR="00CF031B" w:rsidRDefault="00CF031B">
          <w:pPr>
            <w:pStyle w:val="TOC1"/>
            <w:tabs>
              <w:tab w:val="right" w:leader="dot" w:pos="9730"/>
            </w:tabs>
            <w:rPr>
              <w:b w:val="0"/>
              <w:bCs w:val="0"/>
              <w:noProof/>
              <w:kern w:val="2"/>
              <w:lang w:eastAsia="en-GB"/>
              <w14:ligatures w14:val="standardContextual"/>
            </w:rPr>
          </w:pPr>
          <w:hyperlink w:anchor="_Toc228549359" w:history="1">
            <w:r w:rsidRPr="00702E7C">
              <w:rPr>
                <w:rStyle w:val="Hyperlink"/>
                <w:rFonts w:asciiTheme="majorHAnsi" w:hAnsiTheme="majorHAnsi" w:cstheme="majorHAnsi"/>
                <w:noProof/>
              </w:rPr>
              <w:t>Section 7: Hyperscaler Recommendation</w:t>
            </w:r>
            <w:r>
              <w:rPr>
                <w:noProof/>
                <w:webHidden/>
              </w:rPr>
              <w:tab/>
            </w:r>
            <w:r>
              <w:rPr>
                <w:noProof/>
                <w:webHidden/>
              </w:rPr>
              <w:fldChar w:fldCharType="begin"/>
            </w:r>
            <w:r>
              <w:rPr>
                <w:noProof/>
                <w:webHidden/>
              </w:rPr>
              <w:instrText xml:space="preserve"> PAGEREF _Toc228549359 \h </w:instrText>
            </w:r>
            <w:r>
              <w:rPr>
                <w:noProof/>
                <w:webHidden/>
              </w:rPr>
            </w:r>
            <w:r>
              <w:rPr>
                <w:noProof/>
                <w:webHidden/>
              </w:rPr>
              <w:fldChar w:fldCharType="separate"/>
            </w:r>
            <w:r w:rsidR="00EB3ECF">
              <w:rPr>
                <w:noProof/>
                <w:webHidden/>
              </w:rPr>
              <w:t>36</w:t>
            </w:r>
            <w:r>
              <w:rPr>
                <w:noProof/>
                <w:webHidden/>
              </w:rPr>
              <w:fldChar w:fldCharType="end"/>
            </w:r>
          </w:hyperlink>
        </w:p>
        <w:p w14:paraId="081171EE" w14:textId="4D2171CB" w:rsidR="00CF031B" w:rsidRDefault="00CF031B">
          <w:pPr>
            <w:pStyle w:val="TOC1"/>
            <w:tabs>
              <w:tab w:val="right" w:leader="dot" w:pos="9730"/>
            </w:tabs>
            <w:rPr>
              <w:b w:val="0"/>
              <w:bCs w:val="0"/>
              <w:noProof/>
              <w:kern w:val="2"/>
              <w:lang w:eastAsia="en-GB"/>
              <w14:ligatures w14:val="standardContextual"/>
            </w:rPr>
          </w:pPr>
          <w:hyperlink w:anchor="_Toc228549360" w:history="1">
            <w:r w:rsidRPr="00702E7C">
              <w:rPr>
                <w:rStyle w:val="Hyperlink"/>
                <w:rFonts w:asciiTheme="majorHAnsi" w:hAnsiTheme="majorHAnsi" w:cstheme="majorHAnsi"/>
                <w:noProof/>
              </w:rPr>
              <w:t>Section 8: How Ready Is DMG Media</w:t>
            </w:r>
            <w:r>
              <w:rPr>
                <w:noProof/>
                <w:webHidden/>
              </w:rPr>
              <w:tab/>
            </w:r>
            <w:r>
              <w:rPr>
                <w:noProof/>
                <w:webHidden/>
              </w:rPr>
              <w:fldChar w:fldCharType="begin"/>
            </w:r>
            <w:r>
              <w:rPr>
                <w:noProof/>
                <w:webHidden/>
              </w:rPr>
              <w:instrText xml:space="preserve"> PAGEREF _Toc228549360 \h </w:instrText>
            </w:r>
            <w:r>
              <w:rPr>
                <w:noProof/>
                <w:webHidden/>
              </w:rPr>
            </w:r>
            <w:r>
              <w:rPr>
                <w:noProof/>
                <w:webHidden/>
              </w:rPr>
              <w:fldChar w:fldCharType="separate"/>
            </w:r>
            <w:r w:rsidR="00EB3ECF">
              <w:rPr>
                <w:noProof/>
                <w:webHidden/>
              </w:rPr>
              <w:t>41</w:t>
            </w:r>
            <w:r>
              <w:rPr>
                <w:noProof/>
                <w:webHidden/>
              </w:rPr>
              <w:fldChar w:fldCharType="end"/>
            </w:r>
          </w:hyperlink>
        </w:p>
        <w:p w14:paraId="204C66AB" w14:textId="77E17278" w:rsidR="00CF031B" w:rsidRDefault="00CF031B">
          <w:pPr>
            <w:pStyle w:val="TOC1"/>
            <w:tabs>
              <w:tab w:val="right" w:leader="dot" w:pos="9730"/>
            </w:tabs>
            <w:rPr>
              <w:b w:val="0"/>
              <w:bCs w:val="0"/>
              <w:noProof/>
              <w:kern w:val="2"/>
              <w:lang w:eastAsia="en-GB"/>
              <w14:ligatures w14:val="standardContextual"/>
            </w:rPr>
          </w:pPr>
          <w:hyperlink w:anchor="_Toc228549361" w:history="1">
            <w:r w:rsidRPr="00702E7C">
              <w:rPr>
                <w:rStyle w:val="Hyperlink"/>
                <w:rFonts w:asciiTheme="majorHAnsi" w:hAnsiTheme="majorHAnsi" w:cstheme="majorHAnsi"/>
                <w:noProof/>
              </w:rPr>
              <w:t>Section 9: Challenges</w:t>
            </w:r>
            <w:r>
              <w:rPr>
                <w:noProof/>
                <w:webHidden/>
              </w:rPr>
              <w:tab/>
            </w:r>
            <w:r>
              <w:rPr>
                <w:noProof/>
                <w:webHidden/>
              </w:rPr>
              <w:fldChar w:fldCharType="begin"/>
            </w:r>
            <w:r>
              <w:rPr>
                <w:noProof/>
                <w:webHidden/>
              </w:rPr>
              <w:instrText xml:space="preserve"> PAGEREF _Toc228549361 \h </w:instrText>
            </w:r>
            <w:r>
              <w:rPr>
                <w:noProof/>
                <w:webHidden/>
              </w:rPr>
            </w:r>
            <w:r>
              <w:rPr>
                <w:noProof/>
                <w:webHidden/>
              </w:rPr>
              <w:fldChar w:fldCharType="separate"/>
            </w:r>
            <w:r w:rsidR="00EB3ECF">
              <w:rPr>
                <w:noProof/>
                <w:webHidden/>
              </w:rPr>
              <w:t>45</w:t>
            </w:r>
            <w:r>
              <w:rPr>
                <w:noProof/>
                <w:webHidden/>
              </w:rPr>
              <w:fldChar w:fldCharType="end"/>
            </w:r>
          </w:hyperlink>
        </w:p>
        <w:p w14:paraId="2E0B723B" w14:textId="2A0F8092" w:rsidR="00CF031B" w:rsidRDefault="00CF031B">
          <w:pPr>
            <w:pStyle w:val="TOC1"/>
            <w:tabs>
              <w:tab w:val="right" w:leader="dot" w:pos="9730"/>
            </w:tabs>
            <w:rPr>
              <w:b w:val="0"/>
              <w:bCs w:val="0"/>
              <w:noProof/>
              <w:kern w:val="2"/>
              <w:lang w:eastAsia="en-GB"/>
              <w14:ligatures w14:val="standardContextual"/>
            </w:rPr>
          </w:pPr>
          <w:hyperlink w:anchor="_Toc228549362" w:history="1">
            <w:r w:rsidRPr="00702E7C">
              <w:rPr>
                <w:rStyle w:val="Hyperlink"/>
                <w:rFonts w:asciiTheme="majorHAnsi" w:hAnsiTheme="majorHAnsi" w:cstheme="majorHAnsi"/>
                <w:noProof/>
              </w:rPr>
              <w:t>Section 10: Opportunities</w:t>
            </w:r>
            <w:r>
              <w:rPr>
                <w:noProof/>
                <w:webHidden/>
              </w:rPr>
              <w:tab/>
            </w:r>
            <w:r>
              <w:rPr>
                <w:noProof/>
                <w:webHidden/>
              </w:rPr>
              <w:fldChar w:fldCharType="begin"/>
            </w:r>
            <w:r>
              <w:rPr>
                <w:noProof/>
                <w:webHidden/>
              </w:rPr>
              <w:instrText xml:space="preserve"> PAGEREF _Toc228549362 \h </w:instrText>
            </w:r>
            <w:r>
              <w:rPr>
                <w:noProof/>
                <w:webHidden/>
              </w:rPr>
            </w:r>
            <w:r>
              <w:rPr>
                <w:noProof/>
                <w:webHidden/>
              </w:rPr>
              <w:fldChar w:fldCharType="separate"/>
            </w:r>
            <w:r w:rsidR="00EB3ECF">
              <w:rPr>
                <w:noProof/>
                <w:webHidden/>
              </w:rPr>
              <w:t>49</w:t>
            </w:r>
            <w:r>
              <w:rPr>
                <w:noProof/>
                <w:webHidden/>
              </w:rPr>
              <w:fldChar w:fldCharType="end"/>
            </w:r>
          </w:hyperlink>
        </w:p>
        <w:p w14:paraId="082A1F8C" w14:textId="13141DF1" w:rsidR="00CF031B" w:rsidRDefault="00CF031B">
          <w:pPr>
            <w:pStyle w:val="TOC1"/>
            <w:tabs>
              <w:tab w:val="right" w:leader="dot" w:pos="9730"/>
            </w:tabs>
            <w:rPr>
              <w:b w:val="0"/>
              <w:bCs w:val="0"/>
              <w:noProof/>
              <w:kern w:val="2"/>
              <w:lang w:eastAsia="en-GB"/>
              <w14:ligatures w14:val="standardContextual"/>
            </w:rPr>
          </w:pPr>
          <w:hyperlink w:anchor="_Toc228549363" w:history="1">
            <w:r w:rsidRPr="00702E7C">
              <w:rPr>
                <w:rStyle w:val="Hyperlink"/>
                <w:rFonts w:asciiTheme="majorHAnsi" w:hAnsiTheme="majorHAnsi" w:cstheme="majorHAnsi"/>
                <w:noProof/>
              </w:rPr>
              <w:t>Section 11: Moving Forward and Part 2</w:t>
            </w:r>
            <w:r>
              <w:rPr>
                <w:noProof/>
                <w:webHidden/>
              </w:rPr>
              <w:tab/>
            </w:r>
            <w:r>
              <w:rPr>
                <w:noProof/>
                <w:webHidden/>
              </w:rPr>
              <w:fldChar w:fldCharType="begin"/>
            </w:r>
            <w:r>
              <w:rPr>
                <w:noProof/>
                <w:webHidden/>
              </w:rPr>
              <w:instrText xml:space="preserve"> PAGEREF _Toc228549363 \h </w:instrText>
            </w:r>
            <w:r>
              <w:rPr>
                <w:noProof/>
                <w:webHidden/>
              </w:rPr>
            </w:r>
            <w:r>
              <w:rPr>
                <w:noProof/>
                <w:webHidden/>
              </w:rPr>
              <w:fldChar w:fldCharType="separate"/>
            </w:r>
            <w:r w:rsidR="00EB3ECF">
              <w:rPr>
                <w:noProof/>
                <w:webHidden/>
              </w:rPr>
              <w:t>52</w:t>
            </w:r>
            <w:r>
              <w:rPr>
                <w:noProof/>
                <w:webHidden/>
              </w:rPr>
              <w:fldChar w:fldCharType="end"/>
            </w:r>
          </w:hyperlink>
        </w:p>
        <w:p w14:paraId="5308F6BB" w14:textId="35DD83DB" w:rsidR="00CF031B" w:rsidRDefault="00CF031B">
          <w:pPr>
            <w:pStyle w:val="TOC1"/>
            <w:tabs>
              <w:tab w:val="right" w:leader="dot" w:pos="9730"/>
            </w:tabs>
            <w:rPr>
              <w:b w:val="0"/>
              <w:bCs w:val="0"/>
              <w:noProof/>
              <w:kern w:val="2"/>
              <w:lang w:eastAsia="en-GB"/>
              <w14:ligatures w14:val="standardContextual"/>
            </w:rPr>
          </w:pPr>
          <w:hyperlink w:anchor="_Toc228549364" w:history="1">
            <w:r w:rsidRPr="00702E7C">
              <w:rPr>
                <w:rStyle w:val="Hyperlink"/>
                <w:rFonts w:asciiTheme="majorHAnsi" w:hAnsiTheme="majorHAnsi" w:cstheme="majorHAnsi"/>
                <w:noProof/>
              </w:rPr>
              <w:t>Section 12 Conclusion</w:t>
            </w:r>
            <w:r>
              <w:rPr>
                <w:noProof/>
                <w:webHidden/>
              </w:rPr>
              <w:tab/>
            </w:r>
            <w:r>
              <w:rPr>
                <w:noProof/>
                <w:webHidden/>
              </w:rPr>
              <w:fldChar w:fldCharType="begin"/>
            </w:r>
            <w:r>
              <w:rPr>
                <w:noProof/>
                <w:webHidden/>
              </w:rPr>
              <w:instrText xml:space="preserve"> PAGEREF _Toc228549364 \h </w:instrText>
            </w:r>
            <w:r>
              <w:rPr>
                <w:noProof/>
                <w:webHidden/>
              </w:rPr>
            </w:r>
            <w:r>
              <w:rPr>
                <w:noProof/>
                <w:webHidden/>
              </w:rPr>
              <w:fldChar w:fldCharType="separate"/>
            </w:r>
            <w:r w:rsidR="00EB3ECF">
              <w:rPr>
                <w:noProof/>
                <w:webHidden/>
              </w:rPr>
              <w:t>57</w:t>
            </w:r>
            <w:r>
              <w:rPr>
                <w:noProof/>
                <w:webHidden/>
              </w:rPr>
              <w:fldChar w:fldCharType="end"/>
            </w:r>
          </w:hyperlink>
        </w:p>
        <w:p w14:paraId="19EE389B" w14:textId="5489EB49" w:rsidR="00CF031B" w:rsidRDefault="00CF031B">
          <w:pPr>
            <w:pStyle w:val="TOC1"/>
            <w:tabs>
              <w:tab w:val="right" w:leader="dot" w:pos="9730"/>
            </w:tabs>
            <w:rPr>
              <w:b w:val="0"/>
              <w:bCs w:val="0"/>
              <w:noProof/>
              <w:kern w:val="2"/>
              <w:lang w:eastAsia="en-GB"/>
              <w14:ligatures w14:val="standardContextual"/>
            </w:rPr>
          </w:pPr>
          <w:hyperlink w:anchor="_Toc228549365" w:history="1">
            <w:r w:rsidRPr="00702E7C">
              <w:rPr>
                <w:rStyle w:val="Hyperlink"/>
                <w:rFonts w:asciiTheme="majorHAnsi" w:hAnsiTheme="majorHAnsi" w:cstheme="majorHAnsi"/>
                <w:noProof/>
              </w:rPr>
              <w:t>Appendices</w:t>
            </w:r>
            <w:r>
              <w:rPr>
                <w:noProof/>
                <w:webHidden/>
              </w:rPr>
              <w:tab/>
            </w:r>
            <w:r>
              <w:rPr>
                <w:noProof/>
                <w:webHidden/>
              </w:rPr>
              <w:fldChar w:fldCharType="begin"/>
            </w:r>
            <w:r>
              <w:rPr>
                <w:noProof/>
                <w:webHidden/>
              </w:rPr>
              <w:instrText xml:space="preserve"> PAGEREF _Toc228549365 \h </w:instrText>
            </w:r>
            <w:r>
              <w:rPr>
                <w:noProof/>
                <w:webHidden/>
              </w:rPr>
            </w:r>
            <w:r>
              <w:rPr>
                <w:noProof/>
                <w:webHidden/>
              </w:rPr>
              <w:fldChar w:fldCharType="separate"/>
            </w:r>
            <w:r w:rsidR="00EB3ECF">
              <w:rPr>
                <w:noProof/>
                <w:webHidden/>
              </w:rPr>
              <w:t>59</w:t>
            </w:r>
            <w:r>
              <w:rPr>
                <w:noProof/>
                <w:webHidden/>
              </w:rPr>
              <w:fldChar w:fldCharType="end"/>
            </w:r>
          </w:hyperlink>
        </w:p>
        <w:p w14:paraId="62FE4F86" w14:textId="035B1666" w:rsidR="00CF031B" w:rsidRDefault="00CF031B">
          <w:pPr>
            <w:pStyle w:val="TOC2"/>
            <w:tabs>
              <w:tab w:val="right" w:leader="dot" w:pos="9730"/>
            </w:tabs>
            <w:rPr>
              <w:b w:val="0"/>
              <w:bCs w:val="0"/>
              <w:noProof/>
              <w:kern w:val="2"/>
              <w:sz w:val="24"/>
              <w:szCs w:val="24"/>
              <w:lang w:eastAsia="en-GB"/>
              <w14:ligatures w14:val="standardContextual"/>
            </w:rPr>
          </w:pPr>
          <w:hyperlink w:anchor="_Toc228549366" w:history="1">
            <w:r w:rsidRPr="00702E7C">
              <w:rPr>
                <w:rStyle w:val="Hyperlink"/>
                <w:rFonts w:cstheme="majorHAnsi"/>
                <w:i/>
                <w:iCs/>
                <w:noProof/>
                <w:spacing w:val="5"/>
              </w:rPr>
              <w:t>Appendix A: TCO Methodology and Detail</w:t>
            </w:r>
            <w:r>
              <w:rPr>
                <w:noProof/>
                <w:webHidden/>
              </w:rPr>
              <w:tab/>
            </w:r>
            <w:r>
              <w:rPr>
                <w:noProof/>
                <w:webHidden/>
              </w:rPr>
              <w:fldChar w:fldCharType="begin"/>
            </w:r>
            <w:r>
              <w:rPr>
                <w:noProof/>
                <w:webHidden/>
              </w:rPr>
              <w:instrText xml:space="preserve"> PAGEREF _Toc228549366 \h </w:instrText>
            </w:r>
            <w:r>
              <w:rPr>
                <w:noProof/>
                <w:webHidden/>
              </w:rPr>
            </w:r>
            <w:r>
              <w:rPr>
                <w:noProof/>
                <w:webHidden/>
              </w:rPr>
              <w:fldChar w:fldCharType="separate"/>
            </w:r>
            <w:r w:rsidR="00EB3ECF">
              <w:rPr>
                <w:noProof/>
                <w:webHidden/>
              </w:rPr>
              <w:t>59</w:t>
            </w:r>
            <w:r>
              <w:rPr>
                <w:noProof/>
                <w:webHidden/>
              </w:rPr>
              <w:fldChar w:fldCharType="end"/>
            </w:r>
          </w:hyperlink>
        </w:p>
        <w:p w14:paraId="513DB0E1" w14:textId="6711699A" w:rsidR="00CF031B" w:rsidRDefault="00CF031B">
          <w:pPr>
            <w:pStyle w:val="TOC2"/>
            <w:tabs>
              <w:tab w:val="right" w:leader="dot" w:pos="9730"/>
            </w:tabs>
            <w:rPr>
              <w:b w:val="0"/>
              <w:bCs w:val="0"/>
              <w:noProof/>
              <w:kern w:val="2"/>
              <w:sz w:val="24"/>
              <w:szCs w:val="24"/>
              <w:lang w:eastAsia="en-GB"/>
              <w14:ligatures w14:val="standardContextual"/>
            </w:rPr>
          </w:pPr>
          <w:hyperlink w:anchor="_Toc228549367" w:history="1">
            <w:r w:rsidRPr="00702E7C">
              <w:rPr>
                <w:rStyle w:val="Hyperlink"/>
                <w:rFonts w:cstheme="majorHAnsi"/>
                <w:i/>
                <w:iCs/>
                <w:noProof/>
                <w:spacing w:val="5"/>
              </w:rPr>
              <w:t>Appendix B: Attached Workbooks</w:t>
            </w:r>
            <w:r>
              <w:rPr>
                <w:noProof/>
                <w:webHidden/>
              </w:rPr>
              <w:tab/>
            </w:r>
            <w:r>
              <w:rPr>
                <w:noProof/>
                <w:webHidden/>
              </w:rPr>
              <w:fldChar w:fldCharType="begin"/>
            </w:r>
            <w:r>
              <w:rPr>
                <w:noProof/>
                <w:webHidden/>
              </w:rPr>
              <w:instrText xml:space="preserve"> PAGEREF _Toc228549367 \h </w:instrText>
            </w:r>
            <w:r>
              <w:rPr>
                <w:noProof/>
                <w:webHidden/>
              </w:rPr>
            </w:r>
            <w:r>
              <w:rPr>
                <w:noProof/>
                <w:webHidden/>
              </w:rPr>
              <w:fldChar w:fldCharType="separate"/>
            </w:r>
            <w:r w:rsidR="00EB3ECF">
              <w:rPr>
                <w:noProof/>
                <w:webHidden/>
              </w:rPr>
              <w:t>60</w:t>
            </w:r>
            <w:r>
              <w:rPr>
                <w:noProof/>
                <w:webHidden/>
              </w:rPr>
              <w:fldChar w:fldCharType="end"/>
            </w:r>
          </w:hyperlink>
        </w:p>
        <w:p w14:paraId="46B7827A" w14:textId="6EE36928" w:rsidR="00CF031B" w:rsidRDefault="00CF031B">
          <w:pPr>
            <w:pStyle w:val="TOC2"/>
            <w:tabs>
              <w:tab w:val="right" w:leader="dot" w:pos="9730"/>
            </w:tabs>
            <w:rPr>
              <w:b w:val="0"/>
              <w:bCs w:val="0"/>
              <w:noProof/>
              <w:kern w:val="2"/>
              <w:sz w:val="24"/>
              <w:szCs w:val="24"/>
              <w:lang w:eastAsia="en-GB"/>
              <w14:ligatures w14:val="standardContextual"/>
            </w:rPr>
          </w:pPr>
          <w:hyperlink w:anchor="_Toc228549368" w:history="1">
            <w:r w:rsidRPr="00702E7C">
              <w:rPr>
                <w:rStyle w:val="Hyperlink"/>
                <w:rFonts w:cstheme="majorHAnsi"/>
                <w:i/>
                <w:iCs/>
                <w:noProof/>
                <w:spacing w:val="5"/>
              </w:rPr>
              <w:t>Appendix C: Open Items</w:t>
            </w:r>
            <w:r>
              <w:rPr>
                <w:noProof/>
                <w:webHidden/>
              </w:rPr>
              <w:tab/>
            </w:r>
            <w:r>
              <w:rPr>
                <w:noProof/>
                <w:webHidden/>
              </w:rPr>
              <w:fldChar w:fldCharType="begin"/>
            </w:r>
            <w:r>
              <w:rPr>
                <w:noProof/>
                <w:webHidden/>
              </w:rPr>
              <w:instrText xml:space="preserve"> PAGEREF _Toc228549368 \h </w:instrText>
            </w:r>
            <w:r>
              <w:rPr>
                <w:noProof/>
                <w:webHidden/>
              </w:rPr>
            </w:r>
            <w:r>
              <w:rPr>
                <w:noProof/>
                <w:webHidden/>
              </w:rPr>
              <w:fldChar w:fldCharType="separate"/>
            </w:r>
            <w:r w:rsidR="00EB3ECF">
              <w:rPr>
                <w:noProof/>
                <w:webHidden/>
              </w:rPr>
              <w:t>60</w:t>
            </w:r>
            <w:r>
              <w:rPr>
                <w:noProof/>
                <w:webHidden/>
              </w:rPr>
              <w:fldChar w:fldCharType="end"/>
            </w:r>
          </w:hyperlink>
        </w:p>
        <w:p w14:paraId="09155AE4" w14:textId="0DF29F30" w:rsidR="00CF031B" w:rsidRDefault="00CF031B">
          <w:pPr>
            <w:pStyle w:val="TOC2"/>
            <w:tabs>
              <w:tab w:val="right" w:leader="dot" w:pos="9730"/>
            </w:tabs>
            <w:rPr>
              <w:b w:val="0"/>
              <w:bCs w:val="0"/>
              <w:noProof/>
              <w:kern w:val="2"/>
              <w:sz w:val="24"/>
              <w:szCs w:val="24"/>
              <w:lang w:eastAsia="en-GB"/>
              <w14:ligatures w14:val="standardContextual"/>
            </w:rPr>
          </w:pPr>
          <w:hyperlink w:anchor="_Toc228549369" w:history="1">
            <w:r w:rsidRPr="00702E7C">
              <w:rPr>
                <w:rStyle w:val="Hyperlink"/>
                <w:rFonts w:cstheme="majorHAnsi"/>
                <w:i/>
                <w:iCs/>
                <w:noProof/>
                <w:spacing w:val="5"/>
              </w:rPr>
              <w:t>Appendix D: Glossary</w:t>
            </w:r>
            <w:r>
              <w:rPr>
                <w:noProof/>
                <w:webHidden/>
              </w:rPr>
              <w:tab/>
            </w:r>
            <w:r>
              <w:rPr>
                <w:noProof/>
                <w:webHidden/>
              </w:rPr>
              <w:fldChar w:fldCharType="begin"/>
            </w:r>
            <w:r>
              <w:rPr>
                <w:noProof/>
                <w:webHidden/>
              </w:rPr>
              <w:instrText xml:space="preserve"> PAGEREF _Toc228549369 \h </w:instrText>
            </w:r>
            <w:r>
              <w:rPr>
                <w:noProof/>
                <w:webHidden/>
              </w:rPr>
            </w:r>
            <w:r>
              <w:rPr>
                <w:noProof/>
                <w:webHidden/>
              </w:rPr>
              <w:fldChar w:fldCharType="separate"/>
            </w:r>
            <w:r w:rsidR="00EB3ECF">
              <w:rPr>
                <w:noProof/>
                <w:webHidden/>
              </w:rPr>
              <w:t>60</w:t>
            </w:r>
            <w:r>
              <w:rPr>
                <w:noProof/>
                <w:webHidden/>
              </w:rPr>
              <w:fldChar w:fldCharType="end"/>
            </w:r>
          </w:hyperlink>
        </w:p>
        <w:p w14:paraId="14AB59B0" w14:textId="134C84C5" w:rsidR="1BAB210A" w:rsidRPr="00A61669" w:rsidRDefault="009E7AEA">
          <w:pPr>
            <w:pStyle w:val="TOC1"/>
            <w:tabs>
              <w:tab w:val="right" w:leader="dot" w:pos="9730"/>
            </w:tabs>
            <w:rPr>
              <w:rFonts w:asciiTheme="majorHAnsi" w:hAnsiTheme="majorHAnsi" w:cstheme="majorHAnsi"/>
            </w:rPr>
          </w:pPr>
          <w:r w:rsidRPr="00A61669">
            <w:rPr>
              <w:rFonts w:asciiTheme="majorHAnsi" w:hAnsiTheme="majorHAnsi" w:cstheme="majorHAnsi"/>
              <w:b w:val="0"/>
            </w:rPr>
            <w:fldChar w:fldCharType="end"/>
          </w:r>
        </w:p>
      </w:sdtContent>
    </w:sdt>
    <w:p w14:paraId="0FEEDE0B" w14:textId="0C6306E4" w:rsidR="1BAB210A" w:rsidRPr="00A61669" w:rsidRDefault="1BAB210A" w:rsidP="009E7AEA">
      <w:pPr>
        <w:pStyle w:val="TOC1"/>
        <w:tabs>
          <w:tab w:val="right" w:leader="dot" w:pos="9730"/>
        </w:tabs>
        <w:rPr>
          <w:rFonts w:asciiTheme="majorHAnsi" w:hAnsiTheme="majorHAnsi" w:cstheme="majorHAnsi"/>
        </w:rPr>
      </w:pPr>
    </w:p>
    <w:p w14:paraId="7B5E4C6C" w14:textId="77777777" w:rsidR="008C7F6F" w:rsidRPr="00A61669" w:rsidRDefault="00F23729" w:rsidP="008C7F6F">
      <w:pPr>
        <w:pStyle w:val="Heading1"/>
        <w:rPr>
          <w:rFonts w:asciiTheme="majorHAnsi" w:hAnsiTheme="majorHAnsi" w:cstheme="majorHAnsi"/>
        </w:rPr>
      </w:pPr>
      <w:r w:rsidRPr="00A61669">
        <w:rPr>
          <w:rFonts w:asciiTheme="majorHAnsi" w:hAnsiTheme="majorHAnsi" w:cstheme="majorHAnsi"/>
        </w:rPr>
        <w:br w:type="page"/>
      </w:r>
      <w:bookmarkStart w:id="1" w:name="_Toc227770878"/>
      <w:bookmarkStart w:id="2" w:name="_Toc228549352"/>
      <w:r w:rsidR="008C7F6F" w:rsidRPr="00A61669">
        <w:rPr>
          <w:rFonts w:asciiTheme="majorHAnsi" w:hAnsiTheme="majorHAnsi" w:cstheme="majorHAnsi"/>
        </w:rPr>
        <w:lastRenderedPageBreak/>
        <w:t>Document Control</w:t>
      </w:r>
      <w:bookmarkEnd w:id="1"/>
      <w:bookmarkEnd w:id="2"/>
    </w:p>
    <w:p w14:paraId="6BA6D04E" w14:textId="77777777" w:rsidR="008C7F6F" w:rsidRPr="00A61669" w:rsidRDefault="008C7F6F" w:rsidP="008C7F6F">
      <w:pPr>
        <w:pStyle w:val="Heading2"/>
        <w:spacing w:line="360" w:lineRule="auto"/>
        <w:ind w:left="578" w:hanging="578"/>
        <w:rPr>
          <w:rFonts w:asciiTheme="majorHAnsi" w:hAnsiTheme="majorHAnsi" w:cstheme="majorHAnsi"/>
        </w:rPr>
      </w:pPr>
      <w:bookmarkStart w:id="3" w:name="_Toc227770879"/>
      <w:r w:rsidRPr="00A61669">
        <w:rPr>
          <w:rFonts w:asciiTheme="majorHAnsi" w:hAnsiTheme="majorHAnsi" w:cstheme="majorHAnsi"/>
        </w:rPr>
        <w:t>Distribution List</w:t>
      </w:r>
      <w:bookmarkEnd w:id="3"/>
    </w:p>
    <w:tbl>
      <w:tblPr>
        <w:tblW w:w="10245" w:type="dxa"/>
        <w:tblInd w:w="10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100" w:type="dxa"/>
          <w:left w:w="100" w:type="dxa"/>
          <w:bottom w:w="100" w:type="dxa"/>
          <w:right w:w="100" w:type="dxa"/>
        </w:tblCellMar>
        <w:tblLook w:val="04A0" w:firstRow="1" w:lastRow="0" w:firstColumn="1" w:lastColumn="0" w:noHBand="0" w:noVBand="1"/>
      </w:tblPr>
      <w:tblGrid>
        <w:gridCol w:w="1457"/>
        <w:gridCol w:w="3052"/>
        <w:gridCol w:w="2437"/>
        <w:gridCol w:w="3299"/>
      </w:tblGrid>
      <w:tr w:rsidR="008C7F6F" w:rsidRPr="0042693C" w14:paraId="0DD92295" w14:textId="77777777" w:rsidTr="00A2566D">
        <w:trPr>
          <w:cantSplit/>
        </w:trPr>
        <w:tc>
          <w:tcPr>
            <w:tcW w:w="1457" w:type="dxa"/>
            <w:shd w:val="clear" w:color="auto" w:fill="D9D9D9" w:themeFill="background1" w:themeFillShade="D9"/>
          </w:tcPr>
          <w:p w14:paraId="799230F3" w14:textId="77777777" w:rsidR="008C7F6F" w:rsidRPr="00A61669" w:rsidRDefault="008C7F6F">
            <w:pPr>
              <w:pStyle w:val="TableHeader"/>
              <w:rPr>
                <w:rFonts w:asciiTheme="majorHAnsi" w:hAnsiTheme="majorHAnsi" w:cstheme="majorHAnsi"/>
                <w:sz w:val="16"/>
                <w:szCs w:val="16"/>
              </w:rPr>
            </w:pPr>
            <w:r w:rsidRPr="00A61669">
              <w:rPr>
                <w:rFonts w:asciiTheme="majorHAnsi" w:hAnsiTheme="majorHAnsi" w:cstheme="majorHAnsi"/>
                <w:sz w:val="16"/>
                <w:szCs w:val="16"/>
              </w:rPr>
              <w:t>Organization</w:t>
            </w:r>
          </w:p>
        </w:tc>
        <w:tc>
          <w:tcPr>
            <w:tcW w:w="3052" w:type="dxa"/>
            <w:shd w:val="clear" w:color="auto" w:fill="D9D9D9" w:themeFill="background1" w:themeFillShade="D9"/>
          </w:tcPr>
          <w:p w14:paraId="786CDAC7" w14:textId="77777777" w:rsidR="008C7F6F" w:rsidRPr="00A61669" w:rsidRDefault="008C7F6F">
            <w:pPr>
              <w:pStyle w:val="TableHeader"/>
              <w:rPr>
                <w:rFonts w:asciiTheme="majorHAnsi" w:hAnsiTheme="majorHAnsi" w:cstheme="majorHAnsi"/>
                <w:sz w:val="16"/>
                <w:szCs w:val="16"/>
              </w:rPr>
            </w:pPr>
            <w:r w:rsidRPr="00A61669">
              <w:rPr>
                <w:rFonts w:asciiTheme="majorHAnsi" w:hAnsiTheme="majorHAnsi" w:cstheme="majorHAnsi"/>
                <w:sz w:val="16"/>
                <w:szCs w:val="16"/>
              </w:rPr>
              <w:t>Department, Role</w:t>
            </w:r>
          </w:p>
        </w:tc>
        <w:tc>
          <w:tcPr>
            <w:tcW w:w="2437" w:type="dxa"/>
            <w:shd w:val="clear" w:color="auto" w:fill="D9D9D9" w:themeFill="background1" w:themeFillShade="D9"/>
          </w:tcPr>
          <w:p w14:paraId="0311F1EB" w14:textId="77777777" w:rsidR="008C7F6F" w:rsidRPr="00A61669" w:rsidRDefault="008C7F6F">
            <w:pPr>
              <w:pStyle w:val="TableHeader"/>
              <w:rPr>
                <w:rFonts w:asciiTheme="majorHAnsi" w:hAnsiTheme="majorHAnsi" w:cstheme="majorHAnsi"/>
                <w:sz w:val="16"/>
                <w:szCs w:val="16"/>
              </w:rPr>
            </w:pPr>
            <w:r w:rsidRPr="00A61669">
              <w:rPr>
                <w:rFonts w:asciiTheme="majorHAnsi" w:hAnsiTheme="majorHAnsi" w:cstheme="majorHAnsi"/>
                <w:sz w:val="16"/>
                <w:szCs w:val="16"/>
              </w:rPr>
              <w:t>Name</w:t>
            </w:r>
          </w:p>
        </w:tc>
        <w:tc>
          <w:tcPr>
            <w:tcW w:w="3299" w:type="dxa"/>
            <w:shd w:val="clear" w:color="auto" w:fill="D9D9D9" w:themeFill="background1" w:themeFillShade="D9"/>
          </w:tcPr>
          <w:p w14:paraId="627A6DF4" w14:textId="77777777" w:rsidR="008C7F6F" w:rsidRPr="00A61669" w:rsidRDefault="008C7F6F">
            <w:pPr>
              <w:pStyle w:val="TableHeader"/>
              <w:rPr>
                <w:rFonts w:asciiTheme="majorHAnsi" w:hAnsiTheme="majorHAnsi" w:cstheme="majorHAnsi"/>
                <w:sz w:val="16"/>
                <w:szCs w:val="16"/>
              </w:rPr>
            </w:pPr>
            <w:r w:rsidRPr="00A61669">
              <w:rPr>
                <w:rFonts w:asciiTheme="majorHAnsi" w:hAnsiTheme="majorHAnsi" w:cstheme="majorHAnsi"/>
                <w:sz w:val="16"/>
                <w:szCs w:val="16"/>
              </w:rPr>
              <w:t>Email</w:t>
            </w:r>
          </w:p>
        </w:tc>
      </w:tr>
      <w:tr w:rsidR="008C7F6F" w:rsidRPr="0042693C" w14:paraId="77153E54" w14:textId="77777777" w:rsidTr="00A2566D">
        <w:trPr>
          <w:cantSplit/>
        </w:trPr>
        <w:tc>
          <w:tcPr>
            <w:tcW w:w="1457" w:type="dxa"/>
          </w:tcPr>
          <w:p w14:paraId="5E1058B0" w14:textId="32256348" w:rsidR="008C7F6F" w:rsidRPr="00A61669" w:rsidRDefault="00AC7F93">
            <w:pPr>
              <w:pStyle w:val="TableInfo"/>
              <w:rPr>
                <w:rFonts w:asciiTheme="majorHAnsi" w:hAnsiTheme="majorHAnsi" w:cstheme="majorHAnsi"/>
                <w:sz w:val="16"/>
                <w:szCs w:val="16"/>
              </w:rPr>
            </w:pPr>
            <w:r w:rsidRPr="00A61669">
              <w:rPr>
                <w:rFonts w:asciiTheme="majorHAnsi" w:hAnsiTheme="majorHAnsi" w:cstheme="majorHAnsi"/>
                <w:sz w:val="16"/>
                <w:szCs w:val="16"/>
              </w:rPr>
              <w:t xml:space="preserve">DMG Media </w:t>
            </w:r>
          </w:p>
        </w:tc>
        <w:tc>
          <w:tcPr>
            <w:tcW w:w="3052" w:type="dxa"/>
          </w:tcPr>
          <w:p w14:paraId="3427385F" w14:textId="27B912C8" w:rsidR="008C7F6F" w:rsidRPr="00A61669" w:rsidRDefault="00AC7F93">
            <w:pPr>
              <w:pStyle w:val="TableInfo"/>
              <w:rPr>
                <w:rFonts w:asciiTheme="majorHAnsi" w:hAnsiTheme="majorHAnsi" w:cstheme="majorHAnsi"/>
                <w:sz w:val="16"/>
                <w:szCs w:val="16"/>
              </w:rPr>
            </w:pPr>
            <w:r w:rsidRPr="00A61669">
              <w:rPr>
                <w:rFonts w:asciiTheme="majorHAnsi" w:hAnsiTheme="majorHAnsi" w:cstheme="majorHAnsi"/>
                <w:sz w:val="16"/>
                <w:szCs w:val="16"/>
              </w:rPr>
              <w:t>Chief Technology Officer</w:t>
            </w:r>
          </w:p>
        </w:tc>
        <w:tc>
          <w:tcPr>
            <w:tcW w:w="2437" w:type="dxa"/>
          </w:tcPr>
          <w:p w14:paraId="5FAA6595" w14:textId="7EC8725A" w:rsidR="008C7F6F" w:rsidRPr="00A61669" w:rsidRDefault="3C9405F5" w:rsidP="1524DEBB">
            <w:pPr>
              <w:pStyle w:val="TableInfo"/>
              <w:rPr>
                <w:rFonts w:asciiTheme="majorHAnsi" w:hAnsiTheme="majorHAnsi" w:cstheme="majorHAnsi"/>
                <w:sz w:val="16"/>
                <w:szCs w:val="16"/>
                <w:lang w:val="en-GB"/>
              </w:rPr>
            </w:pPr>
            <w:r w:rsidRPr="00A61669">
              <w:rPr>
                <w:rFonts w:asciiTheme="majorHAnsi" w:hAnsiTheme="majorHAnsi" w:cstheme="majorHAnsi"/>
                <w:sz w:val="16"/>
                <w:szCs w:val="16"/>
                <w:lang w:val="en-GB"/>
              </w:rPr>
              <w:t xml:space="preserve">Neil </w:t>
            </w:r>
            <w:r w:rsidR="00727F84">
              <w:rPr>
                <w:rFonts w:asciiTheme="majorHAnsi" w:hAnsiTheme="majorHAnsi" w:cstheme="majorHAnsi"/>
                <w:sz w:val="16"/>
                <w:szCs w:val="16"/>
                <w:lang w:val="en-GB"/>
              </w:rPr>
              <w:t>Finlayson</w:t>
            </w:r>
          </w:p>
        </w:tc>
        <w:tc>
          <w:tcPr>
            <w:tcW w:w="3299" w:type="dxa"/>
          </w:tcPr>
          <w:p w14:paraId="2707F380" w14:textId="35240C2C" w:rsidR="008C7F6F" w:rsidRPr="00A61669" w:rsidRDefault="00445460">
            <w:pPr>
              <w:pStyle w:val="TableInfo"/>
              <w:rPr>
                <w:rFonts w:asciiTheme="majorHAnsi" w:hAnsiTheme="majorHAnsi" w:cstheme="majorHAnsi"/>
                <w:sz w:val="16"/>
                <w:szCs w:val="16"/>
              </w:rPr>
            </w:pPr>
            <w:r w:rsidRPr="00445460">
              <w:rPr>
                <w:rFonts w:asciiTheme="majorHAnsi" w:hAnsiTheme="majorHAnsi" w:cstheme="majorHAnsi"/>
                <w:sz w:val="16"/>
                <w:szCs w:val="16"/>
              </w:rPr>
              <w:t>neil.finlayson@dmgmedia.tech</w:t>
            </w:r>
          </w:p>
        </w:tc>
      </w:tr>
      <w:tr w:rsidR="000D5C19" w:rsidRPr="0042693C" w14:paraId="171B48FE" w14:textId="77777777" w:rsidTr="00A2566D">
        <w:trPr>
          <w:cantSplit/>
        </w:trPr>
        <w:tc>
          <w:tcPr>
            <w:tcW w:w="1457" w:type="dxa"/>
          </w:tcPr>
          <w:p w14:paraId="05050BA3" w14:textId="5AAA0492" w:rsidR="000D5C19" w:rsidRPr="00A61669" w:rsidRDefault="000D5C19" w:rsidP="000D5C19">
            <w:pPr>
              <w:pStyle w:val="TableInfo"/>
              <w:rPr>
                <w:rFonts w:asciiTheme="majorHAnsi" w:hAnsiTheme="majorHAnsi" w:cstheme="majorHAnsi"/>
                <w:sz w:val="16"/>
                <w:szCs w:val="16"/>
              </w:rPr>
            </w:pPr>
            <w:r w:rsidRPr="00A61669">
              <w:rPr>
                <w:rFonts w:asciiTheme="majorHAnsi" w:hAnsiTheme="majorHAnsi" w:cstheme="majorHAnsi"/>
                <w:sz w:val="16"/>
                <w:szCs w:val="16"/>
              </w:rPr>
              <w:t xml:space="preserve">DMG Media </w:t>
            </w:r>
          </w:p>
        </w:tc>
        <w:tc>
          <w:tcPr>
            <w:tcW w:w="3052" w:type="dxa"/>
          </w:tcPr>
          <w:p w14:paraId="2D9C2E14" w14:textId="7878E750" w:rsidR="000D5C19" w:rsidRPr="00A61669" w:rsidRDefault="000D5C19" w:rsidP="000D5C19">
            <w:pPr>
              <w:pStyle w:val="TableInfo"/>
              <w:rPr>
                <w:rFonts w:asciiTheme="majorHAnsi" w:hAnsiTheme="majorHAnsi" w:cstheme="majorHAnsi"/>
                <w:sz w:val="16"/>
                <w:szCs w:val="16"/>
              </w:rPr>
            </w:pPr>
            <w:r w:rsidRPr="00A61669">
              <w:rPr>
                <w:rFonts w:asciiTheme="majorHAnsi" w:hAnsiTheme="majorHAnsi" w:cstheme="majorHAnsi"/>
                <w:sz w:val="16"/>
                <w:szCs w:val="16"/>
              </w:rPr>
              <w:t>Enterprise Architect</w:t>
            </w:r>
          </w:p>
        </w:tc>
        <w:tc>
          <w:tcPr>
            <w:tcW w:w="2437" w:type="dxa"/>
          </w:tcPr>
          <w:p w14:paraId="5BA08224" w14:textId="3F3BDC0F" w:rsidR="000D5C19" w:rsidRPr="00A61669" w:rsidRDefault="000D5C19" w:rsidP="000D5C19">
            <w:pPr>
              <w:pStyle w:val="TableInfo"/>
              <w:rPr>
                <w:rFonts w:asciiTheme="majorHAnsi" w:hAnsiTheme="majorHAnsi" w:cstheme="majorHAnsi"/>
                <w:sz w:val="16"/>
                <w:szCs w:val="16"/>
                <w:lang w:val="en-GB"/>
              </w:rPr>
            </w:pPr>
            <w:r w:rsidRPr="00A61669">
              <w:rPr>
                <w:rFonts w:asciiTheme="majorHAnsi" w:hAnsiTheme="majorHAnsi" w:cstheme="majorHAnsi"/>
                <w:sz w:val="16"/>
                <w:szCs w:val="16"/>
                <w:lang w:val="en-GB"/>
              </w:rPr>
              <w:t>Tristan</w:t>
            </w:r>
            <w:r w:rsidR="00166847" w:rsidRPr="00A61669">
              <w:rPr>
                <w:rFonts w:asciiTheme="majorHAnsi" w:hAnsiTheme="majorHAnsi" w:cstheme="majorHAnsi"/>
                <w:sz w:val="16"/>
                <w:szCs w:val="16"/>
                <w:lang w:val="en-GB"/>
              </w:rPr>
              <w:t> Newton</w:t>
            </w:r>
          </w:p>
        </w:tc>
        <w:tc>
          <w:tcPr>
            <w:tcW w:w="3299" w:type="dxa"/>
          </w:tcPr>
          <w:p w14:paraId="37AD86DB" w14:textId="100BB868" w:rsidR="000D5C19" w:rsidRPr="00A61669" w:rsidRDefault="00043A5D" w:rsidP="000D5C19">
            <w:pPr>
              <w:pStyle w:val="TableInfo"/>
              <w:rPr>
                <w:rFonts w:asciiTheme="majorHAnsi" w:hAnsiTheme="majorHAnsi" w:cstheme="majorHAnsi"/>
                <w:sz w:val="16"/>
                <w:szCs w:val="16"/>
              </w:rPr>
            </w:pPr>
            <w:r w:rsidRPr="00043A5D">
              <w:rPr>
                <w:rFonts w:asciiTheme="majorHAnsi" w:hAnsiTheme="majorHAnsi" w:cstheme="majorHAnsi"/>
                <w:sz w:val="16"/>
                <w:szCs w:val="16"/>
              </w:rPr>
              <w:t>tristan.newton@dmgmedia.tech</w:t>
            </w:r>
          </w:p>
        </w:tc>
      </w:tr>
      <w:tr w:rsidR="000D5C19" w:rsidRPr="0042693C" w14:paraId="112D63ED" w14:textId="77777777" w:rsidTr="00A2566D">
        <w:trPr>
          <w:cantSplit/>
        </w:trPr>
        <w:tc>
          <w:tcPr>
            <w:tcW w:w="1457" w:type="dxa"/>
          </w:tcPr>
          <w:p w14:paraId="0CCBEC0D" w14:textId="75D81DE1" w:rsidR="000D5C19" w:rsidRPr="00A61669" w:rsidRDefault="000D5C19" w:rsidP="000D5C19">
            <w:pPr>
              <w:pStyle w:val="TableInfo"/>
              <w:rPr>
                <w:rFonts w:asciiTheme="majorHAnsi" w:hAnsiTheme="majorHAnsi" w:cstheme="majorHAnsi"/>
                <w:sz w:val="16"/>
                <w:szCs w:val="16"/>
              </w:rPr>
            </w:pPr>
          </w:p>
        </w:tc>
        <w:tc>
          <w:tcPr>
            <w:tcW w:w="3052" w:type="dxa"/>
          </w:tcPr>
          <w:p w14:paraId="062B75E9" w14:textId="2F05353C" w:rsidR="000D5C19" w:rsidRPr="00A61669" w:rsidRDefault="000D5C19" w:rsidP="000D5C19">
            <w:pPr>
              <w:pStyle w:val="TableInfo"/>
              <w:rPr>
                <w:rFonts w:asciiTheme="majorHAnsi" w:hAnsiTheme="majorHAnsi" w:cstheme="majorHAnsi"/>
                <w:sz w:val="16"/>
                <w:szCs w:val="16"/>
              </w:rPr>
            </w:pPr>
          </w:p>
        </w:tc>
        <w:tc>
          <w:tcPr>
            <w:tcW w:w="2437" w:type="dxa"/>
          </w:tcPr>
          <w:p w14:paraId="4C570E30" w14:textId="2CAE1FC3" w:rsidR="000D5C19" w:rsidRPr="00A61669" w:rsidRDefault="000D5C19" w:rsidP="000D5C19">
            <w:pPr>
              <w:pStyle w:val="TableInfo"/>
              <w:rPr>
                <w:rFonts w:asciiTheme="majorHAnsi" w:hAnsiTheme="majorHAnsi" w:cstheme="majorHAnsi"/>
                <w:sz w:val="16"/>
                <w:szCs w:val="16"/>
                <w:lang w:val="en-GB"/>
              </w:rPr>
            </w:pPr>
          </w:p>
        </w:tc>
        <w:tc>
          <w:tcPr>
            <w:tcW w:w="3299" w:type="dxa"/>
          </w:tcPr>
          <w:p w14:paraId="42C81729" w14:textId="2635B466" w:rsidR="000D5C19" w:rsidRPr="00A61669" w:rsidRDefault="000D5C19" w:rsidP="000D5C19">
            <w:pPr>
              <w:pStyle w:val="TableInfo"/>
              <w:rPr>
                <w:rFonts w:asciiTheme="majorHAnsi" w:hAnsiTheme="majorHAnsi" w:cstheme="majorHAnsi"/>
                <w:sz w:val="16"/>
                <w:szCs w:val="16"/>
              </w:rPr>
            </w:pPr>
          </w:p>
        </w:tc>
      </w:tr>
      <w:tr w:rsidR="000D5C19" w:rsidRPr="0042693C" w14:paraId="4259BA55" w14:textId="77777777" w:rsidTr="00A2566D">
        <w:trPr>
          <w:cantSplit/>
        </w:trPr>
        <w:tc>
          <w:tcPr>
            <w:tcW w:w="1457" w:type="dxa"/>
          </w:tcPr>
          <w:p w14:paraId="155F4162" w14:textId="4FDBFD0D" w:rsidR="000D5C19" w:rsidRPr="00A61669" w:rsidRDefault="000D5C19" w:rsidP="000D5C19">
            <w:pPr>
              <w:pStyle w:val="TableInfo"/>
              <w:rPr>
                <w:rFonts w:asciiTheme="majorHAnsi" w:hAnsiTheme="majorHAnsi" w:cstheme="majorHAnsi"/>
                <w:sz w:val="16"/>
                <w:szCs w:val="16"/>
              </w:rPr>
            </w:pPr>
          </w:p>
        </w:tc>
        <w:tc>
          <w:tcPr>
            <w:tcW w:w="3052" w:type="dxa"/>
          </w:tcPr>
          <w:p w14:paraId="025C0E9E" w14:textId="1E8E3034" w:rsidR="000D5C19" w:rsidRPr="00A61669" w:rsidRDefault="000D5C19" w:rsidP="000D5C19">
            <w:pPr>
              <w:pStyle w:val="TableInfo"/>
              <w:rPr>
                <w:rFonts w:asciiTheme="majorHAnsi" w:hAnsiTheme="majorHAnsi" w:cstheme="majorHAnsi"/>
                <w:sz w:val="16"/>
                <w:szCs w:val="16"/>
              </w:rPr>
            </w:pPr>
          </w:p>
        </w:tc>
        <w:tc>
          <w:tcPr>
            <w:tcW w:w="2437" w:type="dxa"/>
          </w:tcPr>
          <w:p w14:paraId="20A977DA" w14:textId="7EFF2DD5" w:rsidR="000D5C19" w:rsidRPr="00A61669" w:rsidRDefault="000D5C19" w:rsidP="000D5C19">
            <w:pPr>
              <w:pStyle w:val="TableInfo"/>
              <w:rPr>
                <w:rFonts w:asciiTheme="majorHAnsi" w:hAnsiTheme="majorHAnsi" w:cstheme="majorHAnsi"/>
                <w:sz w:val="16"/>
                <w:szCs w:val="16"/>
                <w:lang w:val="en-GB"/>
              </w:rPr>
            </w:pPr>
          </w:p>
        </w:tc>
        <w:tc>
          <w:tcPr>
            <w:tcW w:w="3299" w:type="dxa"/>
          </w:tcPr>
          <w:p w14:paraId="20679F5F" w14:textId="73B52B90" w:rsidR="000D5C19" w:rsidRPr="00A61669" w:rsidRDefault="000D5C19" w:rsidP="000D5C19">
            <w:pPr>
              <w:pStyle w:val="TableInfo"/>
              <w:rPr>
                <w:rFonts w:asciiTheme="majorHAnsi" w:hAnsiTheme="majorHAnsi" w:cstheme="majorHAnsi"/>
                <w:sz w:val="16"/>
                <w:szCs w:val="16"/>
              </w:rPr>
            </w:pPr>
          </w:p>
        </w:tc>
      </w:tr>
      <w:tr w:rsidR="000D5C19" w:rsidRPr="0042693C" w14:paraId="337CCA0C" w14:textId="77777777" w:rsidTr="00A2566D">
        <w:trPr>
          <w:cantSplit/>
        </w:trPr>
        <w:tc>
          <w:tcPr>
            <w:tcW w:w="1457" w:type="dxa"/>
          </w:tcPr>
          <w:p w14:paraId="396BC4F0" w14:textId="1D99BB2E" w:rsidR="000D5C19" w:rsidRPr="00A61669" w:rsidRDefault="000D5C19" w:rsidP="000D5C19">
            <w:pPr>
              <w:pStyle w:val="TableInfo"/>
              <w:rPr>
                <w:rFonts w:asciiTheme="majorHAnsi" w:hAnsiTheme="majorHAnsi" w:cstheme="majorHAnsi"/>
                <w:sz w:val="16"/>
                <w:szCs w:val="16"/>
              </w:rPr>
            </w:pPr>
          </w:p>
        </w:tc>
        <w:tc>
          <w:tcPr>
            <w:tcW w:w="3052" w:type="dxa"/>
          </w:tcPr>
          <w:p w14:paraId="766F0420" w14:textId="04892D41" w:rsidR="000D5C19" w:rsidRPr="00A61669" w:rsidRDefault="000D5C19" w:rsidP="000D5C19">
            <w:pPr>
              <w:pStyle w:val="TableInfo"/>
              <w:rPr>
                <w:rFonts w:asciiTheme="majorHAnsi" w:hAnsiTheme="majorHAnsi" w:cstheme="majorHAnsi"/>
                <w:sz w:val="16"/>
                <w:szCs w:val="16"/>
              </w:rPr>
            </w:pPr>
          </w:p>
        </w:tc>
        <w:tc>
          <w:tcPr>
            <w:tcW w:w="2437" w:type="dxa"/>
          </w:tcPr>
          <w:p w14:paraId="1BFE30C5" w14:textId="4587C479" w:rsidR="000D5C19" w:rsidRPr="00A61669" w:rsidRDefault="000D5C19" w:rsidP="000D5C19">
            <w:pPr>
              <w:pStyle w:val="TableInfo"/>
              <w:rPr>
                <w:rFonts w:asciiTheme="majorHAnsi" w:hAnsiTheme="majorHAnsi" w:cstheme="majorHAnsi"/>
                <w:sz w:val="16"/>
                <w:szCs w:val="16"/>
                <w:lang w:val="en-GB"/>
              </w:rPr>
            </w:pPr>
          </w:p>
        </w:tc>
        <w:tc>
          <w:tcPr>
            <w:tcW w:w="3299" w:type="dxa"/>
          </w:tcPr>
          <w:p w14:paraId="01A1B3D6" w14:textId="77777777" w:rsidR="000D5C19" w:rsidRPr="00A61669" w:rsidRDefault="000D5C19" w:rsidP="000D5C19">
            <w:pPr>
              <w:pStyle w:val="TableInfo"/>
              <w:rPr>
                <w:rFonts w:asciiTheme="majorHAnsi" w:hAnsiTheme="majorHAnsi" w:cstheme="majorHAnsi"/>
                <w:sz w:val="16"/>
                <w:szCs w:val="16"/>
              </w:rPr>
            </w:pPr>
          </w:p>
        </w:tc>
      </w:tr>
      <w:tr w:rsidR="004B487A" w:rsidRPr="00A61669" w14:paraId="28E9660B" w14:textId="77777777" w:rsidTr="00A2566D">
        <w:trPr>
          <w:cantSplit/>
        </w:trPr>
        <w:tc>
          <w:tcPr>
            <w:tcW w:w="1457" w:type="dxa"/>
          </w:tcPr>
          <w:p w14:paraId="32D7F2F7" w14:textId="24B2CDB3" w:rsidR="004B487A" w:rsidRPr="00A61669" w:rsidRDefault="004B487A" w:rsidP="004B487A">
            <w:pPr>
              <w:pStyle w:val="TableInfo"/>
              <w:rPr>
                <w:rFonts w:asciiTheme="majorHAnsi" w:hAnsiTheme="majorHAnsi" w:cstheme="majorHAnsi"/>
                <w:sz w:val="16"/>
                <w:szCs w:val="16"/>
              </w:rPr>
            </w:pPr>
          </w:p>
        </w:tc>
        <w:tc>
          <w:tcPr>
            <w:tcW w:w="3052" w:type="dxa"/>
          </w:tcPr>
          <w:p w14:paraId="2190B19E" w14:textId="1F33E3B1" w:rsidR="004B487A" w:rsidRPr="00A064C7" w:rsidRDefault="004B487A" w:rsidP="004B487A">
            <w:pPr>
              <w:pStyle w:val="TableInfo"/>
              <w:rPr>
                <w:rFonts w:asciiTheme="majorHAnsi" w:hAnsiTheme="majorHAnsi" w:cstheme="majorHAnsi"/>
                <w:sz w:val="16"/>
                <w:szCs w:val="16"/>
                <w:lang w:val="en-GB"/>
              </w:rPr>
            </w:pPr>
          </w:p>
        </w:tc>
        <w:tc>
          <w:tcPr>
            <w:tcW w:w="2437" w:type="dxa"/>
          </w:tcPr>
          <w:p w14:paraId="46FAC39A" w14:textId="2DAE9FC4" w:rsidR="004B487A" w:rsidRPr="00A61669" w:rsidRDefault="004B487A" w:rsidP="004B487A">
            <w:pPr>
              <w:pStyle w:val="TableInfo"/>
              <w:rPr>
                <w:rFonts w:asciiTheme="majorHAnsi" w:hAnsiTheme="majorHAnsi" w:cstheme="majorHAnsi"/>
                <w:sz w:val="16"/>
                <w:szCs w:val="16"/>
              </w:rPr>
            </w:pPr>
          </w:p>
        </w:tc>
        <w:tc>
          <w:tcPr>
            <w:tcW w:w="3299" w:type="dxa"/>
          </w:tcPr>
          <w:p w14:paraId="1D2ED68B" w14:textId="77777777" w:rsidR="004B487A" w:rsidRPr="00A61669" w:rsidRDefault="004B487A" w:rsidP="004B487A">
            <w:pPr>
              <w:pStyle w:val="TableInfo"/>
              <w:rPr>
                <w:rFonts w:asciiTheme="majorHAnsi" w:hAnsiTheme="majorHAnsi" w:cstheme="majorHAnsi"/>
                <w:sz w:val="16"/>
                <w:szCs w:val="16"/>
              </w:rPr>
            </w:pPr>
          </w:p>
        </w:tc>
      </w:tr>
    </w:tbl>
    <w:p w14:paraId="074E18E9" w14:textId="77777777" w:rsidR="008C7F6F" w:rsidRPr="00A61669" w:rsidRDefault="008C7F6F" w:rsidP="008C7F6F">
      <w:pPr>
        <w:rPr>
          <w:rFonts w:asciiTheme="majorHAnsi" w:hAnsiTheme="majorHAnsi" w:cstheme="majorHAnsi"/>
        </w:rPr>
      </w:pPr>
    </w:p>
    <w:p w14:paraId="685180E5" w14:textId="77777777" w:rsidR="008C7F6F" w:rsidRPr="00A61669" w:rsidRDefault="008C7F6F" w:rsidP="008C7F6F">
      <w:pPr>
        <w:pStyle w:val="Heading2"/>
        <w:spacing w:line="360" w:lineRule="auto"/>
        <w:ind w:left="578" w:hanging="578"/>
        <w:rPr>
          <w:rFonts w:asciiTheme="majorHAnsi" w:hAnsiTheme="majorHAnsi" w:cstheme="majorHAnsi"/>
        </w:rPr>
      </w:pPr>
      <w:bookmarkStart w:id="4" w:name="_Toc227770881"/>
      <w:r w:rsidRPr="00A61669">
        <w:rPr>
          <w:rFonts w:asciiTheme="majorHAnsi" w:hAnsiTheme="majorHAnsi" w:cstheme="majorHAnsi"/>
        </w:rPr>
        <w:t>Document Version History</w:t>
      </w:r>
      <w:bookmarkEnd w:id="4"/>
    </w:p>
    <w:tbl>
      <w:tblPr>
        <w:tblW w:w="10245" w:type="dxa"/>
        <w:tblInd w:w="10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CellMar>
          <w:top w:w="100" w:type="dxa"/>
          <w:left w:w="100" w:type="dxa"/>
          <w:bottom w:w="100" w:type="dxa"/>
          <w:right w:w="100" w:type="dxa"/>
        </w:tblCellMar>
        <w:tblLook w:val="04A0" w:firstRow="1" w:lastRow="0" w:firstColumn="1" w:lastColumn="0" w:noHBand="0" w:noVBand="1"/>
      </w:tblPr>
      <w:tblGrid>
        <w:gridCol w:w="1740"/>
        <w:gridCol w:w="1985"/>
        <w:gridCol w:w="2126"/>
        <w:gridCol w:w="4394"/>
      </w:tblGrid>
      <w:tr w:rsidR="008C7F6F" w:rsidRPr="0042693C" w14:paraId="5DDC8672" w14:textId="77777777">
        <w:trPr>
          <w:cantSplit/>
        </w:trPr>
        <w:tc>
          <w:tcPr>
            <w:tcW w:w="1740" w:type="dxa"/>
            <w:shd w:val="clear" w:color="auto" w:fill="D9D9D9" w:themeFill="background1" w:themeFillShade="D9"/>
          </w:tcPr>
          <w:p w14:paraId="19CAB97F" w14:textId="77777777" w:rsidR="008C7F6F" w:rsidRPr="00A61669" w:rsidRDefault="008C7F6F">
            <w:pPr>
              <w:pStyle w:val="TableHeader"/>
              <w:rPr>
                <w:rFonts w:asciiTheme="majorHAnsi" w:hAnsiTheme="majorHAnsi" w:cstheme="majorHAnsi"/>
                <w:sz w:val="16"/>
                <w:szCs w:val="16"/>
              </w:rPr>
            </w:pPr>
            <w:r w:rsidRPr="00A61669">
              <w:rPr>
                <w:rFonts w:asciiTheme="majorHAnsi" w:hAnsiTheme="majorHAnsi" w:cstheme="majorHAnsi"/>
                <w:sz w:val="16"/>
                <w:szCs w:val="16"/>
              </w:rPr>
              <w:t>Version Number</w:t>
            </w:r>
          </w:p>
        </w:tc>
        <w:tc>
          <w:tcPr>
            <w:tcW w:w="1985" w:type="dxa"/>
            <w:shd w:val="clear" w:color="auto" w:fill="D9D9D9" w:themeFill="background1" w:themeFillShade="D9"/>
          </w:tcPr>
          <w:p w14:paraId="113AEA9F" w14:textId="77777777" w:rsidR="008C7F6F" w:rsidRPr="00A61669" w:rsidRDefault="008C7F6F">
            <w:pPr>
              <w:pStyle w:val="TableHeader"/>
              <w:rPr>
                <w:rFonts w:asciiTheme="majorHAnsi" w:hAnsiTheme="majorHAnsi" w:cstheme="majorHAnsi"/>
                <w:sz w:val="16"/>
                <w:szCs w:val="16"/>
              </w:rPr>
            </w:pPr>
            <w:r w:rsidRPr="00A61669">
              <w:rPr>
                <w:rFonts w:asciiTheme="majorHAnsi" w:hAnsiTheme="majorHAnsi" w:cstheme="majorHAnsi"/>
                <w:sz w:val="16"/>
                <w:szCs w:val="16"/>
              </w:rPr>
              <w:t>Version Date</w:t>
            </w:r>
          </w:p>
        </w:tc>
        <w:tc>
          <w:tcPr>
            <w:tcW w:w="2126" w:type="dxa"/>
            <w:shd w:val="clear" w:color="auto" w:fill="D9D9D9" w:themeFill="background1" w:themeFillShade="D9"/>
          </w:tcPr>
          <w:p w14:paraId="1C47930E" w14:textId="77777777" w:rsidR="008C7F6F" w:rsidRPr="00A61669" w:rsidRDefault="008C7F6F">
            <w:pPr>
              <w:pStyle w:val="TableHeader"/>
              <w:rPr>
                <w:rFonts w:asciiTheme="majorHAnsi" w:hAnsiTheme="majorHAnsi" w:cstheme="majorHAnsi"/>
                <w:sz w:val="16"/>
                <w:szCs w:val="16"/>
              </w:rPr>
            </w:pPr>
            <w:r w:rsidRPr="00A61669">
              <w:rPr>
                <w:rFonts w:asciiTheme="majorHAnsi" w:hAnsiTheme="majorHAnsi" w:cstheme="majorHAnsi"/>
                <w:sz w:val="16"/>
                <w:szCs w:val="16"/>
              </w:rPr>
              <w:t>Revised By</w:t>
            </w:r>
          </w:p>
        </w:tc>
        <w:tc>
          <w:tcPr>
            <w:tcW w:w="4394" w:type="dxa"/>
            <w:shd w:val="clear" w:color="auto" w:fill="D9D9D9" w:themeFill="background1" w:themeFillShade="D9"/>
          </w:tcPr>
          <w:p w14:paraId="00E149E5" w14:textId="77777777" w:rsidR="008C7F6F" w:rsidRPr="00A61669" w:rsidRDefault="008C7F6F">
            <w:pPr>
              <w:pStyle w:val="TableHeader"/>
              <w:rPr>
                <w:rFonts w:asciiTheme="majorHAnsi" w:hAnsiTheme="majorHAnsi" w:cstheme="majorHAnsi"/>
                <w:sz w:val="16"/>
                <w:szCs w:val="16"/>
              </w:rPr>
            </w:pPr>
            <w:r w:rsidRPr="00A61669">
              <w:rPr>
                <w:rFonts w:asciiTheme="majorHAnsi" w:hAnsiTheme="majorHAnsi" w:cstheme="majorHAnsi"/>
                <w:sz w:val="16"/>
                <w:szCs w:val="16"/>
              </w:rPr>
              <w:t>Description</w:t>
            </w:r>
          </w:p>
        </w:tc>
      </w:tr>
      <w:tr w:rsidR="008C7F6F" w:rsidRPr="0042693C" w14:paraId="7290183F" w14:textId="77777777">
        <w:trPr>
          <w:cantSplit/>
        </w:trPr>
        <w:tc>
          <w:tcPr>
            <w:tcW w:w="1740" w:type="dxa"/>
          </w:tcPr>
          <w:p w14:paraId="701E9C5A" w14:textId="54733AF9" w:rsidR="008C7F6F" w:rsidRPr="00A61669" w:rsidRDefault="008C7F6F">
            <w:pPr>
              <w:pStyle w:val="TableInfo"/>
              <w:rPr>
                <w:rFonts w:asciiTheme="majorHAnsi" w:hAnsiTheme="majorHAnsi" w:cstheme="majorHAnsi"/>
                <w:sz w:val="16"/>
                <w:szCs w:val="16"/>
              </w:rPr>
            </w:pPr>
            <w:r w:rsidRPr="00A61669">
              <w:rPr>
                <w:rFonts w:asciiTheme="majorHAnsi" w:hAnsiTheme="majorHAnsi" w:cstheme="majorHAnsi"/>
                <w:sz w:val="16"/>
                <w:szCs w:val="16"/>
              </w:rPr>
              <w:t>V</w:t>
            </w:r>
            <w:r w:rsidR="009F4972" w:rsidRPr="00A61669">
              <w:rPr>
                <w:rFonts w:asciiTheme="majorHAnsi" w:hAnsiTheme="majorHAnsi" w:cstheme="majorHAnsi"/>
                <w:sz w:val="16"/>
                <w:szCs w:val="16"/>
              </w:rPr>
              <w:t>1.0</w:t>
            </w:r>
          </w:p>
        </w:tc>
        <w:tc>
          <w:tcPr>
            <w:tcW w:w="1985" w:type="dxa"/>
          </w:tcPr>
          <w:p w14:paraId="6161254D" w14:textId="41576910" w:rsidR="008C7F6F" w:rsidRPr="00A61669" w:rsidRDefault="000D5C19">
            <w:pPr>
              <w:pStyle w:val="TableInfo"/>
              <w:rPr>
                <w:rFonts w:asciiTheme="majorHAnsi" w:hAnsiTheme="majorHAnsi" w:cstheme="majorHAnsi"/>
                <w:sz w:val="16"/>
                <w:szCs w:val="16"/>
              </w:rPr>
            </w:pPr>
            <w:r w:rsidRPr="00A61669">
              <w:rPr>
                <w:rFonts w:asciiTheme="majorHAnsi" w:hAnsiTheme="majorHAnsi" w:cstheme="majorHAnsi"/>
                <w:sz w:val="16"/>
                <w:szCs w:val="16"/>
              </w:rPr>
              <w:t>08/04/2026</w:t>
            </w:r>
          </w:p>
        </w:tc>
        <w:tc>
          <w:tcPr>
            <w:tcW w:w="2126" w:type="dxa"/>
          </w:tcPr>
          <w:p w14:paraId="66E0D782" w14:textId="27A82909" w:rsidR="008C7F6F" w:rsidRPr="00A61669" w:rsidRDefault="000D5C19">
            <w:pPr>
              <w:pStyle w:val="TableInfo"/>
              <w:rPr>
                <w:rFonts w:asciiTheme="majorHAnsi" w:hAnsiTheme="majorHAnsi" w:cstheme="majorHAnsi"/>
                <w:sz w:val="16"/>
                <w:szCs w:val="16"/>
              </w:rPr>
            </w:pPr>
            <w:r w:rsidRPr="00A61669">
              <w:rPr>
                <w:rFonts w:asciiTheme="majorHAnsi" w:hAnsiTheme="majorHAnsi" w:cstheme="majorHAnsi"/>
                <w:sz w:val="16"/>
                <w:szCs w:val="16"/>
              </w:rPr>
              <w:t>Rishabh Dogra</w:t>
            </w:r>
          </w:p>
        </w:tc>
        <w:tc>
          <w:tcPr>
            <w:tcW w:w="4394" w:type="dxa"/>
          </w:tcPr>
          <w:p w14:paraId="5AB87C94" w14:textId="4D0913EA" w:rsidR="008C7F6F" w:rsidRPr="00A61669" w:rsidRDefault="000D5C19">
            <w:pPr>
              <w:pStyle w:val="TableInfo"/>
              <w:rPr>
                <w:rFonts w:asciiTheme="majorHAnsi" w:hAnsiTheme="majorHAnsi" w:cstheme="majorHAnsi"/>
                <w:sz w:val="16"/>
                <w:szCs w:val="16"/>
              </w:rPr>
            </w:pPr>
            <w:r w:rsidRPr="00A61669">
              <w:rPr>
                <w:rFonts w:asciiTheme="majorHAnsi" w:hAnsiTheme="majorHAnsi" w:cstheme="majorHAnsi"/>
                <w:sz w:val="16"/>
                <w:szCs w:val="16"/>
              </w:rPr>
              <w:t xml:space="preserve">Initial Draft </w:t>
            </w:r>
          </w:p>
        </w:tc>
      </w:tr>
      <w:tr w:rsidR="000D5C19" w:rsidRPr="0042693C" w14:paraId="4A771000" w14:textId="77777777">
        <w:trPr>
          <w:cantSplit/>
        </w:trPr>
        <w:tc>
          <w:tcPr>
            <w:tcW w:w="1740" w:type="dxa"/>
          </w:tcPr>
          <w:p w14:paraId="0A16B82C" w14:textId="55819A2B" w:rsidR="000D5C19" w:rsidRPr="00A61669" w:rsidRDefault="000D5C19">
            <w:pPr>
              <w:pStyle w:val="TableInfo"/>
              <w:rPr>
                <w:rFonts w:asciiTheme="majorHAnsi" w:hAnsiTheme="majorHAnsi" w:cstheme="majorHAnsi"/>
                <w:sz w:val="16"/>
                <w:szCs w:val="16"/>
              </w:rPr>
            </w:pPr>
            <w:r w:rsidRPr="00A61669">
              <w:rPr>
                <w:rFonts w:asciiTheme="majorHAnsi" w:hAnsiTheme="majorHAnsi" w:cstheme="majorHAnsi"/>
                <w:sz w:val="16"/>
                <w:szCs w:val="16"/>
              </w:rPr>
              <w:t>V2</w:t>
            </w:r>
            <w:r w:rsidR="009F4972" w:rsidRPr="00A61669">
              <w:rPr>
                <w:rFonts w:asciiTheme="majorHAnsi" w:hAnsiTheme="majorHAnsi" w:cstheme="majorHAnsi"/>
                <w:sz w:val="16"/>
                <w:szCs w:val="16"/>
              </w:rPr>
              <w:t>.0</w:t>
            </w:r>
          </w:p>
        </w:tc>
        <w:tc>
          <w:tcPr>
            <w:tcW w:w="1985" w:type="dxa"/>
          </w:tcPr>
          <w:p w14:paraId="24A43658" w14:textId="1F32BA5A" w:rsidR="000D5C19" w:rsidRPr="00A61669" w:rsidRDefault="000D5C19">
            <w:pPr>
              <w:pStyle w:val="TableInfo"/>
              <w:rPr>
                <w:rFonts w:asciiTheme="majorHAnsi" w:hAnsiTheme="majorHAnsi" w:cstheme="majorHAnsi"/>
                <w:sz w:val="16"/>
                <w:szCs w:val="16"/>
              </w:rPr>
            </w:pPr>
            <w:r w:rsidRPr="00A61669">
              <w:rPr>
                <w:rFonts w:asciiTheme="majorHAnsi" w:hAnsiTheme="majorHAnsi" w:cstheme="majorHAnsi"/>
                <w:sz w:val="16"/>
                <w:szCs w:val="16"/>
              </w:rPr>
              <w:t>22/04/2026</w:t>
            </w:r>
          </w:p>
        </w:tc>
        <w:tc>
          <w:tcPr>
            <w:tcW w:w="2126" w:type="dxa"/>
          </w:tcPr>
          <w:p w14:paraId="4AC596F3" w14:textId="6A874418" w:rsidR="000D5C19" w:rsidRPr="00A61669" w:rsidRDefault="000D5C19">
            <w:pPr>
              <w:pStyle w:val="TableInfo"/>
              <w:rPr>
                <w:rFonts w:asciiTheme="majorHAnsi" w:hAnsiTheme="majorHAnsi" w:cstheme="majorHAnsi"/>
                <w:sz w:val="16"/>
                <w:szCs w:val="16"/>
              </w:rPr>
            </w:pPr>
            <w:r w:rsidRPr="00A61669">
              <w:rPr>
                <w:rFonts w:asciiTheme="majorHAnsi" w:hAnsiTheme="majorHAnsi" w:cstheme="majorHAnsi"/>
                <w:sz w:val="16"/>
                <w:szCs w:val="16"/>
              </w:rPr>
              <w:t>Rishabh Dogra</w:t>
            </w:r>
          </w:p>
        </w:tc>
        <w:tc>
          <w:tcPr>
            <w:tcW w:w="4394" w:type="dxa"/>
          </w:tcPr>
          <w:p w14:paraId="193CBEF9" w14:textId="66AE7C5B" w:rsidR="000D5C19" w:rsidRPr="00A61669" w:rsidRDefault="000D5C19">
            <w:pPr>
              <w:pStyle w:val="TableInfo"/>
              <w:rPr>
                <w:rFonts w:asciiTheme="majorHAnsi" w:hAnsiTheme="majorHAnsi" w:cstheme="majorHAnsi"/>
                <w:sz w:val="16"/>
                <w:szCs w:val="16"/>
              </w:rPr>
            </w:pPr>
            <w:r w:rsidRPr="00A61669">
              <w:rPr>
                <w:rFonts w:asciiTheme="majorHAnsi" w:hAnsiTheme="majorHAnsi" w:cstheme="majorHAnsi"/>
                <w:sz w:val="16"/>
                <w:szCs w:val="16"/>
              </w:rPr>
              <w:t>Second Draft</w:t>
            </w:r>
          </w:p>
        </w:tc>
      </w:tr>
      <w:tr w:rsidR="009F4972" w:rsidRPr="00A61669" w14:paraId="023A763F" w14:textId="77777777">
        <w:trPr>
          <w:cantSplit/>
        </w:trPr>
        <w:tc>
          <w:tcPr>
            <w:tcW w:w="1740" w:type="dxa"/>
          </w:tcPr>
          <w:p w14:paraId="067CA5B3" w14:textId="3B9E9242" w:rsidR="009F4972" w:rsidRPr="00A61669" w:rsidRDefault="004B487A">
            <w:pPr>
              <w:pStyle w:val="TableInfo"/>
              <w:rPr>
                <w:rFonts w:asciiTheme="majorHAnsi" w:hAnsiTheme="majorHAnsi" w:cstheme="majorHAnsi"/>
                <w:sz w:val="16"/>
                <w:szCs w:val="16"/>
              </w:rPr>
            </w:pPr>
            <w:r w:rsidRPr="00A61669">
              <w:rPr>
                <w:rFonts w:asciiTheme="majorHAnsi" w:hAnsiTheme="majorHAnsi" w:cstheme="majorHAnsi"/>
                <w:sz w:val="16"/>
                <w:szCs w:val="16"/>
              </w:rPr>
              <w:t>V3.0</w:t>
            </w:r>
          </w:p>
        </w:tc>
        <w:tc>
          <w:tcPr>
            <w:tcW w:w="1985" w:type="dxa"/>
          </w:tcPr>
          <w:p w14:paraId="76ED6A9D" w14:textId="4A838891" w:rsidR="009F4972" w:rsidRPr="00A61669" w:rsidRDefault="004B487A">
            <w:pPr>
              <w:pStyle w:val="TableInfo"/>
              <w:rPr>
                <w:rFonts w:asciiTheme="majorHAnsi" w:hAnsiTheme="majorHAnsi" w:cstheme="majorHAnsi"/>
                <w:sz w:val="16"/>
                <w:szCs w:val="16"/>
              </w:rPr>
            </w:pPr>
            <w:r w:rsidRPr="00A61669">
              <w:rPr>
                <w:rFonts w:asciiTheme="majorHAnsi" w:hAnsiTheme="majorHAnsi" w:cstheme="majorHAnsi"/>
                <w:sz w:val="16"/>
                <w:szCs w:val="16"/>
              </w:rPr>
              <w:t>01/05/2026</w:t>
            </w:r>
          </w:p>
        </w:tc>
        <w:tc>
          <w:tcPr>
            <w:tcW w:w="2126" w:type="dxa"/>
          </w:tcPr>
          <w:p w14:paraId="0D1FF7C8" w14:textId="5434EF77" w:rsidR="009F4972" w:rsidRPr="00A61669" w:rsidRDefault="004B487A">
            <w:pPr>
              <w:pStyle w:val="TableInfo"/>
              <w:rPr>
                <w:rFonts w:asciiTheme="majorHAnsi" w:hAnsiTheme="majorHAnsi" w:cstheme="majorHAnsi"/>
                <w:sz w:val="16"/>
                <w:szCs w:val="16"/>
              </w:rPr>
            </w:pPr>
            <w:r w:rsidRPr="00A61669">
              <w:rPr>
                <w:rFonts w:asciiTheme="majorHAnsi" w:hAnsiTheme="majorHAnsi" w:cstheme="majorHAnsi"/>
                <w:sz w:val="16"/>
                <w:szCs w:val="16"/>
              </w:rPr>
              <w:t>Scott Beckford</w:t>
            </w:r>
          </w:p>
        </w:tc>
        <w:tc>
          <w:tcPr>
            <w:tcW w:w="4394" w:type="dxa"/>
          </w:tcPr>
          <w:p w14:paraId="1E7178F8" w14:textId="6888BCFC" w:rsidR="009F4972" w:rsidRPr="00A61669" w:rsidRDefault="009F4972">
            <w:pPr>
              <w:pStyle w:val="TableInfo"/>
              <w:rPr>
                <w:rFonts w:asciiTheme="majorHAnsi" w:hAnsiTheme="majorHAnsi" w:cstheme="majorHAnsi"/>
                <w:sz w:val="16"/>
                <w:szCs w:val="16"/>
              </w:rPr>
            </w:pPr>
            <w:r w:rsidRPr="00A61669">
              <w:rPr>
                <w:rFonts w:asciiTheme="majorHAnsi" w:hAnsiTheme="majorHAnsi" w:cstheme="majorHAnsi"/>
                <w:sz w:val="16"/>
                <w:szCs w:val="16"/>
              </w:rPr>
              <w:t>Release Version</w:t>
            </w:r>
          </w:p>
        </w:tc>
      </w:tr>
    </w:tbl>
    <w:p w14:paraId="1CFF2AF7" w14:textId="77777777" w:rsidR="008C7F6F" w:rsidRPr="00A61669" w:rsidRDefault="008C7F6F" w:rsidP="008C7F6F">
      <w:pPr>
        <w:jc w:val="both"/>
        <w:rPr>
          <w:rFonts w:asciiTheme="majorHAnsi" w:hAnsiTheme="majorHAnsi" w:cstheme="majorHAnsi"/>
        </w:rPr>
      </w:pPr>
    </w:p>
    <w:p w14:paraId="65EB4A6C" w14:textId="77777777" w:rsidR="00732108" w:rsidRPr="00A61669" w:rsidRDefault="00732108" w:rsidP="008C7F6F">
      <w:pPr>
        <w:jc w:val="both"/>
        <w:rPr>
          <w:rFonts w:asciiTheme="majorHAnsi" w:hAnsiTheme="majorHAnsi" w:cstheme="majorHAnsi"/>
        </w:rPr>
      </w:pPr>
    </w:p>
    <w:p w14:paraId="01F812C2" w14:textId="492F3994" w:rsidR="00901E7D" w:rsidRPr="00A61669" w:rsidRDefault="00F23729" w:rsidP="008C7F6F">
      <w:pPr>
        <w:spacing w:after="160"/>
        <w:rPr>
          <w:rFonts w:asciiTheme="majorHAnsi" w:eastAsiaTheme="majorEastAsia" w:hAnsiTheme="majorHAnsi" w:cstheme="majorHAnsi"/>
          <w:color w:val="EB0000"/>
          <w:sz w:val="36"/>
          <w:szCs w:val="32"/>
        </w:rPr>
      </w:pPr>
      <w:r w:rsidRPr="00A61669">
        <w:rPr>
          <w:rFonts w:asciiTheme="majorHAnsi" w:hAnsiTheme="majorHAnsi" w:cstheme="majorHAnsi"/>
        </w:rPr>
        <w:br w:type="page"/>
      </w:r>
    </w:p>
    <w:p w14:paraId="00000001" w14:textId="00000002" w:rsidR="000B0F63" w:rsidRPr="00A61669" w:rsidRDefault="1BAB210A" w:rsidP="00E40261">
      <w:pPr>
        <w:pStyle w:val="Heading1"/>
        <w:jc w:val="both"/>
        <w:rPr>
          <w:rFonts w:asciiTheme="majorHAnsi" w:hAnsiTheme="majorHAnsi" w:cstheme="majorHAnsi"/>
        </w:rPr>
      </w:pPr>
      <w:bookmarkStart w:id="5" w:name="_Toc101"/>
      <w:bookmarkStart w:id="6" w:name="_Toc227770882"/>
      <w:bookmarkStart w:id="7" w:name="_Toc228549353"/>
      <w:r w:rsidRPr="00A61669">
        <w:rPr>
          <w:rFonts w:asciiTheme="majorHAnsi" w:hAnsiTheme="majorHAnsi" w:cstheme="majorHAnsi"/>
        </w:rPr>
        <w:lastRenderedPageBreak/>
        <w:t>Section 1: Executive Summary</w:t>
      </w:r>
      <w:bookmarkEnd w:id="5"/>
      <w:bookmarkEnd w:id="6"/>
      <w:bookmarkEnd w:id="7"/>
    </w:p>
    <w:p w14:paraId="04D4E2B2" w14:textId="77777777" w:rsidR="00113287" w:rsidRDefault="00113287" w:rsidP="0017401F">
      <w:pPr>
        <w:pStyle w:val="Heading2"/>
        <w:jc w:val="both"/>
        <w:rPr>
          <w:rFonts w:asciiTheme="majorHAnsi" w:hAnsiTheme="majorHAnsi" w:cstheme="majorHAnsi"/>
        </w:rPr>
      </w:pPr>
      <w:bookmarkStart w:id="8" w:name="_Toc102"/>
      <w:bookmarkStart w:id="9" w:name="_Toc227770883"/>
      <w:r>
        <w:rPr>
          <w:rFonts w:asciiTheme="majorHAnsi" w:hAnsiTheme="majorHAnsi" w:cstheme="majorHAnsi"/>
        </w:rPr>
        <w:t xml:space="preserve">Our Understanding of DMG Media </w:t>
      </w:r>
    </w:p>
    <w:p w14:paraId="0D5395EA" w14:textId="77777777" w:rsidR="00113287" w:rsidRDefault="00113287" w:rsidP="00113287">
      <w:pPr>
        <w:rPr>
          <w:b/>
          <w:bCs/>
        </w:rPr>
      </w:pPr>
      <w:r>
        <w:rPr>
          <w:b/>
          <w:bCs/>
        </w:rPr>
        <w:t>DMG media is a g</w:t>
      </w:r>
      <w:r w:rsidRPr="00113287">
        <w:rPr>
          <w:b/>
          <w:bCs/>
        </w:rPr>
        <w:t xml:space="preserve">lobal publishing leader operating at massive digital scale </w:t>
      </w:r>
    </w:p>
    <w:p w14:paraId="7F2C1D25" w14:textId="4D569309" w:rsidR="00113287" w:rsidRPr="00113287" w:rsidRDefault="00113287" w:rsidP="00113287">
      <w:r w:rsidRPr="00113287">
        <w:t>DMG Media owns flagship brands including Daily Mail, MailOnline, Metro, The i Paper and New Scientist, reaching ~108M monthly users globally, with MailOnline one of the world’s largest English-language news platforms. This positions the group as one of the largest consumer media platforms in Europe, with significant audience reach across the UK, US and Australia.</w:t>
      </w:r>
    </w:p>
    <w:p w14:paraId="380010CB" w14:textId="77777777" w:rsidR="00D162B9" w:rsidRDefault="00113287" w:rsidP="00113287">
      <w:pPr>
        <w:rPr>
          <w:b/>
          <w:bCs/>
        </w:rPr>
      </w:pPr>
      <w:r w:rsidRPr="00113287">
        <w:rPr>
          <w:b/>
          <w:bCs/>
        </w:rPr>
        <w:t>Clear</w:t>
      </w:r>
      <w:r w:rsidR="00E222AD">
        <w:rPr>
          <w:b/>
          <w:bCs/>
        </w:rPr>
        <w:t xml:space="preserve"> strategic</w:t>
      </w:r>
      <w:r w:rsidRPr="00113287">
        <w:rPr>
          <w:b/>
          <w:bCs/>
        </w:rPr>
        <w:t xml:space="preserve"> pivot to a subscription-led, customer-centric model </w:t>
      </w:r>
    </w:p>
    <w:p w14:paraId="5A67098E" w14:textId="407DDFD0" w:rsidR="00113287" w:rsidRPr="00113287" w:rsidRDefault="00113287" w:rsidP="00113287">
      <w:r w:rsidRPr="00113287">
        <w:t>The organisation is executing a “One Daily Mail” strategy targeting 1M digital subscribers within three years, building on a base of 325K+ subscribers globally following the launch of Mail+. This marks a strategic shift from a predominantly advertising-led model toward diversified, recurring reader revenue.</w:t>
      </w:r>
    </w:p>
    <w:p w14:paraId="5AB6847F" w14:textId="77777777" w:rsidR="00D162B9" w:rsidRDefault="00113287" w:rsidP="00113287">
      <w:pPr>
        <w:rPr>
          <w:b/>
          <w:bCs/>
        </w:rPr>
      </w:pPr>
      <w:r w:rsidRPr="00113287">
        <w:rPr>
          <w:b/>
          <w:bCs/>
        </w:rPr>
        <w:t xml:space="preserve">Data-driven experimentation underpinning growth strategy </w:t>
      </w:r>
    </w:p>
    <w:p w14:paraId="3DE662D4" w14:textId="75911A9A" w:rsidR="00113287" w:rsidRPr="00113287" w:rsidRDefault="00113287" w:rsidP="00113287">
      <w:r w:rsidRPr="00113287">
        <w:t>Digital subscription growth is being driven through a test-and-learn model, with continuous experimentation across pricing, content, and user journeys. The business is leveraging platforms like Piano to enable propensity modelling, segmentation, and conversion optimisation, embedding data into commercial decision-making.</w:t>
      </w:r>
    </w:p>
    <w:p w14:paraId="2A7DB4FD" w14:textId="77777777" w:rsidR="00D162B9" w:rsidRDefault="00113287" w:rsidP="00113287">
      <w:pPr>
        <w:rPr>
          <w:b/>
          <w:bCs/>
        </w:rPr>
      </w:pPr>
      <w:r w:rsidRPr="00113287">
        <w:rPr>
          <w:b/>
          <w:bCs/>
        </w:rPr>
        <w:t xml:space="preserve">Operating at global content scale with highly industrialised production </w:t>
      </w:r>
    </w:p>
    <w:p w14:paraId="4A6A3B7A" w14:textId="2705F466" w:rsidR="00113287" w:rsidRPr="00113287" w:rsidRDefault="00113287" w:rsidP="00113287">
      <w:r w:rsidRPr="00113287">
        <w:t>MailOnline attracts 120M+ global users and publishes ~1,500 articles per day, supported by large, distributed editorial teams. This level of output reflects highly industrialised content operations, requiring scalable platforms to support publishing, distribution, and audience engagement in real time.</w:t>
      </w:r>
    </w:p>
    <w:p w14:paraId="788AEBCE" w14:textId="77777777" w:rsidR="00D162B9" w:rsidRDefault="00113287" w:rsidP="00113287">
      <w:pPr>
        <w:rPr>
          <w:b/>
          <w:bCs/>
        </w:rPr>
      </w:pPr>
      <w:r w:rsidRPr="00113287">
        <w:rPr>
          <w:b/>
          <w:bCs/>
        </w:rPr>
        <w:t xml:space="preserve">Market-leading engagement across digital news platforms </w:t>
      </w:r>
    </w:p>
    <w:p w14:paraId="687896B4" w14:textId="33950FC6" w:rsidR="00113287" w:rsidRPr="00113287" w:rsidRDefault="00113287" w:rsidP="00113287">
      <w:r w:rsidRPr="00113287">
        <w:t>MailOnline consistently ranks as the number 1 commercial news site in the UK, with industry-leading reach and strong time spent metrics. This level of engagement provides a strong foundation for monetisation through both advertising and subscription models.</w:t>
      </w:r>
    </w:p>
    <w:p w14:paraId="0300C18B" w14:textId="77777777" w:rsidR="00D162B9" w:rsidRDefault="00113287" w:rsidP="00113287">
      <w:pPr>
        <w:rPr>
          <w:b/>
          <w:bCs/>
        </w:rPr>
      </w:pPr>
      <w:r w:rsidRPr="00113287">
        <w:rPr>
          <w:b/>
          <w:bCs/>
        </w:rPr>
        <w:t xml:space="preserve">Next phase: AI-led growth and personalisation requires modern platforms </w:t>
      </w:r>
    </w:p>
    <w:p w14:paraId="753A59FE" w14:textId="0485259E" w:rsidR="00113287" w:rsidRDefault="00113287" w:rsidP="00113287">
      <w:r w:rsidRPr="00113287">
        <w:t>DMG Media is investing in AI-enabled editorial tooling, analytics, apps, newsletters, and digital product innovation to support growth in subscriptions and engagement. As these capabilities scale, the need increases for integrated data platforms, real-time decisioning, and flexible infrastructure to support experimentation, personalisation, and global delivery.</w:t>
      </w:r>
    </w:p>
    <w:p w14:paraId="1B50B88B" w14:textId="77777777" w:rsidR="00D162B9" w:rsidRPr="00D162B9" w:rsidRDefault="00D162B9" w:rsidP="00D162B9">
      <w:r w:rsidRPr="00D162B9">
        <w:rPr>
          <w:b/>
          <w:bCs/>
        </w:rPr>
        <w:lastRenderedPageBreak/>
        <w:t>DMG Media has built a scaled digital publisher, the next phase of growth will be defined by its ability to standardise, automate, and operationalise data and AI at scale</w:t>
      </w:r>
    </w:p>
    <w:p w14:paraId="17CB0FC3" w14:textId="4C001201" w:rsidR="00227363" w:rsidRPr="00227363" w:rsidRDefault="00CD511F" w:rsidP="00227363">
      <w:pPr>
        <w:pStyle w:val="Heading2"/>
        <w:jc w:val="both"/>
        <w:rPr>
          <w:rFonts w:asciiTheme="majorHAnsi" w:hAnsiTheme="majorHAnsi" w:cstheme="majorHAnsi"/>
        </w:rPr>
      </w:pPr>
      <w:r>
        <w:rPr>
          <w:rFonts w:asciiTheme="majorHAnsi" w:hAnsiTheme="majorHAnsi" w:cstheme="majorHAnsi"/>
        </w:rPr>
        <w:t xml:space="preserve">Opportunities </w:t>
      </w:r>
      <w:r w:rsidR="00227363" w:rsidRPr="00227363">
        <w:rPr>
          <w:rFonts w:asciiTheme="majorHAnsi" w:hAnsiTheme="majorHAnsi" w:cstheme="majorHAnsi"/>
        </w:rPr>
        <w:t>(With Transformation)</w:t>
      </w:r>
    </w:p>
    <w:p w14:paraId="143F1D2E" w14:textId="6428774A" w:rsidR="00CD511F" w:rsidRPr="00227363" w:rsidRDefault="00227363" w:rsidP="00227363">
      <w:pPr>
        <w:rPr>
          <w:b/>
          <w:bCs/>
        </w:rPr>
      </w:pPr>
      <w:r w:rsidRPr="00227363">
        <w:rPr>
          <w:b/>
          <w:bCs/>
        </w:rPr>
        <w:t>"From Complexity to Capability"</w:t>
      </w:r>
    </w:p>
    <w:p w14:paraId="682366DA" w14:textId="77777777" w:rsidR="004C2E38" w:rsidRDefault="00F93D53" w:rsidP="00F57DAB">
      <w:pPr>
        <w:pStyle w:val="ListParagraph"/>
        <w:numPr>
          <w:ilvl w:val="0"/>
          <w:numId w:val="58"/>
        </w:numPr>
        <w:rPr>
          <w:b/>
          <w:bCs/>
        </w:rPr>
      </w:pPr>
      <w:r w:rsidRPr="004C2E38">
        <w:rPr>
          <w:b/>
          <w:bCs/>
        </w:rPr>
        <w:t xml:space="preserve">AI-enabled growth and personalisation at scale </w:t>
      </w:r>
    </w:p>
    <w:p w14:paraId="312DB8F3" w14:textId="77777777" w:rsidR="004C2E38" w:rsidRPr="004C2E38" w:rsidRDefault="00F93D53" w:rsidP="00F57DAB">
      <w:pPr>
        <w:pStyle w:val="ListParagraph"/>
        <w:numPr>
          <w:ilvl w:val="1"/>
          <w:numId w:val="58"/>
        </w:numPr>
        <w:rPr>
          <w:b/>
          <w:bCs/>
        </w:rPr>
      </w:pPr>
      <w:r w:rsidRPr="00F93D53">
        <w:t xml:space="preserve">Enable data-driven content, automation, and decisioning </w:t>
      </w:r>
    </w:p>
    <w:p w14:paraId="421D1081" w14:textId="77777777" w:rsidR="004C2E38" w:rsidRPr="004C2E38" w:rsidRDefault="00F93D53" w:rsidP="00F57DAB">
      <w:pPr>
        <w:pStyle w:val="ListParagraph"/>
        <w:numPr>
          <w:ilvl w:val="1"/>
          <w:numId w:val="58"/>
        </w:numPr>
        <w:rPr>
          <w:b/>
          <w:bCs/>
        </w:rPr>
      </w:pPr>
      <w:r w:rsidRPr="00F93D53">
        <w:t>Move from isolated AI use cases → platform-wide capability</w:t>
      </w:r>
    </w:p>
    <w:p w14:paraId="0831A961" w14:textId="300E085A" w:rsidR="00F93D53" w:rsidRPr="004C2E38" w:rsidRDefault="00F93D53" w:rsidP="00F57DAB">
      <w:pPr>
        <w:pStyle w:val="ListParagraph"/>
        <w:numPr>
          <w:ilvl w:val="0"/>
          <w:numId w:val="58"/>
        </w:numPr>
        <w:rPr>
          <w:b/>
          <w:bCs/>
        </w:rPr>
      </w:pPr>
      <w:r w:rsidRPr="004C2E38">
        <w:rPr>
          <w:b/>
          <w:bCs/>
        </w:rPr>
        <w:t xml:space="preserve">Cost optimisation through utilisation alignment </w:t>
      </w:r>
    </w:p>
    <w:p w14:paraId="743BA8E7" w14:textId="77777777" w:rsidR="00F93D53" w:rsidRPr="00F93D53" w:rsidRDefault="00F93D53" w:rsidP="00F57DAB">
      <w:pPr>
        <w:pStyle w:val="ListParagraph"/>
        <w:numPr>
          <w:ilvl w:val="1"/>
          <w:numId w:val="58"/>
        </w:numPr>
      </w:pPr>
      <w:r w:rsidRPr="00F93D53">
        <w:t>Match cost to demand: Eliminate overprovisioning and shift from fixed capacity to consumption-based infrastructure</w:t>
      </w:r>
    </w:p>
    <w:p w14:paraId="2FCBAEBD" w14:textId="77777777" w:rsidR="00F93D53" w:rsidRPr="00F93D53" w:rsidRDefault="00F93D53" w:rsidP="00F57DAB">
      <w:pPr>
        <w:pStyle w:val="ListParagraph"/>
        <w:numPr>
          <w:ilvl w:val="1"/>
          <w:numId w:val="58"/>
        </w:numPr>
      </w:pPr>
      <w:r w:rsidRPr="00F93D53">
        <w:t>Embed FinOps discipline: Drive cost visibility, accountability, and continuous rightsizing across teams</w:t>
      </w:r>
    </w:p>
    <w:p w14:paraId="33FB5636" w14:textId="77777777" w:rsidR="00F93D53" w:rsidRPr="00F93D53" w:rsidRDefault="00F93D53" w:rsidP="00F57DAB">
      <w:pPr>
        <w:pStyle w:val="ListParagraph"/>
        <w:numPr>
          <w:ilvl w:val="1"/>
          <w:numId w:val="58"/>
        </w:numPr>
      </w:pPr>
      <w:r w:rsidRPr="00F93D53">
        <w:t>Activate cloud cost levers: Optimise through storage tiering, platform modernisation, and application rationalisation</w:t>
      </w:r>
    </w:p>
    <w:p w14:paraId="4C272F62" w14:textId="77777777" w:rsidR="00F93D53" w:rsidRPr="00F93D53" w:rsidRDefault="00F93D53" w:rsidP="00F57DAB">
      <w:pPr>
        <w:pStyle w:val="ListParagraph"/>
        <w:numPr>
          <w:ilvl w:val="1"/>
          <w:numId w:val="58"/>
        </w:numPr>
      </w:pPr>
      <w:r w:rsidRPr="00F93D53">
        <w:t>Realise savings progressively: Deliver early wins, then scale optimisation and transformation over time</w:t>
      </w:r>
    </w:p>
    <w:p w14:paraId="16518D4F" w14:textId="77777777" w:rsidR="00F93D53" w:rsidRPr="004C2E38" w:rsidRDefault="00F93D53" w:rsidP="00F57DAB">
      <w:pPr>
        <w:pStyle w:val="ListParagraph"/>
        <w:numPr>
          <w:ilvl w:val="0"/>
          <w:numId w:val="58"/>
        </w:numPr>
        <w:rPr>
          <w:b/>
          <w:bCs/>
        </w:rPr>
      </w:pPr>
      <w:r w:rsidRPr="004C2E38">
        <w:rPr>
          <w:b/>
          <w:bCs/>
        </w:rPr>
        <w:t xml:space="preserve">Standardisation and simplification </w:t>
      </w:r>
    </w:p>
    <w:p w14:paraId="51A6C6D8" w14:textId="77777777" w:rsidR="00F93D53" w:rsidRPr="00F93D53" w:rsidRDefault="00F93D53" w:rsidP="00F57DAB">
      <w:pPr>
        <w:pStyle w:val="ListParagraph"/>
        <w:numPr>
          <w:ilvl w:val="1"/>
          <w:numId w:val="58"/>
        </w:numPr>
      </w:pPr>
      <w:r w:rsidRPr="00F93D53">
        <w:t xml:space="preserve">Unified platform across brands </w:t>
      </w:r>
    </w:p>
    <w:p w14:paraId="062740B0" w14:textId="77777777" w:rsidR="00F93D53" w:rsidRPr="00F93D53" w:rsidRDefault="00F93D53" w:rsidP="00F57DAB">
      <w:pPr>
        <w:pStyle w:val="ListParagraph"/>
        <w:numPr>
          <w:ilvl w:val="1"/>
          <w:numId w:val="58"/>
        </w:numPr>
      </w:pPr>
      <w:r w:rsidRPr="00F93D53">
        <w:t xml:space="preserve">Reduced operational complexity and faster delivery </w:t>
      </w:r>
    </w:p>
    <w:p w14:paraId="2AE948DA" w14:textId="77777777" w:rsidR="00F93D53" w:rsidRPr="004C2E38" w:rsidRDefault="00F93D53" w:rsidP="00F57DAB">
      <w:pPr>
        <w:pStyle w:val="ListParagraph"/>
        <w:numPr>
          <w:ilvl w:val="0"/>
          <w:numId w:val="58"/>
        </w:numPr>
        <w:rPr>
          <w:b/>
          <w:bCs/>
        </w:rPr>
      </w:pPr>
      <w:r w:rsidRPr="004C2E38">
        <w:rPr>
          <w:b/>
          <w:bCs/>
        </w:rPr>
        <w:t xml:space="preserve">Incremental value delivery (not big bang) </w:t>
      </w:r>
    </w:p>
    <w:p w14:paraId="529C8D6A" w14:textId="77777777" w:rsidR="00F93D53" w:rsidRPr="00F93D53" w:rsidRDefault="00F93D53" w:rsidP="00F57DAB">
      <w:pPr>
        <w:pStyle w:val="ListParagraph"/>
        <w:numPr>
          <w:ilvl w:val="1"/>
          <w:numId w:val="58"/>
        </w:numPr>
      </w:pPr>
      <w:r w:rsidRPr="00F93D53">
        <w:t xml:space="preserve">Early wins (e.g. Sydney DC exit, rightsizing) </w:t>
      </w:r>
    </w:p>
    <w:p w14:paraId="5AE9FA84" w14:textId="77777777" w:rsidR="00F93D53" w:rsidRPr="00F93D53" w:rsidRDefault="00F93D53" w:rsidP="00F57DAB">
      <w:pPr>
        <w:pStyle w:val="ListParagraph"/>
        <w:numPr>
          <w:ilvl w:val="1"/>
          <w:numId w:val="58"/>
        </w:numPr>
      </w:pPr>
      <w:r w:rsidRPr="00F93D53">
        <w:t>Ongoing optimisation through migration phases</w:t>
      </w:r>
    </w:p>
    <w:p w14:paraId="5D3C8014" w14:textId="260E661E" w:rsidR="00F93D53" w:rsidRPr="004C2E38" w:rsidRDefault="00F93D53" w:rsidP="00F57DAB">
      <w:pPr>
        <w:pStyle w:val="ListParagraph"/>
        <w:numPr>
          <w:ilvl w:val="0"/>
          <w:numId w:val="58"/>
        </w:numPr>
        <w:rPr>
          <w:b/>
          <w:bCs/>
        </w:rPr>
      </w:pPr>
      <w:r w:rsidRPr="004C2E38">
        <w:rPr>
          <w:b/>
          <w:bCs/>
        </w:rPr>
        <w:t>Target Operating Model Alignment</w:t>
      </w:r>
    </w:p>
    <w:p w14:paraId="750A6F35" w14:textId="77777777" w:rsidR="00F93D53" w:rsidRPr="00F93D53" w:rsidRDefault="00F93D53" w:rsidP="00F57DAB">
      <w:pPr>
        <w:pStyle w:val="ListParagraph"/>
        <w:numPr>
          <w:ilvl w:val="1"/>
          <w:numId w:val="58"/>
        </w:numPr>
      </w:pPr>
      <w:r w:rsidRPr="00F93D53">
        <w:t xml:space="preserve">Cloud migration provides a one-time opportunity for standardisation across brands, elimination of silos and reduction in shadow IT. </w:t>
      </w:r>
    </w:p>
    <w:p w14:paraId="2C592C55" w14:textId="77777777" w:rsidR="00F93D53" w:rsidRPr="00F93D53" w:rsidRDefault="00F93D53" w:rsidP="00F57DAB">
      <w:pPr>
        <w:pStyle w:val="ListParagraph"/>
        <w:numPr>
          <w:ilvl w:val="1"/>
          <w:numId w:val="58"/>
        </w:numPr>
      </w:pPr>
      <w:r w:rsidRPr="00F93D53">
        <w:t>This allows for optimising against rapid innovation and continuous incremental improvements</w:t>
      </w:r>
    </w:p>
    <w:p w14:paraId="0DC8E6EA" w14:textId="77777777" w:rsidR="008A43CB" w:rsidRPr="008A43CB" w:rsidRDefault="008A43CB" w:rsidP="008A43CB">
      <w:pPr>
        <w:pStyle w:val="Heading2"/>
        <w:jc w:val="both"/>
        <w:rPr>
          <w:rFonts w:asciiTheme="majorHAnsi" w:hAnsiTheme="majorHAnsi" w:cstheme="majorHAnsi"/>
        </w:rPr>
      </w:pPr>
      <w:r w:rsidRPr="008A43CB">
        <w:rPr>
          <w:rFonts w:asciiTheme="majorHAnsi" w:hAnsiTheme="majorHAnsi" w:cstheme="majorHAnsi"/>
        </w:rPr>
        <w:t>Risks (If No Action Taken)</w:t>
      </w:r>
    </w:p>
    <w:p w14:paraId="6F4F4478" w14:textId="77777777" w:rsidR="008A43CB" w:rsidRPr="008A43CB" w:rsidRDefault="008A43CB" w:rsidP="008A43CB">
      <w:pPr>
        <w:rPr>
          <w:b/>
          <w:bCs/>
        </w:rPr>
      </w:pPr>
      <w:r w:rsidRPr="008A43CB">
        <w:rPr>
          <w:b/>
          <w:bCs/>
        </w:rPr>
        <w:t>"Yesterday’s Platform, Tomorrow’s Problem"</w:t>
      </w:r>
    </w:p>
    <w:p w14:paraId="0ADE161E" w14:textId="77777777" w:rsidR="00660805" w:rsidRPr="00660805" w:rsidRDefault="00660805" w:rsidP="00F57DAB">
      <w:pPr>
        <w:pStyle w:val="ListParagraph"/>
        <w:numPr>
          <w:ilvl w:val="0"/>
          <w:numId w:val="59"/>
        </w:numPr>
        <w:rPr>
          <w:b/>
          <w:bCs/>
        </w:rPr>
      </w:pPr>
      <w:r w:rsidRPr="00660805">
        <w:rPr>
          <w:b/>
          <w:bCs/>
        </w:rPr>
        <w:t xml:space="preserve">Doing nothing is not cost-neutral, it creates forced decisions </w:t>
      </w:r>
    </w:p>
    <w:p w14:paraId="05033D91" w14:textId="77777777" w:rsidR="00660805" w:rsidRPr="00660805" w:rsidRDefault="00660805" w:rsidP="00F57DAB">
      <w:pPr>
        <w:pStyle w:val="ListParagraph"/>
        <w:numPr>
          <w:ilvl w:val="1"/>
          <w:numId w:val="59"/>
        </w:numPr>
      </w:pPr>
      <w:r w:rsidRPr="00660805">
        <w:t xml:space="preserve">VMware (Broadcom) → unavoidable cost increase </w:t>
      </w:r>
    </w:p>
    <w:p w14:paraId="685D8DC9" w14:textId="77777777" w:rsidR="00660805" w:rsidRPr="00660805" w:rsidRDefault="00660805" w:rsidP="00F57DAB">
      <w:pPr>
        <w:pStyle w:val="ListParagraph"/>
        <w:numPr>
          <w:ilvl w:val="1"/>
          <w:numId w:val="59"/>
        </w:numPr>
      </w:pPr>
      <w:r w:rsidRPr="00660805">
        <w:t xml:space="preserve">DC leases &amp; Microsoft EA → renewal locks long-term direction </w:t>
      </w:r>
    </w:p>
    <w:p w14:paraId="68153501" w14:textId="77777777" w:rsidR="00660805" w:rsidRPr="00660805" w:rsidRDefault="00660805" w:rsidP="00F57DAB">
      <w:pPr>
        <w:pStyle w:val="ListParagraph"/>
        <w:numPr>
          <w:ilvl w:val="1"/>
          <w:numId w:val="59"/>
        </w:numPr>
      </w:pPr>
      <w:r w:rsidRPr="00660805">
        <w:t xml:space="preserve">Hardware → can be extended, but limits future capability </w:t>
      </w:r>
    </w:p>
    <w:p w14:paraId="109F512A" w14:textId="77777777" w:rsidR="00660805" w:rsidRPr="00660805" w:rsidRDefault="00660805" w:rsidP="00F57DAB">
      <w:pPr>
        <w:pStyle w:val="ListParagraph"/>
        <w:numPr>
          <w:ilvl w:val="0"/>
          <w:numId w:val="59"/>
        </w:numPr>
      </w:pPr>
      <w:r w:rsidRPr="00660805">
        <w:rPr>
          <w:b/>
          <w:bCs/>
        </w:rPr>
        <w:t>Current platform limits future capability, not just scale</w:t>
      </w:r>
      <w:r w:rsidRPr="00660805">
        <w:t xml:space="preserve"> </w:t>
      </w:r>
    </w:p>
    <w:p w14:paraId="4AF97E04" w14:textId="77777777" w:rsidR="00660805" w:rsidRPr="00660805" w:rsidRDefault="00660805" w:rsidP="00F57DAB">
      <w:pPr>
        <w:pStyle w:val="ListParagraph"/>
        <w:numPr>
          <w:ilvl w:val="1"/>
          <w:numId w:val="59"/>
        </w:numPr>
      </w:pPr>
      <w:r w:rsidRPr="00660805">
        <w:t xml:space="preserve">Akamai already handles traffic peaks effectively </w:t>
      </w:r>
    </w:p>
    <w:p w14:paraId="60643D69" w14:textId="77777777" w:rsidR="00660805" w:rsidRPr="00660805" w:rsidRDefault="00660805" w:rsidP="00F57DAB">
      <w:pPr>
        <w:pStyle w:val="ListParagraph"/>
        <w:numPr>
          <w:ilvl w:val="1"/>
          <w:numId w:val="59"/>
        </w:numPr>
      </w:pPr>
      <w:r w:rsidRPr="00660805">
        <w:t xml:space="preserve">The challenge two-fold: </w:t>
      </w:r>
    </w:p>
    <w:p w14:paraId="0094DCCF" w14:textId="77777777" w:rsidR="00660805" w:rsidRPr="00660805" w:rsidRDefault="00660805" w:rsidP="00F57DAB">
      <w:pPr>
        <w:pStyle w:val="ListParagraph"/>
        <w:numPr>
          <w:ilvl w:val="1"/>
          <w:numId w:val="59"/>
        </w:numPr>
      </w:pPr>
      <w:r w:rsidRPr="00660805">
        <w:t xml:space="preserve">is increasing platform complexity, not burst demand </w:t>
      </w:r>
    </w:p>
    <w:p w14:paraId="69E7A7BF" w14:textId="77777777" w:rsidR="00660805" w:rsidRPr="00660805" w:rsidRDefault="00660805" w:rsidP="00F57DAB">
      <w:pPr>
        <w:pStyle w:val="ListParagraph"/>
        <w:numPr>
          <w:ilvl w:val="1"/>
          <w:numId w:val="59"/>
        </w:numPr>
      </w:pPr>
      <w:r w:rsidRPr="00660805">
        <w:t>upgrades and new infrastructure results in long-term investment cycles</w:t>
      </w:r>
    </w:p>
    <w:p w14:paraId="771B2D37" w14:textId="77777777" w:rsidR="00660805" w:rsidRPr="00660805" w:rsidRDefault="00660805" w:rsidP="00F57DAB">
      <w:pPr>
        <w:pStyle w:val="ListParagraph"/>
        <w:numPr>
          <w:ilvl w:val="0"/>
          <w:numId w:val="59"/>
        </w:numPr>
      </w:pPr>
      <w:r w:rsidRPr="00660805">
        <w:rPr>
          <w:b/>
          <w:bCs/>
        </w:rPr>
        <w:lastRenderedPageBreak/>
        <w:t>Operational fragmentation limits growth</w:t>
      </w:r>
      <w:r w:rsidRPr="00660805">
        <w:t xml:space="preserve"> </w:t>
      </w:r>
    </w:p>
    <w:p w14:paraId="68A292AF" w14:textId="77777777" w:rsidR="00660805" w:rsidRPr="00660805" w:rsidRDefault="00660805" w:rsidP="00F57DAB">
      <w:pPr>
        <w:pStyle w:val="ListParagraph"/>
        <w:numPr>
          <w:ilvl w:val="1"/>
          <w:numId w:val="59"/>
        </w:numPr>
      </w:pPr>
      <w:r w:rsidRPr="00660805">
        <w:t xml:space="preserve">Multiple teams, tools, and processes across estate </w:t>
      </w:r>
    </w:p>
    <w:p w14:paraId="3FE23F95" w14:textId="77777777" w:rsidR="00660805" w:rsidRPr="00660805" w:rsidRDefault="00660805" w:rsidP="00F57DAB">
      <w:pPr>
        <w:pStyle w:val="ListParagraph"/>
        <w:numPr>
          <w:ilvl w:val="1"/>
          <w:numId w:val="59"/>
        </w:numPr>
      </w:pPr>
      <w:r w:rsidRPr="00660805">
        <w:t>No unified control plane → slower delivery and higher risk</w:t>
      </w:r>
    </w:p>
    <w:p w14:paraId="5F97853E" w14:textId="77777777" w:rsidR="00660805" w:rsidRPr="00660805" w:rsidRDefault="00660805" w:rsidP="00F57DAB">
      <w:pPr>
        <w:pStyle w:val="ListParagraph"/>
        <w:numPr>
          <w:ilvl w:val="0"/>
          <w:numId w:val="59"/>
        </w:numPr>
      </w:pPr>
      <w:r w:rsidRPr="00660805">
        <w:rPr>
          <w:b/>
          <w:bCs/>
        </w:rPr>
        <w:t>Skills and operating model misalignment</w:t>
      </w:r>
      <w:r w:rsidRPr="00660805">
        <w:t xml:space="preserve"> </w:t>
      </w:r>
    </w:p>
    <w:p w14:paraId="52DF7B22" w14:textId="77777777" w:rsidR="00660805" w:rsidRPr="00660805" w:rsidRDefault="00660805" w:rsidP="00F57DAB">
      <w:pPr>
        <w:pStyle w:val="ListParagraph"/>
        <w:numPr>
          <w:ilvl w:val="1"/>
          <w:numId w:val="59"/>
        </w:numPr>
      </w:pPr>
      <w:r w:rsidRPr="00660805">
        <w:t xml:space="preserve">Estate optimised for traditional infrastructure </w:t>
      </w:r>
    </w:p>
    <w:p w14:paraId="6283987F" w14:textId="77777777" w:rsidR="00660805" w:rsidRPr="00660805" w:rsidRDefault="00660805" w:rsidP="00F57DAB">
      <w:pPr>
        <w:pStyle w:val="ListParagraph"/>
        <w:numPr>
          <w:ilvl w:val="1"/>
          <w:numId w:val="59"/>
        </w:numPr>
      </w:pPr>
      <w:r w:rsidRPr="00660805">
        <w:t>Not aligned to cloud-native and an AI-enabled operating model</w:t>
      </w:r>
    </w:p>
    <w:p w14:paraId="6D7E3579" w14:textId="77777777" w:rsidR="00660805" w:rsidRPr="00660805" w:rsidRDefault="00660805" w:rsidP="00F57DAB">
      <w:pPr>
        <w:pStyle w:val="ListParagraph"/>
        <w:numPr>
          <w:ilvl w:val="0"/>
          <w:numId w:val="59"/>
        </w:numPr>
      </w:pPr>
      <w:r w:rsidRPr="00660805">
        <w:rPr>
          <w:b/>
          <w:bCs/>
        </w:rPr>
        <w:t>5</w:t>
      </w:r>
      <w:r w:rsidRPr="00660805">
        <w:t xml:space="preserve">.   </w:t>
      </w:r>
      <w:r w:rsidRPr="00660805">
        <w:rPr>
          <w:b/>
          <w:bCs/>
        </w:rPr>
        <w:t>Technical Debt:</w:t>
      </w:r>
    </w:p>
    <w:p w14:paraId="1DD64E08" w14:textId="1DE9D920" w:rsidR="00660805" w:rsidRPr="00660805" w:rsidRDefault="00660805" w:rsidP="00F57DAB">
      <w:pPr>
        <w:pStyle w:val="ListParagraph"/>
        <w:numPr>
          <w:ilvl w:val="1"/>
          <w:numId w:val="59"/>
        </w:numPr>
      </w:pPr>
      <w:r>
        <w:t>M</w:t>
      </w:r>
      <w:r w:rsidRPr="00660805">
        <w:t>odernisation necessary to protect the business from risk associated with increasing operational burden and growing number of security vulnerabilities.</w:t>
      </w:r>
    </w:p>
    <w:p w14:paraId="0FC8B9E0" w14:textId="77777777" w:rsidR="00660805" w:rsidRPr="00756638" w:rsidRDefault="00660805" w:rsidP="00756638">
      <w:pPr>
        <w:rPr>
          <w:b/>
          <w:bCs/>
        </w:rPr>
      </w:pPr>
      <w:r w:rsidRPr="00756638">
        <w:rPr>
          <w:b/>
          <w:bCs/>
        </w:rPr>
        <w:t>The time to act is now - standardising and evolving your tech stack allows dmg media to innovate</w:t>
      </w:r>
    </w:p>
    <w:p w14:paraId="00000003" w14:textId="1D9DF13C" w:rsidR="000B0F63" w:rsidRPr="00A61669" w:rsidRDefault="1BAB210A" w:rsidP="00994B5A">
      <w:pPr>
        <w:pStyle w:val="Heading2"/>
        <w:jc w:val="both"/>
        <w:rPr>
          <w:rFonts w:asciiTheme="majorHAnsi" w:hAnsiTheme="majorHAnsi" w:cstheme="majorHAnsi"/>
        </w:rPr>
      </w:pPr>
      <w:r w:rsidRPr="00A61669">
        <w:rPr>
          <w:rFonts w:asciiTheme="majorHAnsi" w:hAnsiTheme="majorHAnsi" w:cstheme="majorHAnsi"/>
        </w:rPr>
        <w:t>What This Report Delivers</w:t>
      </w:r>
      <w:bookmarkEnd w:id="8"/>
      <w:bookmarkEnd w:id="9"/>
    </w:p>
    <w:p w14:paraId="00000005" w14:textId="19E37908"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This is the </w:t>
      </w:r>
      <w:r w:rsidR="00100959" w:rsidRPr="00A61669">
        <w:rPr>
          <w:rFonts w:asciiTheme="majorHAnsi" w:hAnsiTheme="majorHAnsi" w:cstheme="majorHAnsi"/>
        </w:rPr>
        <w:t>Part 1</w:t>
      </w:r>
      <w:r w:rsidRPr="00A61669">
        <w:rPr>
          <w:rFonts w:asciiTheme="majorHAnsi" w:hAnsiTheme="majorHAnsi" w:cstheme="majorHAnsi"/>
        </w:rPr>
        <w:t xml:space="preserve"> Cloud Readiness Assessment for DMG Media. Rackspace spent eleven weeks between February and April 2026 assessing </w:t>
      </w:r>
      <w:r w:rsidR="2EC6EC7B" w:rsidRPr="00A61669">
        <w:rPr>
          <w:rFonts w:asciiTheme="majorHAnsi" w:hAnsiTheme="majorHAnsi" w:cstheme="majorHAnsi"/>
        </w:rPr>
        <w:t>DMG Media’s</w:t>
      </w:r>
      <w:r w:rsidRPr="00A61669">
        <w:rPr>
          <w:rFonts w:asciiTheme="majorHAnsi" w:hAnsiTheme="majorHAnsi" w:cstheme="majorHAnsi"/>
        </w:rPr>
        <w:t xml:space="preserve"> UK and Sydney datacentre estate. The assessment covered automated infrastructure discovery across the full server estate, nine application workshops with business area owners, an independent cost comparison across AWS, Azure, and GCP using live pricing data</w:t>
      </w:r>
      <w:r w:rsidR="679262D5" w:rsidRPr="00A61669">
        <w:rPr>
          <w:rFonts w:asciiTheme="majorHAnsi" w:hAnsiTheme="majorHAnsi" w:cstheme="majorHAnsi"/>
        </w:rPr>
        <w:t xml:space="preserve"> keeping like to like comparison</w:t>
      </w:r>
      <w:r w:rsidRPr="00A61669">
        <w:rPr>
          <w:rFonts w:asciiTheme="majorHAnsi" w:hAnsiTheme="majorHAnsi" w:cstheme="majorHAnsi"/>
        </w:rPr>
        <w:t xml:space="preserve">, a cloud readiness assessment across five organisational dimensions, and a weighted hyperscaler selection evaluation. This report presents the findings, the platform recommendation, and the concrete entry point to </w:t>
      </w:r>
      <w:r w:rsidR="00100959" w:rsidRPr="00A61669">
        <w:rPr>
          <w:rFonts w:asciiTheme="majorHAnsi" w:hAnsiTheme="majorHAnsi" w:cstheme="majorHAnsi"/>
        </w:rPr>
        <w:t>Part 2</w:t>
      </w:r>
      <w:r w:rsidRPr="00A61669">
        <w:rPr>
          <w:rFonts w:asciiTheme="majorHAnsi" w:hAnsiTheme="majorHAnsi" w:cstheme="majorHAnsi"/>
        </w:rPr>
        <w:t>.</w:t>
      </w:r>
    </w:p>
    <w:p w14:paraId="263A2E11" w14:textId="77777777" w:rsidR="002749A0" w:rsidRPr="00A61669" w:rsidRDefault="002749A0" w:rsidP="002749A0">
      <w:pPr>
        <w:pStyle w:val="Heading2"/>
        <w:jc w:val="both"/>
        <w:rPr>
          <w:rFonts w:asciiTheme="majorHAnsi" w:hAnsiTheme="majorHAnsi" w:cstheme="majorHAnsi"/>
        </w:rPr>
      </w:pPr>
      <w:bookmarkStart w:id="10" w:name="_Toc104"/>
      <w:bookmarkStart w:id="11" w:name="_Toc227770885"/>
      <w:r w:rsidRPr="00A61669">
        <w:rPr>
          <w:rFonts w:asciiTheme="majorHAnsi" w:hAnsiTheme="majorHAnsi" w:cstheme="majorHAnsi"/>
        </w:rPr>
        <w:t>Critical Conclusions</w:t>
      </w:r>
    </w:p>
    <w:p w14:paraId="00000009" w14:textId="0000000A" w:rsidR="000B0F63" w:rsidRPr="00A61669" w:rsidRDefault="1BAB210A" w:rsidP="00E40261">
      <w:pPr>
        <w:pStyle w:val="Heading3"/>
        <w:jc w:val="both"/>
        <w:rPr>
          <w:rFonts w:asciiTheme="majorHAnsi" w:hAnsiTheme="majorHAnsi" w:cstheme="majorHAnsi"/>
        </w:rPr>
      </w:pPr>
      <w:r w:rsidRPr="00A61669">
        <w:rPr>
          <w:rFonts w:asciiTheme="majorHAnsi" w:hAnsiTheme="majorHAnsi" w:cstheme="majorHAnsi"/>
        </w:rPr>
        <w:t>1. Several DMG Media contracts are converging inside a two-year window.</w:t>
      </w:r>
      <w:bookmarkEnd w:id="10"/>
      <w:bookmarkEnd w:id="11"/>
    </w:p>
    <w:p w14:paraId="0000000B" w14:textId="028F4870" w:rsidR="000B0F63" w:rsidRPr="00A61669" w:rsidRDefault="00C05D22" w:rsidP="00E40261">
      <w:pPr>
        <w:jc w:val="both"/>
        <w:rPr>
          <w:rFonts w:asciiTheme="majorHAnsi" w:hAnsiTheme="majorHAnsi" w:cstheme="majorHAnsi"/>
        </w:rPr>
      </w:pPr>
      <w:r w:rsidRPr="00A61669">
        <w:rPr>
          <w:rFonts w:asciiTheme="majorHAnsi" w:hAnsiTheme="majorHAnsi" w:cstheme="majorHAnsi"/>
        </w:rPr>
        <w:t>The Reading and Slough datacentre leases expire in November 2027. The Microsoft Enterprise Agreement expires in May 2027. The Broadcom VMware position has already shifted: DMG Media holds perpetual licences with expired or expiring Support and Subscription, which means no patches, no new host additions, and no version upgrades without a VCF subscription. Each of these can be renewed independently but doing so re-locks capital into on</w:t>
      </w:r>
      <w:r w:rsidR="492B6F00" w:rsidRPr="00A61669">
        <w:rPr>
          <w:rFonts w:asciiTheme="majorHAnsi" w:hAnsiTheme="majorHAnsi" w:cstheme="majorHAnsi"/>
        </w:rPr>
        <w:t xml:space="preserve"> </w:t>
      </w:r>
      <w:r w:rsidRPr="00A61669">
        <w:rPr>
          <w:rFonts w:asciiTheme="majorHAnsi" w:hAnsiTheme="majorHAnsi" w:cstheme="majorHAnsi"/>
        </w:rPr>
        <w:t>premises for another cycle. A coordinated approach lets DMG Media take the decisions together rather than sequentially and is the reason this assessment exists now rather than in twelve or eighteen months.</w:t>
      </w:r>
    </w:p>
    <w:p w14:paraId="0000000D" w14:textId="0000000E" w:rsidR="000B0F63" w:rsidRPr="00A61669" w:rsidRDefault="1BAB210A" w:rsidP="00E40261">
      <w:pPr>
        <w:pStyle w:val="Heading3"/>
        <w:jc w:val="both"/>
        <w:rPr>
          <w:rFonts w:asciiTheme="majorHAnsi" w:hAnsiTheme="majorHAnsi" w:cstheme="majorHAnsi"/>
        </w:rPr>
      </w:pPr>
      <w:bookmarkStart w:id="12" w:name="_Toc105"/>
      <w:bookmarkStart w:id="13" w:name="_Toc227770886"/>
      <w:r w:rsidRPr="00A61669">
        <w:rPr>
          <w:rFonts w:asciiTheme="majorHAnsi" w:hAnsiTheme="majorHAnsi" w:cstheme="majorHAnsi"/>
        </w:rPr>
        <w:t>2. The estate is bigger and more varied than the original scope assumed.</w:t>
      </w:r>
      <w:bookmarkEnd w:id="12"/>
      <w:bookmarkEnd w:id="13"/>
    </w:p>
    <w:p w14:paraId="45BA78A7" w14:textId="48E8E2A7" w:rsidR="00756C10" w:rsidRPr="00A61669" w:rsidRDefault="00756C10" w:rsidP="00E40261">
      <w:pPr>
        <w:jc w:val="both"/>
        <w:rPr>
          <w:rFonts w:asciiTheme="majorHAnsi" w:hAnsiTheme="majorHAnsi" w:cstheme="majorHAnsi"/>
        </w:rPr>
      </w:pPr>
      <w:r w:rsidRPr="00A61669">
        <w:rPr>
          <w:rFonts w:asciiTheme="majorHAnsi" w:hAnsiTheme="majorHAnsi" w:cstheme="majorHAnsi"/>
        </w:rPr>
        <w:t xml:space="preserve">The Statement of Work scoped 2,300 servers across VMware only, based on pre-engagement information. During kick-off, </w:t>
      </w:r>
      <w:r w:rsidR="00DC75DB" w:rsidRPr="00A61669">
        <w:rPr>
          <w:rFonts w:asciiTheme="majorHAnsi" w:hAnsiTheme="majorHAnsi" w:cstheme="majorHAnsi"/>
        </w:rPr>
        <w:t>DMG Media</w:t>
      </w:r>
      <w:r w:rsidRPr="00A61669">
        <w:rPr>
          <w:rFonts w:asciiTheme="majorHAnsi" w:hAnsiTheme="majorHAnsi" w:cstheme="majorHAnsi"/>
        </w:rPr>
        <w:t xml:space="preserve"> disclosed additional infrastructure including Proxmox, physical bare-metal Oracle and SQL database servers, appliances, and existing cloud workloads. Discovery identified a total estate of 4,500+ servers. Scope was expanded in agreement with the customer team to 3,038 servers across five infrastructure types, all fully priced and assessed. The remaining ~1,500 servers are catalogued and will be </w:t>
      </w:r>
      <w:r w:rsidR="00DC75DB" w:rsidRPr="00A61669">
        <w:rPr>
          <w:rFonts w:asciiTheme="majorHAnsi" w:hAnsiTheme="majorHAnsi" w:cstheme="majorHAnsi"/>
        </w:rPr>
        <w:t>reviewed</w:t>
      </w:r>
      <w:r w:rsidRPr="00A61669">
        <w:rPr>
          <w:rFonts w:asciiTheme="majorHAnsi" w:hAnsiTheme="majorHAnsi" w:cstheme="majorHAnsi"/>
        </w:rPr>
        <w:t xml:space="preserve"> in </w:t>
      </w:r>
      <w:r w:rsidR="00100959" w:rsidRPr="00A61669">
        <w:rPr>
          <w:rFonts w:asciiTheme="majorHAnsi" w:hAnsiTheme="majorHAnsi" w:cstheme="majorHAnsi"/>
        </w:rPr>
        <w:t>Part 2</w:t>
      </w:r>
      <w:r w:rsidR="00DC75DB" w:rsidRPr="00A61669">
        <w:rPr>
          <w:rFonts w:asciiTheme="majorHAnsi" w:hAnsiTheme="majorHAnsi" w:cstheme="majorHAnsi"/>
        </w:rPr>
        <w:t xml:space="preserve"> and either fully assessed, or deemed </w:t>
      </w:r>
      <w:r w:rsidR="00626FA0" w:rsidRPr="00A61669">
        <w:rPr>
          <w:rFonts w:asciiTheme="majorHAnsi" w:hAnsiTheme="majorHAnsi" w:cstheme="majorHAnsi"/>
        </w:rPr>
        <w:t xml:space="preserve">out of scope for migration, based on DMG business need. </w:t>
      </w:r>
    </w:p>
    <w:p w14:paraId="0000000F" w14:textId="1C154EF5" w:rsidR="000B0F63" w:rsidRPr="00A61669" w:rsidRDefault="00C05D22" w:rsidP="00E40261">
      <w:pPr>
        <w:jc w:val="both"/>
        <w:rPr>
          <w:rFonts w:asciiTheme="majorHAnsi" w:hAnsiTheme="majorHAnsi" w:cstheme="majorHAnsi"/>
        </w:rPr>
      </w:pPr>
      <w:r w:rsidRPr="00A61669">
        <w:rPr>
          <w:rFonts w:asciiTheme="majorHAnsi" w:hAnsiTheme="majorHAnsi" w:cstheme="majorHAnsi"/>
        </w:rPr>
        <w:lastRenderedPageBreak/>
        <w:t xml:space="preserve">DMG Media has 39 applications across the estate. </w:t>
      </w:r>
      <w:r w:rsidR="0088745F" w:rsidRPr="00A61669">
        <w:rPr>
          <w:rFonts w:asciiTheme="majorHAnsi" w:hAnsiTheme="majorHAnsi" w:cstheme="majorHAnsi"/>
        </w:rPr>
        <w:t>Mail Online</w:t>
      </w:r>
      <w:r w:rsidRPr="00A61669">
        <w:rPr>
          <w:rFonts w:asciiTheme="majorHAnsi" w:hAnsiTheme="majorHAnsi" w:cstheme="majorHAnsi"/>
        </w:rPr>
        <w:t xml:space="preserve"> alone represents 72.6% of in-scope servers and has 91 identified sub-components.</w:t>
      </w:r>
    </w:p>
    <w:p w14:paraId="1489CA02" w14:textId="77777777" w:rsidR="00864577" w:rsidRPr="00A61669" w:rsidRDefault="1BAB210A" w:rsidP="00864577">
      <w:pPr>
        <w:pStyle w:val="Heading3"/>
        <w:jc w:val="both"/>
        <w:rPr>
          <w:rFonts w:asciiTheme="majorHAnsi" w:hAnsiTheme="majorHAnsi" w:cstheme="majorHAnsi"/>
        </w:rPr>
      </w:pPr>
      <w:bookmarkStart w:id="14" w:name="_Toc106"/>
      <w:bookmarkStart w:id="15" w:name="_Toc227770887"/>
      <w:r w:rsidRPr="00A61669">
        <w:rPr>
          <w:rFonts w:asciiTheme="majorHAnsi" w:hAnsiTheme="majorHAnsi" w:cstheme="majorHAnsi"/>
        </w:rPr>
        <w:t xml:space="preserve">3. </w:t>
      </w:r>
      <w:r w:rsidR="00864577" w:rsidRPr="00A61669">
        <w:rPr>
          <w:rFonts w:asciiTheme="majorHAnsi" w:hAnsiTheme="majorHAnsi" w:cstheme="majorHAnsi"/>
        </w:rPr>
        <w:t>The cost comparison is a lift-and-shift starting point. The levers to reduce cost sit in cloud, not in the datacentre.</w:t>
      </w:r>
    </w:p>
    <w:p w14:paraId="6F699C2D" w14:textId="29E9FCEB" w:rsidR="00864577" w:rsidRPr="00A61669" w:rsidRDefault="000D78FB" w:rsidP="00864577">
      <w:pPr>
        <w:rPr>
          <w:rFonts w:asciiTheme="majorHAnsi" w:hAnsiTheme="majorHAnsi" w:cstheme="majorHAnsi"/>
        </w:rPr>
      </w:pPr>
      <w:r w:rsidRPr="00A61669">
        <w:rPr>
          <w:rFonts w:asciiTheme="majorHAnsi" w:hAnsiTheme="majorHAnsi" w:cstheme="majorHAnsi"/>
        </w:rPr>
        <w:t xml:space="preserve">DMG Media have shared some outlines costs which indicate a </w:t>
      </w:r>
      <w:r w:rsidR="002F318D" w:rsidRPr="00A61669">
        <w:rPr>
          <w:rFonts w:asciiTheme="majorHAnsi" w:hAnsiTheme="majorHAnsi" w:cstheme="majorHAnsi"/>
        </w:rPr>
        <w:t>baseline</w:t>
      </w:r>
      <w:r w:rsidRPr="00A61669">
        <w:rPr>
          <w:rFonts w:asciiTheme="majorHAnsi" w:hAnsiTheme="majorHAnsi" w:cstheme="majorHAnsi"/>
        </w:rPr>
        <w:t xml:space="preserve"> cost of</w:t>
      </w:r>
      <w:r w:rsidR="00864577" w:rsidRPr="00A61669">
        <w:rPr>
          <w:rFonts w:asciiTheme="majorHAnsi" w:hAnsiTheme="majorHAnsi" w:cstheme="majorHAnsi"/>
        </w:rPr>
        <w:t xml:space="preserve"> approximately £3.64M per year</w:t>
      </w:r>
      <w:r w:rsidRPr="00A61669">
        <w:rPr>
          <w:rFonts w:asciiTheme="majorHAnsi" w:hAnsiTheme="majorHAnsi" w:cstheme="majorHAnsi"/>
        </w:rPr>
        <w:t xml:space="preserve"> on premise – though this number needs </w:t>
      </w:r>
      <w:r w:rsidR="00163A16" w:rsidRPr="00A61669">
        <w:rPr>
          <w:rFonts w:asciiTheme="majorHAnsi" w:hAnsiTheme="majorHAnsi" w:cstheme="majorHAnsi"/>
        </w:rPr>
        <w:t xml:space="preserve">further </w:t>
      </w:r>
      <w:r w:rsidR="00704FF5" w:rsidRPr="00A61669">
        <w:rPr>
          <w:rFonts w:asciiTheme="majorHAnsi" w:hAnsiTheme="majorHAnsi" w:cstheme="majorHAnsi"/>
        </w:rPr>
        <w:t>review, given some of the g</w:t>
      </w:r>
      <w:r w:rsidR="009135D9" w:rsidRPr="00A61669">
        <w:rPr>
          <w:rFonts w:asciiTheme="majorHAnsi" w:hAnsiTheme="majorHAnsi" w:cstheme="majorHAnsi"/>
        </w:rPr>
        <w:t>aps and assumptions</w:t>
      </w:r>
      <w:r w:rsidR="00864577" w:rsidRPr="00A61669">
        <w:rPr>
          <w:rFonts w:asciiTheme="majorHAnsi" w:hAnsiTheme="majorHAnsi" w:cstheme="majorHAnsi"/>
        </w:rPr>
        <w:t xml:space="preserve">. The lift-and-shift cloud cost (infrastructure baseline, Oracle Exadata@Cloud, Oracle support retained under BYOL, SQL Server and Windows BYOL with Software Assurance confirmed, storage tiering, operational carry-forwards, and indicative internet egress) is approximately £4.59M per year on GCP, £4.70M per year on AWS, and £5.67M per year on Azure. These figures represent every workload moved as-is, with no optimisation, no rationalisation, and no commercial negotiation applied. </w:t>
      </w:r>
    </w:p>
    <w:p w14:paraId="41996D66" w14:textId="77777777" w:rsidR="00864577" w:rsidRPr="00A61669" w:rsidRDefault="00864577" w:rsidP="00864577">
      <w:pPr>
        <w:rPr>
          <w:rFonts w:asciiTheme="majorHAnsi" w:hAnsiTheme="majorHAnsi" w:cstheme="majorHAnsi"/>
        </w:rPr>
      </w:pPr>
      <w:r w:rsidRPr="00A61669">
        <w:rPr>
          <w:rFonts w:asciiTheme="majorHAnsi" w:hAnsiTheme="majorHAnsi" w:cstheme="majorHAnsi"/>
        </w:rPr>
        <w:t>The on-premises baseline is incomplete and rising. It does not include the Broadcom VCF subscription now required to continue operating VMware, the next hardware refresh cycle, or the security exposure of running 1,870 servers on unsupported operating systems. Microsoft EA and Oracle support renew annually with no downward pressure. None of these costs have a path to reduction on-premises. Each renewal cycle re-locks capital at the same level or higher.</w:t>
      </w:r>
    </w:p>
    <w:p w14:paraId="399CE64C" w14:textId="1B5B77B8" w:rsidR="00864577" w:rsidRPr="00A61669" w:rsidRDefault="00864577" w:rsidP="00864577">
      <w:pPr>
        <w:rPr>
          <w:rFonts w:asciiTheme="majorHAnsi" w:hAnsiTheme="majorHAnsi" w:cstheme="majorHAnsi"/>
        </w:rPr>
      </w:pPr>
      <w:r w:rsidRPr="00A61669">
        <w:rPr>
          <w:rFonts w:asciiTheme="majorHAnsi" w:hAnsiTheme="majorHAnsi" w:cstheme="majorHAnsi"/>
        </w:rPr>
        <w:t>The cloud figure carries forward £1.76M of operational cost at today's rates. Database support, security tooling, Oracle support, Ubuntu patching, and Microsoft support all transfer into the cloud figure unchanged. These are the largest optimisation levers available. As managed services, cloud-native security, and re</w:t>
      </w:r>
      <w:r w:rsidR="002F318D">
        <w:rPr>
          <w:rFonts w:asciiTheme="majorHAnsi" w:hAnsiTheme="majorHAnsi" w:cstheme="majorHAnsi"/>
        </w:rPr>
        <w:t>-</w:t>
      </w:r>
      <w:r w:rsidRPr="00A61669">
        <w:rPr>
          <w:rFonts w:asciiTheme="majorHAnsi" w:hAnsiTheme="majorHAnsi" w:cstheme="majorHAnsi"/>
        </w:rPr>
        <w:t>platforming take effect through the transformation programme, this number reduces significantly. The Guardicore contract also covers client endpoints outside migration scope, meaning the server-attributable portion is lower than the headline figure.</w:t>
      </w:r>
    </w:p>
    <w:p w14:paraId="37BF4F09" w14:textId="1A6DB80F" w:rsidR="00864577" w:rsidRPr="00A61669" w:rsidRDefault="00864577" w:rsidP="00864577">
      <w:pPr>
        <w:rPr>
          <w:rFonts w:asciiTheme="majorHAnsi" w:hAnsiTheme="majorHAnsi" w:cstheme="majorHAnsi"/>
        </w:rPr>
      </w:pPr>
      <w:r w:rsidRPr="00A61669">
        <w:rPr>
          <w:rFonts w:asciiTheme="majorHAnsi" w:hAnsiTheme="majorHAnsi" w:cstheme="majorHAnsi"/>
        </w:rPr>
        <w:t>Hyperscaler credits and commercial discounts are not yet applied. Indicative funding programmes show approximately £570K (AWS)</w:t>
      </w:r>
      <w:r w:rsidR="00EA4332">
        <w:rPr>
          <w:rFonts w:asciiTheme="majorHAnsi" w:hAnsiTheme="majorHAnsi" w:cstheme="majorHAnsi"/>
        </w:rPr>
        <w:t xml:space="preserve">, </w:t>
      </w:r>
      <w:r w:rsidRPr="00A61669">
        <w:rPr>
          <w:rFonts w:asciiTheme="majorHAnsi" w:hAnsiTheme="majorHAnsi" w:cstheme="majorHAnsi"/>
        </w:rPr>
        <w:t>£563K (GCP)</w:t>
      </w:r>
      <w:r w:rsidR="00EA4332">
        <w:rPr>
          <w:rFonts w:asciiTheme="majorHAnsi" w:hAnsiTheme="majorHAnsi" w:cstheme="majorHAnsi"/>
        </w:rPr>
        <w:t xml:space="preserve"> and £52</w:t>
      </w:r>
      <w:r w:rsidR="00C77894">
        <w:rPr>
          <w:rFonts w:asciiTheme="majorHAnsi" w:hAnsiTheme="majorHAnsi" w:cstheme="majorHAnsi"/>
        </w:rPr>
        <w:t>0</w:t>
      </w:r>
      <w:r w:rsidR="00EA4332">
        <w:rPr>
          <w:rFonts w:asciiTheme="majorHAnsi" w:hAnsiTheme="majorHAnsi" w:cstheme="majorHAnsi"/>
        </w:rPr>
        <w:t>k (Azure)</w:t>
      </w:r>
      <w:r w:rsidR="00ED69A7" w:rsidRPr="00A61669">
        <w:rPr>
          <w:rStyle w:val="FootnoteReference"/>
          <w:rFonts w:asciiTheme="majorHAnsi" w:hAnsiTheme="majorHAnsi" w:cstheme="majorHAnsi"/>
        </w:rPr>
        <w:footnoteReference w:id="1"/>
      </w:r>
      <w:r w:rsidRPr="00A61669">
        <w:rPr>
          <w:rFonts w:asciiTheme="majorHAnsi" w:hAnsiTheme="majorHAnsi" w:cstheme="majorHAnsi"/>
        </w:rPr>
        <w:t xml:space="preserve"> in consumption credits alone, with additional partner funding and enterprise discount programmes on top. These reduce the cloud figure further and are covered separately.</w:t>
      </w:r>
    </w:p>
    <w:p w14:paraId="7F1CC8CA" w14:textId="2E17F67B" w:rsidR="00864577" w:rsidRPr="00A61669" w:rsidRDefault="00864577" w:rsidP="00864577">
      <w:pPr>
        <w:rPr>
          <w:rFonts w:asciiTheme="majorHAnsi" w:hAnsiTheme="majorHAnsi" w:cstheme="majorHAnsi"/>
        </w:rPr>
      </w:pPr>
      <w:r w:rsidRPr="00A61669">
        <w:rPr>
          <w:rFonts w:asciiTheme="majorHAnsi" w:hAnsiTheme="majorHAnsi" w:cstheme="majorHAnsi"/>
        </w:rPr>
        <w:t>Oracle is the largest single variable. The £650K per year support contract is identical in both environments under Exadata@Cloud. On-premises, there is no route to reducing it. In cloud, a modernisation path to PostgreSQL exists that would eliminate it entirely and reduce database infrastructure cost by a further £540-780K per year. The conversion cost is not estimated in Part 1,</w:t>
      </w:r>
      <w:r w:rsidR="00A72D3A" w:rsidRPr="00A61669">
        <w:rPr>
          <w:rFonts w:asciiTheme="majorHAnsi" w:hAnsiTheme="majorHAnsi" w:cstheme="majorHAnsi"/>
        </w:rPr>
        <w:t xml:space="preserve"> it would need to be developed through part 2</w:t>
      </w:r>
      <w:r w:rsidR="000B2BDC" w:rsidRPr="00A61669">
        <w:rPr>
          <w:rFonts w:asciiTheme="majorHAnsi" w:hAnsiTheme="majorHAnsi" w:cstheme="majorHAnsi"/>
        </w:rPr>
        <w:t xml:space="preserve"> and beyond</w:t>
      </w:r>
      <w:r w:rsidR="00A72D3A" w:rsidRPr="00A61669">
        <w:rPr>
          <w:rFonts w:asciiTheme="majorHAnsi" w:hAnsiTheme="majorHAnsi" w:cstheme="majorHAnsi"/>
        </w:rPr>
        <w:t>. In cloud, a modernisation path to managed PostgreSQL exists that would eliminate both the Oracle support contract and</w:t>
      </w:r>
      <w:r w:rsidR="00B53027" w:rsidRPr="00A61669">
        <w:rPr>
          <w:rFonts w:asciiTheme="majorHAnsi" w:hAnsiTheme="majorHAnsi" w:cstheme="majorHAnsi"/>
        </w:rPr>
        <w:t xml:space="preserve"> more of</w:t>
      </w:r>
      <w:r w:rsidR="00A72D3A" w:rsidRPr="00A61669">
        <w:rPr>
          <w:rFonts w:asciiTheme="majorHAnsi" w:hAnsiTheme="majorHAnsi" w:cstheme="majorHAnsi"/>
        </w:rPr>
        <w:t xml:space="preserve"> the database management overhead, with hyperscaler funding available to offset the conversion cost. On-premises, PostgreSQL is technically possible but without managed services or vendor funding, the operational burden transfers rather than disappears</w:t>
      </w:r>
    </w:p>
    <w:p w14:paraId="284C886B" w14:textId="0574D216" w:rsidR="00864577" w:rsidRPr="00A61669" w:rsidRDefault="00864577" w:rsidP="00864577">
      <w:pPr>
        <w:rPr>
          <w:rFonts w:asciiTheme="majorHAnsi" w:hAnsiTheme="majorHAnsi" w:cstheme="majorHAnsi"/>
        </w:rPr>
      </w:pPr>
      <w:r w:rsidRPr="00A61669">
        <w:rPr>
          <w:rFonts w:asciiTheme="majorHAnsi" w:hAnsiTheme="majorHAnsi" w:cstheme="majorHAnsi"/>
        </w:rPr>
        <w:lastRenderedPageBreak/>
        <w:t xml:space="preserve">Cloud provides optimisation levers that do not exist on-premises: right-sizing, deeper committed discounts over time, storage tiering, application rationalisation, </w:t>
      </w:r>
      <w:r w:rsidR="00DB0E9B" w:rsidRPr="00A61669">
        <w:rPr>
          <w:rFonts w:asciiTheme="majorHAnsi" w:hAnsiTheme="majorHAnsi" w:cstheme="majorHAnsi"/>
        </w:rPr>
        <w:t>platform as a service (</w:t>
      </w:r>
      <w:r w:rsidRPr="00A61669">
        <w:rPr>
          <w:rFonts w:asciiTheme="majorHAnsi" w:hAnsiTheme="majorHAnsi" w:cstheme="majorHAnsi"/>
        </w:rPr>
        <w:t>PaaS</w:t>
      </w:r>
      <w:r w:rsidR="00DB0E9B" w:rsidRPr="00A61669">
        <w:rPr>
          <w:rFonts w:asciiTheme="majorHAnsi" w:hAnsiTheme="majorHAnsi" w:cstheme="majorHAnsi"/>
        </w:rPr>
        <w:t>)</w:t>
      </w:r>
      <w:r w:rsidRPr="00A61669">
        <w:rPr>
          <w:rFonts w:asciiTheme="majorHAnsi" w:hAnsiTheme="majorHAnsi" w:cstheme="majorHAnsi"/>
        </w:rPr>
        <w:t xml:space="preserve"> adoption, and container adoption for overprovisioned workloads. On-premises, the hardware is bought, the rack space is leased, and the cost is fixed regardless of whether the capacity is used.</w:t>
      </w:r>
    </w:p>
    <w:p w14:paraId="0109BD6D" w14:textId="77777777" w:rsidR="00864577" w:rsidRPr="00A61669" w:rsidRDefault="00864577" w:rsidP="00864577">
      <w:pPr>
        <w:rPr>
          <w:rFonts w:asciiTheme="majorHAnsi" w:hAnsiTheme="majorHAnsi" w:cstheme="majorHAnsi"/>
        </w:rPr>
      </w:pPr>
      <w:r w:rsidRPr="00A61669">
        <w:rPr>
          <w:rFonts w:asciiTheme="majorHAnsi" w:hAnsiTheme="majorHAnsi" w:cstheme="majorHAnsi"/>
        </w:rPr>
        <w:t>Year 1 is a net investment year: migration delivery, dual-run overlap, and cloud run-rate. The complete financial model, including Year 1 cash flow and payback timeline, is a Part 2 deliverable that requires the platform decision, migration wave sequencing, and confirmed commercial terms. Steady-state savings begin from Year 2 as datacentre exit becomes viable and optimisation takes effect.</w:t>
      </w:r>
    </w:p>
    <w:bookmarkEnd w:id="14"/>
    <w:bookmarkEnd w:id="15"/>
    <w:p w14:paraId="00000019" w14:textId="2B052FDB" w:rsidR="000B0F63" w:rsidRPr="00A61669" w:rsidRDefault="1BAB210A" w:rsidP="00E40261">
      <w:pPr>
        <w:pStyle w:val="Heading3"/>
        <w:jc w:val="both"/>
        <w:rPr>
          <w:rFonts w:asciiTheme="majorHAnsi" w:hAnsiTheme="majorHAnsi" w:cstheme="majorHAnsi"/>
        </w:rPr>
      </w:pPr>
      <w:r w:rsidRPr="00A61669">
        <w:rPr>
          <w:rFonts w:asciiTheme="majorHAnsi" w:hAnsiTheme="majorHAnsi" w:cstheme="majorHAnsi"/>
        </w:rPr>
        <w:t xml:space="preserve">4. </w:t>
      </w:r>
      <w:bookmarkStart w:id="16" w:name="_Toc107"/>
      <w:bookmarkStart w:id="17" w:name="_Toc227770888"/>
      <w:r w:rsidRPr="00A61669">
        <w:rPr>
          <w:rFonts w:asciiTheme="majorHAnsi" w:hAnsiTheme="majorHAnsi" w:cstheme="majorHAnsi"/>
        </w:rPr>
        <w:t>The recommended platform is AWS, primary, with validated exceptions.</w:t>
      </w:r>
      <w:bookmarkEnd w:id="16"/>
      <w:bookmarkEnd w:id="17"/>
    </w:p>
    <w:p w14:paraId="09CFABFF" w14:textId="77777777" w:rsidR="00C814FC" w:rsidRPr="00A61669" w:rsidRDefault="00C814FC" w:rsidP="00C814FC">
      <w:pPr>
        <w:rPr>
          <w:rFonts w:asciiTheme="majorHAnsi" w:hAnsiTheme="majorHAnsi" w:cstheme="majorHAnsi"/>
        </w:rPr>
      </w:pPr>
      <w:bookmarkStart w:id="18" w:name="_Toc108"/>
      <w:bookmarkStart w:id="19" w:name="_Toc227770889"/>
      <w:r w:rsidRPr="00A61669">
        <w:rPr>
          <w:rFonts w:asciiTheme="majorHAnsi" w:hAnsiTheme="majorHAnsi" w:cstheme="majorHAnsi"/>
        </w:rPr>
        <w:t>The recommended platform is AWS primary, with validated exceptions.</w:t>
      </w:r>
    </w:p>
    <w:p w14:paraId="7F061B3E" w14:textId="77777777" w:rsidR="00C814FC" w:rsidRPr="00A61669" w:rsidRDefault="00C814FC" w:rsidP="00C814FC">
      <w:pPr>
        <w:rPr>
          <w:rFonts w:asciiTheme="majorHAnsi" w:hAnsiTheme="majorHAnsi" w:cstheme="majorHAnsi"/>
        </w:rPr>
      </w:pPr>
      <w:r w:rsidRPr="00A61669">
        <w:rPr>
          <w:rFonts w:asciiTheme="majorHAnsi" w:hAnsiTheme="majorHAnsi" w:cstheme="majorHAnsi"/>
        </w:rPr>
        <w:t>AWS is the strongest fit for DMG Media’s specific estate and constraints. The recommendation rests on four pillars: technical fit, cost, ecosystem, and existing investment.</w:t>
      </w:r>
    </w:p>
    <w:p w14:paraId="4E4DEFA3" w14:textId="2D640080" w:rsidR="00DC39D2" w:rsidRPr="00A61669" w:rsidRDefault="00531B7D" w:rsidP="00F57DAB">
      <w:pPr>
        <w:pStyle w:val="ListParagraph"/>
        <w:numPr>
          <w:ilvl w:val="0"/>
          <w:numId w:val="39"/>
        </w:numPr>
        <w:rPr>
          <w:rFonts w:asciiTheme="majorHAnsi" w:hAnsiTheme="majorHAnsi" w:cstheme="majorHAnsi"/>
        </w:rPr>
      </w:pPr>
      <w:r w:rsidRPr="00A61669">
        <w:rPr>
          <w:rFonts w:asciiTheme="majorHAnsi" w:hAnsiTheme="majorHAnsi" w:cstheme="majorHAnsi"/>
          <w:b/>
        </w:rPr>
        <w:t xml:space="preserve">Technical fit. </w:t>
      </w:r>
      <w:r w:rsidR="00DC39D2" w:rsidRPr="00A61669">
        <w:rPr>
          <w:rFonts w:asciiTheme="majorHAnsi" w:hAnsiTheme="majorHAnsi" w:cstheme="majorHAnsi"/>
          <w:b/>
        </w:rPr>
        <w:tab/>
      </w:r>
      <w:r w:rsidR="00EB2DE4" w:rsidRPr="00A61669">
        <w:rPr>
          <w:rFonts w:asciiTheme="majorHAnsi" w:hAnsiTheme="majorHAnsi" w:cstheme="majorHAnsi"/>
        </w:rPr>
        <w:t>DMG Media</w:t>
      </w:r>
      <w:r w:rsidRPr="00A61669">
        <w:rPr>
          <w:rFonts w:asciiTheme="majorHAnsi" w:hAnsiTheme="majorHAnsi" w:cstheme="majorHAnsi"/>
        </w:rPr>
        <w:t xml:space="preserve">'s estate is characterised by tightly coupled, infrastructure-dependent applications with hard dependencies on networking, storage, and compute patterns that each cloud platform handles differently. AWS provides the broadest technical flexibility across these patterns, minimising rework for the widest range of workloads. The most visible constraint is Atex, which requires multicast networking. AWS is the only platform that supports multicast natively (Transit Gateway). GCP and Azure would both require </w:t>
      </w:r>
      <w:r w:rsidR="000A07AC" w:rsidRPr="00A61669">
        <w:rPr>
          <w:rFonts w:asciiTheme="majorHAnsi" w:hAnsiTheme="majorHAnsi" w:cstheme="majorHAnsi"/>
        </w:rPr>
        <w:t xml:space="preserve">DMG Media </w:t>
      </w:r>
      <w:r w:rsidRPr="00A61669">
        <w:rPr>
          <w:rFonts w:asciiTheme="majorHAnsi" w:hAnsiTheme="majorHAnsi" w:cstheme="majorHAnsi"/>
        </w:rPr>
        <w:t xml:space="preserve">to refactor the Atex architecture from multicast to unicast, a significant cost and engineering effort with no business benefit. Given that </w:t>
      </w:r>
      <w:r w:rsidR="000A07AC" w:rsidRPr="00A61669">
        <w:rPr>
          <w:rFonts w:asciiTheme="majorHAnsi" w:hAnsiTheme="majorHAnsi" w:cstheme="majorHAnsi"/>
        </w:rPr>
        <w:t xml:space="preserve">DMG Media </w:t>
      </w:r>
      <w:r w:rsidRPr="00A61669">
        <w:rPr>
          <w:rFonts w:asciiTheme="majorHAnsi" w:hAnsiTheme="majorHAnsi" w:cstheme="majorHAnsi"/>
        </w:rPr>
        <w:t>is exiting VMware (which rules out VMware-on-cloud as a workaround), this is a hard constraint, not a preference. But Atex is not an isolated case. Across the estate, tightly coupled applications with infrastructure-level dependencies are common, and AWS consistently accommodates more of these patterns without architectural compromise.</w:t>
      </w:r>
      <w:r w:rsidR="007F202E" w:rsidRPr="00A61669">
        <w:rPr>
          <w:rFonts w:asciiTheme="majorHAnsi" w:hAnsiTheme="majorHAnsi" w:cstheme="majorHAnsi"/>
        </w:rPr>
        <w:t xml:space="preserve"> </w:t>
      </w:r>
      <w:r w:rsidRPr="00A61669">
        <w:rPr>
          <w:rFonts w:asciiTheme="majorHAnsi" w:hAnsiTheme="majorHAnsi" w:cstheme="majorHAnsi"/>
        </w:rPr>
        <w:t>AWS also provides the strongest application modernisation pathway. The initial migration strategy is lift-and-shift to establish the cloud footprint, but the long-term value comes from progressing workloads towards containerisation, managed services, and serverless as the estate matures.</w:t>
      </w:r>
      <w:r w:rsidR="007F202E" w:rsidRPr="00A61669">
        <w:rPr>
          <w:rFonts w:asciiTheme="majorHAnsi" w:hAnsiTheme="majorHAnsi" w:cstheme="majorHAnsi"/>
        </w:rPr>
        <w:t xml:space="preserve"> </w:t>
      </w:r>
      <w:r w:rsidRPr="00A61669">
        <w:rPr>
          <w:rFonts w:asciiTheme="majorHAnsi" w:hAnsiTheme="majorHAnsi" w:cstheme="majorHAnsi"/>
        </w:rPr>
        <w:t>The estate is predominantly Linux, which runs well on all three clouds but gains no advantage from Azure's Windows-centric licensing model. Azure Hybrid Benefit applies to only 234 of 3,038 in-scope servers (7.7%).</w:t>
      </w:r>
    </w:p>
    <w:p w14:paraId="66C8B06D" w14:textId="7AB7F215" w:rsidR="0064233E" w:rsidRPr="00A61669" w:rsidRDefault="00C814FC" w:rsidP="00F57DAB">
      <w:pPr>
        <w:pStyle w:val="ListParagraph"/>
        <w:numPr>
          <w:ilvl w:val="0"/>
          <w:numId w:val="39"/>
        </w:numPr>
        <w:rPr>
          <w:rFonts w:asciiTheme="majorHAnsi" w:hAnsiTheme="majorHAnsi" w:cstheme="majorHAnsi"/>
        </w:rPr>
      </w:pPr>
      <w:r w:rsidRPr="00A61669">
        <w:rPr>
          <w:rFonts w:asciiTheme="majorHAnsi" w:hAnsiTheme="majorHAnsi" w:cstheme="majorHAnsi"/>
          <w:b/>
        </w:rPr>
        <w:t>Cost</w:t>
      </w:r>
      <w:r w:rsidRPr="00A61669">
        <w:rPr>
          <w:rFonts w:asciiTheme="majorHAnsi" w:hAnsiTheme="majorHAnsi" w:cstheme="majorHAnsi"/>
        </w:rPr>
        <w:t xml:space="preserve">. </w:t>
      </w:r>
      <w:r w:rsidR="00513067" w:rsidRPr="00A61669">
        <w:rPr>
          <w:rFonts w:asciiTheme="majorHAnsi" w:hAnsiTheme="majorHAnsi" w:cstheme="majorHAnsi"/>
        </w:rPr>
        <w:t>On the Complete View, GCP is the cheapest cloud at £</w:t>
      </w:r>
      <w:r w:rsidR="00F74993" w:rsidRPr="00A61669">
        <w:rPr>
          <w:rFonts w:asciiTheme="majorHAnsi" w:hAnsiTheme="majorHAnsi" w:cstheme="majorHAnsi"/>
        </w:rPr>
        <w:t>4,594,427</w:t>
      </w:r>
      <w:r w:rsidR="00513067" w:rsidRPr="00A61669">
        <w:rPr>
          <w:rFonts w:asciiTheme="majorHAnsi" w:hAnsiTheme="majorHAnsi" w:cstheme="majorHAnsi"/>
        </w:rPr>
        <w:t xml:space="preserve"> per </w:t>
      </w:r>
      <w:r w:rsidR="00F74993" w:rsidRPr="00A61669">
        <w:rPr>
          <w:rFonts w:asciiTheme="majorHAnsi" w:hAnsiTheme="majorHAnsi" w:cstheme="majorHAnsi"/>
        </w:rPr>
        <w:t>year</w:t>
      </w:r>
      <w:r w:rsidR="00513067" w:rsidRPr="00A61669">
        <w:rPr>
          <w:rFonts w:asciiTheme="majorHAnsi" w:hAnsiTheme="majorHAnsi" w:cstheme="majorHAnsi"/>
        </w:rPr>
        <w:t>, AWS is within 2.1% at £</w:t>
      </w:r>
      <w:r w:rsidR="00F74993" w:rsidRPr="00A61669">
        <w:rPr>
          <w:rFonts w:asciiTheme="majorHAnsi" w:hAnsiTheme="majorHAnsi" w:cstheme="majorHAnsi"/>
        </w:rPr>
        <w:t>4,695,661</w:t>
      </w:r>
      <w:r w:rsidR="00513067" w:rsidRPr="00A61669">
        <w:rPr>
          <w:rFonts w:asciiTheme="majorHAnsi" w:hAnsiTheme="majorHAnsi" w:cstheme="majorHAnsi"/>
        </w:rPr>
        <w:t>, and Azure sits 24% higher at £</w:t>
      </w:r>
      <w:r w:rsidR="00F74993" w:rsidRPr="00A61669">
        <w:rPr>
          <w:rFonts w:asciiTheme="majorHAnsi" w:hAnsiTheme="majorHAnsi" w:cstheme="majorHAnsi"/>
        </w:rPr>
        <w:t>5,671,241</w:t>
      </w:r>
      <w:r w:rsidR="00513067" w:rsidRPr="00A61669">
        <w:rPr>
          <w:rFonts w:asciiTheme="majorHAnsi" w:hAnsiTheme="majorHAnsi" w:cstheme="majorHAnsi"/>
        </w:rPr>
        <w:t xml:space="preserve">. </w:t>
      </w:r>
    </w:p>
    <w:p w14:paraId="04236774" w14:textId="445BCC1E" w:rsidR="00513067" w:rsidRPr="00A61669" w:rsidRDefault="00513067" w:rsidP="0064233E">
      <w:pPr>
        <w:pStyle w:val="ListParagraph"/>
        <w:rPr>
          <w:rFonts w:asciiTheme="majorHAnsi" w:hAnsiTheme="majorHAnsi" w:cstheme="majorHAnsi"/>
        </w:rPr>
      </w:pPr>
      <w:r w:rsidRPr="00A61669">
        <w:rPr>
          <w:rFonts w:asciiTheme="majorHAnsi" w:hAnsiTheme="majorHAnsi" w:cstheme="majorHAnsi"/>
        </w:rPr>
        <w:t>The gap between GCP and AWS is marginal and likely to narrow further with commercial terms. The gap between AWS and Azure is structural, driven by Azure's sizing methodology, premium storage pricing, and tooling limitations.</w:t>
      </w:r>
    </w:p>
    <w:tbl>
      <w:tblPr>
        <w:tblStyle w:val="TableGrid"/>
        <w:tblW w:w="0" w:type="auto"/>
        <w:tblInd w:w="720" w:type="dxa"/>
        <w:tblLook w:val="04A0" w:firstRow="1" w:lastRow="0" w:firstColumn="1" w:lastColumn="0" w:noHBand="0" w:noVBand="1"/>
      </w:tblPr>
      <w:tblGrid>
        <w:gridCol w:w="3002"/>
        <w:gridCol w:w="3021"/>
        <w:gridCol w:w="2987"/>
      </w:tblGrid>
      <w:tr w:rsidR="0045735E" w14:paraId="7B3E3764" w14:textId="77777777" w:rsidTr="007D1995">
        <w:tc>
          <w:tcPr>
            <w:tcW w:w="3002" w:type="dxa"/>
          </w:tcPr>
          <w:p w14:paraId="38438140" w14:textId="332CE218" w:rsidR="0045735E" w:rsidRPr="00A61669" w:rsidRDefault="0045735E" w:rsidP="007D1995">
            <w:pPr>
              <w:pStyle w:val="ListParagraph"/>
              <w:ind w:left="0"/>
              <w:jc w:val="center"/>
              <w:rPr>
                <w:rFonts w:asciiTheme="majorHAnsi" w:hAnsiTheme="majorHAnsi" w:cstheme="majorHAnsi"/>
                <w:b/>
              </w:rPr>
            </w:pPr>
            <w:r w:rsidRPr="00A61669">
              <w:rPr>
                <w:rFonts w:asciiTheme="majorHAnsi" w:hAnsiTheme="majorHAnsi" w:cstheme="majorHAnsi"/>
                <w:b/>
              </w:rPr>
              <w:t>Cloud</w:t>
            </w:r>
          </w:p>
        </w:tc>
        <w:tc>
          <w:tcPr>
            <w:tcW w:w="3021" w:type="dxa"/>
          </w:tcPr>
          <w:p w14:paraId="10C240C1" w14:textId="5C2CF2D9" w:rsidR="0045735E" w:rsidRPr="00A61669" w:rsidRDefault="00F74993" w:rsidP="007D1995">
            <w:pPr>
              <w:pStyle w:val="ListParagraph"/>
              <w:ind w:left="0"/>
              <w:jc w:val="center"/>
              <w:rPr>
                <w:rFonts w:asciiTheme="majorHAnsi" w:hAnsiTheme="majorHAnsi" w:cstheme="majorHAnsi"/>
                <w:b/>
              </w:rPr>
            </w:pPr>
            <w:r w:rsidRPr="00A61669">
              <w:rPr>
                <w:rFonts w:asciiTheme="majorHAnsi" w:hAnsiTheme="majorHAnsi" w:cstheme="majorHAnsi"/>
                <w:b/>
                <w:bCs/>
              </w:rPr>
              <w:t>Annual</w:t>
            </w:r>
            <w:r w:rsidR="0045735E" w:rsidRPr="00A61669">
              <w:rPr>
                <w:rFonts w:asciiTheme="majorHAnsi" w:hAnsiTheme="majorHAnsi" w:cstheme="majorHAnsi"/>
                <w:b/>
                <w:bCs/>
              </w:rPr>
              <w:t xml:space="preserve"> Cost</w:t>
            </w:r>
          </w:p>
        </w:tc>
        <w:tc>
          <w:tcPr>
            <w:tcW w:w="2987" w:type="dxa"/>
          </w:tcPr>
          <w:p w14:paraId="073AF10D" w14:textId="5C5639BF" w:rsidR="0045735E" w:rsidRPr="00A61669" w:rsidRDefault="005B62E6" w:rsidP="007D1995">
            <w:pPr>
              <w:pStyle w:val="ListParagraph"/>
              <w:ind w:left="0"/>
              <w:jc w:val="center"/>
              <w:rPr>
                <w:rFonts w:asciiTheme="majorHAnsi" w:hAnsiTheme="majorHAnsi" w:cstheme="majorHAnsi"/>
                <w:b/>
              </w:rPr>
            </w:pPr>
            <w:r w:rsidRPr="00A61669">
              <w:rPr>
                <w:rFonts w:asciiTheme="majorHAnsi" w:hAnsiTheme="majorHAnsi" w:cstheme="majorHAnsi"/>
                <w:b/>
              </w:rPr>
              <w:t>% Gap</w:t>
            </w:r>
          </w:p>
        </w:tc>
      </w:tr>
      <w:tr w:rsidR="0045735E" w14:paraId="5C5190C7" w14:textId="77777777" w:rsidTr="007D1995">
        <w:tc>
          <w:tcPr>
            <w:tcW w:w="3002" w:type="dxa"/>
          </w:tcPr>
          <w:p w14:paraId="1CDFF5F6" w14:textId="39BF2105" w:rsidR="0045735E" w:rsidRPr="00A61669" w:rsidRDefault="005B62E6" w:rsidP="007D1995">
            <w:pPr>
              <w:pStyle w:val="ListParagraph"/>
              <w:ind w:left="0"/>
              <w:jc w:val="center"/>
              <w:rPr>
                <w:rFonts w:asciiTheme="majorHAnsi" w:hAnsiTheme="majorHAnsi" w:cstheme="majorHAnsi"/>
              </w:rPr>
            </w:pPr>
            <w:r w:rsidRPr="00A61669">
              <w:rPr>
                <w:rFonts w:asciiTheme="majorHAnsi" w:hAnsiTheme="majorHAnsi" w:cstheme="majorHAnsi"/>
              </w:rPr>
              <w:t>GCP</w:t>
            </w:r>
          </w:p>
        </w:tc>
        <w:tc>
          <w:tcPr>
            <w:tcW w:w="3021" w:type="dxa"/>
          </w:tcPr>
          <w:p w14:paraId="56EB90F1" w14:textId="621E695C" w:rsidR="0045735E" w:rsidRPr="00A61669" w:rsidRDefault="00F74993" w:rsidP="007D1995">
            <w:pPr>
              <w:pStyle w:val="ListParagraph"/>
              <w:ind w:left="0"/>
              <w:jc w:val="center"/>
              <w:rPr>
                <w:rFonts w:asciiTheme="majorHAnsi" w:hAnsiTheme="majorHAnsi" w:cstheme="majorHAnsi"/>
              </w:rPr>
            </w:pPr>
            <w:r w:rsidRPr="00A61669">
              <w:rPr>
                <w:rFonts w:asciiTheme="majorHAnsi" w:hAnsiTheme="majorHAnsi" w:cstheme="majorHAnsi"/>
              </w:rPr>
              <w:t>£4,594,427</w:t>
            </w:r>
          </w:p>
        </w:tc>
        <w:tc>
          <w:tcPr>
            <w:tcW w:w="2987" w:type="dxa"/>
          </w:tcPr>
          <w:p w14:paraId="26245EB2" w14:textId="621FC511" w:rsidR="0045735E" w:rsidRPr="00A61669" w:rsidRDefault="00A85183" w:rsidP="007D1995">
            <w:pPr>
              <w:pStyle w:val="ListParagraph"/>
              <w:ind w:left="0"/>
              <w:jc w:val="center"/>
              <w:rPr>
                <w:rFonts w:asciiTheme="majorHAnsi" w:hAnsiTheme="majorHAnsi" w:cstheme="majorHAnsi"/>
              </w:rPr>
            </w:pPr>
            <w:r w:rsidRPr="00A61669">
              <w:rPr>
                <w:rFonts w:asciiTheme="majorHAnsi" w:hAnsiTheme="majorHAnsi" w:cstheme="majorHAnsi"/>
              </w:rPr>
              <w:t>0%</w:t>
            </w:r>
          </w:p>
        </w:tc>
      </w:tr>
      <w:tr w:rsidR="0045735E" w14:paraId="2F92C4A3" w14:textId="77777777" w:rsidTr="007D1995">
        <w:tc>
          <w:tcPr>
            <w:tcW w:w="3002" w:type="dxa"/>
          </w:tcPr>
          <w:p w14:paraId="402C1263" w14:textId="642250E3" w:rsidR="0045735E" w:rsidRPr="00A61669" w:rsidRDefault="005B62E6" w:rsidP="007D1995">
            <w:pPr>
              <w:pStyle w:val="ListParagraph"/>
              <w:ind w:left="0"/>
              <w:jc w:val="center"/>
              <w:rPr>
                <w:rFonts w:asciiTheme="majorHAnsi" w:hAnsiTheme="majorHAnsi" w:cstheme="majorHAnsi"/>
              </w:rPr>
            </w:pPr>
            <w:r w:rsidRPr="00A61669">
              <w:rPr>
                <w:rFonts w:asciiTheme="majorHAnsi" w:hAnsiTheme="majorHAnsi" w:cstheme="majorHAnsi"/>
              </w:rPr>
              <w:lastRenderedPageBreak/>
              <w:t>AWS</w:t>
            </w:r>
          </w:p>
        </w:tc>
        <w:tc>
          <w:tcPr>
            <w:tcW w:w="3021" w:type="dxa"/>
          </w:tcPr>
          <w:p w14:paraId="75CA2F9C" w14:textId="36C3EA50" w:rsidR="0045735E" w:rsidRPr="00A61669" w:rsidRDefault="00F74993" w:rsidP="007D1995">
            <w:pPr>
              <w:pStyle w:val="ListParagraph"/>
              <w:ind w:left="0"/>
              <w:jc w:val="center"/>
              <w:rPr>
                <w:rFonts w:asciiTheme="majorHAnsi" w:hAnsiTheme="majorHAnsi" w:cstheme="majorHAnsi"/>
              </w:rPr>
            </w:pPr>
            <w:r w:rsidRPr="00A61669">
              <w:rPr>
                <w:rFonts w:asciiTheme="majorHAnsi" w:hAnsiTheme="majorHAnsi" w:cstheme="majorHAnsi"/>
              </w:rPr>
              <w:t>£4,695,661</w:t>
            </w:r>
          </w:p>
        </w:tc>
        <w:tc>
          <w:tcPr>
            <w:tcW w:w="2987" w:type="dxa"/>
          </w:tcPr>
          <w:p w14:paraId="68917718" w14:textId="11AB9B47" w:rsidR="0045735E" w:rsidRPr="00A61669" w:rsidRDefault="00AE0117" w:rsidP="007D1995">
            <w:pPr>
              <w:pStyle w:val="ListParagraph"/>
              <w:ind w:left="0"/>
              <w:jc w:val="center"/>
              <w:rPr>
                <w:rFonts w:asciiTheme="majorHAnsi" w:hAnsiTheme="majorHAnsi" w:cstheme="majorHAnsi"/>
              </w:rPr>
            </w:pPr>
            <w:r w:rsidRPr="00A61669">
              <w:rPr>
                <w:rFonts w:asciiTheme="majorHAnsi" w:hAnsiTheme="majorHAnsi" w:cstheme="majorHAnsi"/>
              </w:rPr>
              <w:t>2</w:t>
            </w:r>
            <w:r w:rsidR="00057522" w:rsidRPr="00A61669">
              <w:rPr>
                <w:rFonts w:asciiTheme="majorHAnsi" w:hAnsiTheme="majorHAnsi" w:cstheme="majorHAnsi"/>
              </w:rPr>
              <w:t>.</w:t>
            </w:r>
            <w:r w:rsidRPr="00A61669">
              <w:rPr>
                <w:rFonts w:asciiTheme="majorHAnsi" w:hAnsiTheme="majorHAnsi" w:cstheme="majorHAnsi"/>
              </w:rPr>
              <w:t>1</w:t>
            </w:r>
            <w:r w:rsidR="00057522" w:rsidRPr="00A61669">
              <w:rPr>
                <w:rFonts w:asciiTheme="majorHAnsi" w:hAnsiTheme="majorHAnsi" w:cstheme="majorHAnsi"/>
              </w:rPr>
              <w:t>%</w:t>
            </w:r>
          </w:p>
        </w:tc>
      </w:tr>
      <w:tr w:rsidR="005B62E6" w14:paraId="63BA755B" w14:textId="77777777" w:rsidTr="007D1995">
        <w:tc>
          <w:tcPr>
            <w:tcW w:w="3002" w:type="dxa"/>
          </w:tcPr>
          <w:p w14:paraId="1C86A287" w14:textId="135E6EFB" w:rsidR="005B62E6" w:rsidRPr="00A61669" w:rsidRDefault="005B62E6" w:rsidP="007D1995">
            <w:pPr>
              <w:pStyle w:val="ListParagraph"/>
              <w:ind w:left="0"/>
              <w:jc w:val="center"/>
              <w:rPr>
                <w:rFonts w:asciiTheme="majorHAnsi" w:hAnsiTheme="majorHAnsi" w:cstheme="majorHAnsi"/>
              </w:rPr>
            </w:pPr>
            <w:r w:rsidRPr="00A61669">
              <w:rPr>
                <w:rFonts w:asciiTheme="majorHAnsi" w:hAnsiTheme="majorHAnsi" w:cstheme="majorHAnsi"/>
              </w:rPr>
              <w:t>Azure</w:t>
            </w:r>
          </w:p>
        </w:tc>
        <w:tc>
          <w:tcPr>
            <w:tcW w:w="3021" w:type="dxa"/>
          </w:tcPr>
          <w:p w14:paraId="7415C7D7" w14:textId="0A31DD0B" w:rsidR="005B62E6" w:rsidRPr="00A61669" w:rsidRDefault="00F74993" w:rsidP="007D1995">
            <w:pPr>
              <w:pStyle w:val="ListParagraph"/>
              <w:ind w:left="0"/>
              <w:jc w:val="center"/>
              <w:rPr>
                <w:rFonts w:asciiTheme="majorHAnsi" w:hAnsiTheme="majorHAnsi" w:cstheme="majorHAnsi"/>
              </w:rPr>
            </w:pPr>
            <w:r w:rsidRPr="00A61669">
              <w:rPr>
                <w:rFonts w:asciiTheme="majorHAnsi" w:hAnsiTheme="majorHAnsi" w:cstheme="majorHAnsi"/>
              </w:rPr>
              <w:t>£5,671,241</w:t>
            </w:r>
          </w:p>
        </w:tc>
        <w:tc>
          <w:tcPr>
            <w:tcW w:w="2987" w:type="dxa"/>
          </w:tcPr>
          <w:p w14:paraId="02A08928" w14:textId="149A9DC2" w:rsidR="005B62E6" w:rsidRPr="00A61669" w:rsidRDefault="00057522" w:rsidP="007D1995">
            <w:pPr>
              <w:pStyle w:val="ListParagraph"/>
              <w:ind w:left="0"/>
              <w:jc w:val="center"/>
              <w:rPr>
                <w:rFonts w:asciiTheme="majorHAnsi" w:hAnsiTheme="majorHAnsi" w:cstheme="majorHAnsi"/>
              </w:rPr>
            </w:pPr>
            <w:r w:rsidRPr="00A61669">
              <w:rPr>
                <w:rFonts w:asciiTheme="majorHAnsi" w:hAnsiTheme="majorHAnsi" w:cstheme="majorHAnsi"/>
              </w:rPr>
              <w:t>24%</w:t>
            </w:r>
          </w:p>
        </w:tc>
      </w:tr>
    </w:tbl>
    <w:p w14:paraId="17743140" w14:textId="77777777" w:rsidR="00513067" w:rsidRPr="00A61669" w:rsidRDefault="00513067" w:rsidP="007D1995">
      <w:pPr>
        <w:pStyle w:val="ListParagraph"/>
        <w:rPr>
          <w:rFonts w:asciiTheme="majorHAnsi" w:hAnsiTheme="majorHAnsi" w:cstheme="majorHAnsi"/>
        </w:rPr>
      </w:pPr>
    </w:p>
    <w:p w14:paraId="0574E23D" w14:textId="284FE2DE" w:rsidR="00C814FC" w:rsidRPr="00A61669" w:rsidRDefault="00C814FC" w:rsidP="00F57DAB">
      <w:pPr>
        <w:pStyle w:val="ListParagraph"/>
        <w:numPr>
          <w:ilvl w:val="0"/>
          <w:numId w:val="39"/>
        </w:numPr>
        <w:rPr>
          <w:rFonts w:asciiTheme="majorHAnsi" w:hAnsiTheme="majorHAnsi" w:cstheme="majorHAnsi"/>
        </w:rPr>
      </w:pPr>
      <w:r w:rsidRPr="00A61669">
        <w:rPr>
          <w:rFonts w:asciiTheme="majorHAnsi" w:hAnsiTheme="majorHAnsi" w:cstheme="majorHAnsi"/>
          <w:b/>
        </w:rPr>
        <w:t>Ecosystem</w:t>
      </w:r>
      <w:r w:rsidRPr="00A61669">
        <w:rPr>
          <w:rFonts w:asciiTheme="majorHAnsi" w:hAnsiTheme="majorHAnsi" w:cstheme="majorHAnsi"/>
        </w:rPr>
        <w:t>. AWS has the largest partner and skills market across all segments, including media. This matters because DMG Media’s indicated operating model is partner-assisted with upskilling, not a fully self-managed build. AWS direct-connect is already configured to the on-premises estate.</w:t>
      </w:r>
    </w:p>
    <w:p w14:paraId="701801AB" w14:textId="77777777" w:rsidR="00C814FC" w:rsidRPr="00A61669" w:rsidRDefault="00C814FC" w:rsidP="00F57DAB">
      <w:pPr>
        <w:pStyle w:val="ListParagraph"/>
        <w:numPr>
          <w:ilvl w:val="0"/>
          <w:numId w:val="39"/>
        </w:numPr>
        <w:rPr>
          <w:rFonts w:asciiTheme="majorHAnsi" w:hAnsiTheme="majorHAnsi" w:cstheme="majorHAnsi"/>
        </w:rPr>
      </w:pPr>
      <w:r w:rsidRPr="00A61669">
        <w:rPr>
          <w:rFonts w:asciiTheme="majorHAnsi" w:hAnsiTheme="majorHAnsi" w:cstheme="majorHAnsi"/>
          <w:b/>
        </w:rPr>
        <w:t>Existing investment</w:t>
      </w:r>
      <w:r w:rsidRPr="00A61669">
        <w:rPr>
          <w:rFonts w:asciiTheme="majorHAnsi" w:hAnsiTheme="majorHAnsi" w:cstheme="majorHAnsi"/>
        </w:rPr>
        <w:t>. Video streaming already runs on AWS Elemental. Several teams (including MIMIR, Airtable, iQ, and Social Media) already have working knowledge of AWS services. This is not a greenfield decision.</w:t>
      </w:r>
    </w:p>
    <w:p w14:paraId="6404F036" w14:textId="472314CF" w:rsidR="00C814FC" w:rsidRPr="00A61669" w:rsidRDefault="00C814FC" w:rsidP="00F57DAB">
      <w:pPr>
        <w:pStyle w:val="ListParagraph"/>
        <w:numPr>
          <w:ilvl w:val="0"/>
          <w:numId w:val="39"/>
        </w:numPr>
        <w:rPr>
          <w:rFonts w:asciiTheme="majorHAnsi" w:hAnsiTheme="majorHAnsi" w:cstheme="majorHAnsi"/>
        </w:rPr>
      </w:pPr>
      <w:r w:rsidRPr="00A61669">
        <w:rPr>
          <w:rFonts w:asciiTheme="majorHAnsi" w:hAnsiTheme="majorHAnsi" w:cstheme="majorHAnsi"/>
          <w:b/>
        </w:rPr>
        <w:t>The weighted scoring matrix confirms the position</w:t>
      </w:r>
      <w:r w:rsidRPr="00A61669">
        <w:rPr>
          <w:rFonts w:asciiTheme="majorHAnsi" w:hAnsiTheme="majorHAnsi" w:cstheme="majorHAnsi"/>
        </w:rPr>
        <w:t>. Across thirteen strategic goals scored 1-5 with priority weighting, AWS scores 88% (</w:t>
      </w:r>
      <w:r w:rsidR="007C28AD" w:rsidRPr="00A61669">
        <w:rPr>
          <w:rFonts w:asciiTheme="majorHAnsi" w:hAnsiTheme="majorHAnsi" w:cstheme="majorHAnsi"/>
        </w:rPr>
        <w:t>912</w:t>
      </w:r>
      <w:r w:rsidRPr="00A61669">
        <w:rPr>
          <w:rFonts w:asciiTheme="majorHAnsi" w:hAnsiTheme="majorHAnsi" w:cstheme="majorHAnsi"/>
        </w:rPr>
        <w:t xml:space="preserve"> points), </w:t>
      </w:r>
      <w:r w:rsidR="00490547" w:rsidRPr="00A61669">
        <w:rPr>
          <w:rFonts w:asciiTheme="majorHAnsi" w:hAnsiTheme="majorHAnsi" w:cstheme="majorHAnsi"/>
        </w:rPr>
        <w:t>GCP 85% (884), and</w:t>
      </w:r>
      <w:r w:rsidRPr="00A61669">
        <w:rPr>
          <w:rFonts w:asciiTheme="majorHAnsi" w:hAnsiTheme="majorHAnsi" w:cstheme="majorHAnsi"/>
        </w:rPr>
        <w:t xml:space="preserve"> Azure 85% (</w:t>
      </w:r>
      <w:r w:rsidR="00490547" w:rsidRPr="00A61669">
        <w:rPr>
          <w:rFonts w:asciiTheme="majorHAnsi" w:hAnsiTheme="majorHAnsi" w:cstheme="majorHAnsi"/>
        </w:rPr>
        <w:t>880</w:t>
      </w:r>
      <w:r w:rsidRPr="00A61669">
        <w:rPr>
          <w:rFonts w:asciiTheme="majorHAnsi" w:hAnsiTheme="majorHAnsi" w:cstheme="majorHAnsi"/>
        </w:rPr>
        <w:t>). AWS leads on the categories that carry the most weight for DMG Media: cost, performance, reliability, and business fit. Azure leads on security and licensing, which are real strengths but sit in moderate-priority categories for this assessment.</w:t>
      </w:r>
    </w:p>
    <w:p w14:paraId="2C802175" w14:textId="4C19151B" w:rsidR="00C814FC" w:rsidRPr="00A61669" w:rsidRDefault="00C814FC" w:rsidP="00F57DAB">
      <w:pPr>
        <w:pStyle w:val="ListParagraph"/>
        <w:numPr>
          <w:ilvl w:val="0"/>
          <w:numId w:val="39"/>
        </w:numPr>
        <w:rPr>
          <w:rFonts w:asciiTheme="majorHAnsi" w:hAnsiTheme="majorHAnsi" w:cstheme="majorHAnsi"/>
        </w:rPr>
      </w:pPr>
      <w:r w:rsidRPr="00A61669">
        <w:rPr>
          <w:rFonts w:asciiTheme="majorHAnsi" w:hAnsiTheme="majorHAnsi" w:cstheme="majorHAnsi"/>
          <w:b/>
        </w:rPr>
        <w:t>Two exceptions are validated by evidence</w:t>
      </w:r>
      <w:r w:rsidRPr="00A61669">
        <w:rPr>
          <w:rFonts w:asciiTheme="majorHAnsi" w:hAnsiTheme="majorHAnsi" w:cstheme="majorHAnsi"/>
        </w:rPr>
        <w:t xml:space="preserve">: commercial data analytics stays on GCP (existing investment, BigQuery is best-in-class for this workload), and video streaming stays on AWS (already running there). </w:t>
      </w:r>
      <w:r w:rsidR="0088745F" w:rsidRPr="00A61669">
        <w:rPr>
          <w:rFonts w:asciiTheme="majorHAnsi" w:hAnsiTheme="majorHAnsi" w:cstheme="majorHAnsi"/>
        </w:rPr>
        <w:t>Mail Online</w:t>
      </w:r>
      <w:r w:rsidRPr="00A61669">
        <w:rPr>
          <w:rFonts w:asciiTheme="majorHAnsi" w:hAnsiTheme="majorHAnsi" w:cstheme="majorHAnsi"/>
        </w:rPr>
        <w:t>’s dual ownership (Chief Product Officer for the product, Chief Technology Officer for the infrastructure) must be reflected in programme governance.</w:t>
      </w:r>
    </w:p>
    <w:p w14:paraId="0000001D" w14:textId="3C056A87" w:rsidR="000B0F63" w:rsidRPr="00A61669" w:rsidRDefault="1BAB210A" w:rsidP="00E40261">
      <w:pPr>
        <w:pStyle w:val="Heading3"/>
        <w:jc w:val="both"/>
        <w:rPr>
          <w:rFonts w:asciiTheme="majorHAnsi" w:hAnsiTheme="majorHAnsi" w:cstheme="majorHAnsi"/>
        </w:rPr>
      </w:pPr>
      <w:r w:rsidRPr="00A61669">
        <w:rPr>
          <w:rFonts w:asciiTheme="majorHAnsi" w:hAnsiTheme="majorHAnsi" w:cstheme="majorHAnsi"/>
        </w:rPr>
        <w:t>5. Organisational readiness is at the level typical for organisations starting this journey.</w:t>
      </w:r>
      <w:bookmarkEnd w:id="18"/>
      <w:bookmarkEnd w:id="19"/>
    </w:p>
    <w:p w14:paraId="0000001F" w14:textId="2E223FA4"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Overall readiness is approximately 2.1 of 5, measured across Business, Governance, Operations, People, and Security using the standard cloud-adoption questionnaire. Governance is the strongest area (3.0). People is the weakest (1.2). This reflects cloud-specific skills and training rather than overall team capability. The infrastructure organisation has deep enterprise expertise in VMware, Oracle, and networking that this dimension does not capture. This is addressable. It is the first phase of any cloud transformation. </w:t>
      </w:r>
      <w:r w:rsidR="00100959" w:rsidRPr="00A61669">
        <w:rPr>
          <w:rFonts w:asciiTheme="majorHAnsi" w:hAnsiTheme="majorHAnsi" w:cstheme="majorHAnsi"/>
        </w:rPr>
        <w:t>Part 2</w:t>
      </w:r>
      <w:r w:rsidRPr="00A61669">
        <w:rPr>
          <w:rFonts w:asciiTheme="majorHAnsi" w:hAnsiTheme="majorHAnsi" w:cstheme="majorHAnsi"/>
        </w:rPr>
        <w:t xml:space="preserve"> and the early programme activities (landing zone, training, FinOps, security baselines) close the gap.</w:t>
      </w:r>
    </w:p>
    <w:p w14:paraId="00000021" w14:textId="0D9A32A2" w:rsidR="000B0F63" w:rsidRPr="00A61669" w:rsidRDefault="0051695D" w:rsidP="00E40261">
      <w:pPr>
        <w:pStyle w:val="Heading2"/>
        <w:jc w:val="both"/>
        <w:rPr>
          <w:rFonts w:asciiTheme="majorHAnsi" w:hAnsiTheme="majorHAnsi" w:cstheme="majorHAnsi"/>
        </w:rPr>
      </w:pPr>
      <w:r w:rsidRPr="00A61669">
        <w:rPr>
          <w:rFonts w:asciiTheme="majorHAnsi" w:hAnsiTheme="majorHAnsi" w:cstheme="majorHAnsi"/>
        </w:rPr>
        <w:t>Immediate Next Steps</w:t>
      </w:r>
    </w:p>
    <w:p w14:paraId="55B03275" w14:textId="6D478979" w:rsidR="00EC1699" w:rsidRPr="00A61669" w:rsidRDefault="00EC1699" w:rsidP="00EC1699">
      <w:pPr>
        <w:rPr>
          <w:rFonts w:asciiTheme="majorHAnsi" w:hAnsiTheme="majorHAnsi" w:cstheme="majorHAnsi"/>
        </w:rPr>
      </w:pPr>
      <w:r w:rsidRPr="00A61669">
        <w:rPr>
          <w:rFonts w:asciiTheme="majorHAnsi" w:hAnsiTheme="majorHAnsi" w:cstheme="majorHAnsi"/>
        </w:rPr>
        <w:t xml:space="preserve">Over the coming weeks DMG media will hear from AWS, Microsoft, and Google directly. Each will present their own view and their own figures. This report is the independent frame of reference against which those presentations can be weighed, based on a consistent set of data. </w:t>
      </w:r>
    </w:p>
    <w:p w14:paraId="262C9B46" w14:textId="7DB562F1" w:rsidR="00EC1699" w:rsidRPr="00A61669" w:rsidRDefault="00EC1699" w:rsidP="00EC1699">
      <w:pPr>
        <w:rPr>
          <w:rFonts w:asciiTheme="majorHAnsi" w:hAnsiTheme="majorHAnsi" w:cstheme="majorHAnsi"/>
        </w:rPr>
      </w:pPr>
      <w:r w:rsidRPr="00A61669">
        <w:rPr>
          <w:rFonts w:asciiTheme="majorHAnsi" w:hAnsiTheme="majorHAnsi" w:cstheme="majorHAnsi"/>
        </w:rPr>
        <w:t>Hyperscaler session</w:t>
      </w:r>
      <w:r w:rsidR="009C6697" w:rsidRPr="00A61669">
        <w:rPr>
          <w:rFonts w:asciiTheme="majorHAnsi" w:hAnsiTheme="majorHAnsi" w:cstheme="majorHAnsi"/>
        </w:rPr>
        <w:t>s</w:t>
      </w:r>
      <w:r w:rsidRPr="00A61669">
        <w:rPr>
          <w:rFonts w:asciiTheme="majorHAnsi" w:hAnsiTheme="majorHAnsi" w:cstheme="majorHAnsi"/>
        </w:rPr>
        <w:t xml:space="preserve"> (May)</w:t>
      </w:r>
    </w:p>
    <w:p w14:paraId="724A40C4" w14:textId="77777777" w:rsidR="00EC1699" w:rsidRPr="00A61669" w:rsidRDefault="00EC1699" w:rsidP="00EC1699">
      <w:pPr>
        <w:rPr>
          <w:rFonts w:asciiTheme="majorHAnsi" w:hAnsiTheme="majorHAnsi" w:cstheme="majorHAnsi"/>
        </w:rPr>
      </w:pPr>
      <w:r w:rsidRPr="00A61669">
        <w:rPr>
          <w:rFonts w:asciiTheme="majorHAnsi" w:hAnsiTheme="majorHAnsi" w:cstheme="majorHAnsi"/>
        </w:rPr>
        <w:t>12 May: Microsoft presentation (customer offices and remote, 14:00 to 16:00)</w:t>
      </w:r>
    </w:p>
    <w:p w14:paraId="25A39B96" w14:textId="77777777" w:rsidR="00EC1699" w:rsidRPr="00A61669" w:rsidRDefault="00EC1699" w:rsidP="00EC1699">
      <w:pPr>
        <w:rPr>
          <w:rFonts w:asciiTheme="majorHAnsi" w:hAnsiTheme="majorHAnsi" w:cstheme="majorHAnsi"/>
        </w:rPr>
      </w:pPr>
      <w:r w:rsidRPr="00A61669">
        <w:rPr>
          <w:rFonts w:asciiTheme="majorHAnsi" w:hAnsiTheme="majorHAnsi" w:cstheme="majorHAnsi"/>
        </w:rPr>
        <w:t>13 May: Google presentation (customer offices and remote, 11:00 to 13:00)</w:t>
      </w:r>
    </w:p>
    <w:p w14:paraId="1094910D" w14:textId="77777777" w:rsidR="00EC1699" w:rsidRPr="00A61669" w:rsidRDefault="00EC1699" w:rsidP="00EC1699">
      <w:pPr>
        <w:rPr>
          <w:rFonts w:asciiTheme="majorHAnsi" w:hAnsiTheme="majorHAnsi" w:cstheme="majorHAnsi"/>
        </w:rPr>
      </w:pPr>
      <w:r w:rsidRPr="00A61669">
        <w:rPr>
          <w:rFonts w:asciiTheme="majorHAnsi" w:hAnsiTheme="majorHAnsi" w:cstheme="majorHAnsi"/>
        </w:rPr>
        <w:lastRenderedPageBreak/>
        <w:t>18 May: AWS presentation (AWS offices and remote, 09:30 to 13:30)</w:t>
      </w:r>
    </w:p>
    <w:p w14:paraId="2E8D651C" w14:textId="77777777" w:rsidR="00EC1699" w:rsidRPr="00A61669" w:rsidRDefault="00EC1699" w:rsidP="00EC1699">
      <w:pPr>
        <w:rPr>
          <w:rFonts w:asciiTheme="majorHAnsi" w:hAnsiTheme="majorHAnsi" w:cstheme="majorHAnsi"/>
        </w:rPr>
      </w:pPr>
      <w:r w:rsidRPr="00A61669">
        <w:rPr>
          <w:rFonts w:asciiTheme="majorHAnsi" w:hAnsiTheme="majorHAnsi" w:cstheme="majorHAnsi"/>
        </w:rPr>
        <w:t>The discussion guidance and warning signs provided in this report should be used to evaluate each presentation against a consistent baseline.</w:t>
      </w:r>
    </w:p>
    <w:p w14:paraId="3F0162C9" w14:textId="34FE275D" w:rsidR="00EC1699" w:rsidRPr="00A61669" w:rsidRDefault="00EC1699" w:rsidP="00EC1699">
      <w:pPr>
        <w:rPr>
          <w:rFonts w:asciiTheme="majorHAnsi" w:hAnsiTheme="majorHAnsi" w:cstheme="majorHAnsi"/>
        </w:rPr>
      </w:pPr>
      <w:r w:rsidRPr="00A61669">
        <w:rPr>
          <w:rFonts w:asciiTheme="majorHAnsi" w:hAnsiTheme="majorHAnsi" w:cstheme="majorHAnsi"/>
        </w:rPr>
        <w:t>Following the hyperscaler sessions</w:t>
      </w:r>
      <w:r w:rsidR="00E87B19" w:rsidRPr="00A61669">
        <w:rPr>
          <w:rFonts w:asciiTheme="majorHAnsi" w:hAnsiTheme="majorHAnsi" w:cstheme="majorHAnsi"/>
        </w:rPr>
        <w:t>:</w:t>
      </w:r>
    </w:p>
    <w:p w14:paraId="7637DCFC" w14:textId="77777777" w:rsidR="00EC1699" w:rsidRPr="00A61669" w:rsidRDefault="00EC1699" w:rsidP="00F57DAB">
      <w:pPr>
        <w:pStyle w:val="ListParagraph"/>
        <w:numPr>
          <w:ilvl w:val="0"/>
          <w:numId w:val="48"/>
        </w:numPr>
        <w:rPr>
          <w:rFonts w:asciiTheme="majorHAnsi" w:hAnsiTheme="majorHAnsi" w:cstheme="majorHAnsi"/>
        </w:rPr>
      </w:pPr>
      <w:r w:rsidRPr="00A61669">
        <w:rPr>
          <w:rFonts w:asciiTheme="majorHAnsi" w:hAnsiTheme="majorHAnsi" w:cstheme="majorHAnsi"/>
        </w:rPr>
        <w:t>Confirm primary cloud platform decision (Rackspace recommendation: AWS, with GCP retained for analytics)</w:t>
      </w:r>
    </w:p>
    <w:p w14:paraId="5825B212" w14:textId="77777777" w:rsidR="00EC1699" w:rsidRPr="00A61669" w:rsidRDefault="00EC1699" w:rsidP="00F57DAB">
      <w:pPr>
        <w:pStyle w:val="ListParagraph"/>
        <w:numPr>
          <w:ilvl w:val="0"/>
          <w:numId w:val="48"/>
        </w:numPr>
        <w:rPr>
          <w:rFonts w:asciiTheme="majorHAnsi" w:hAnsiTheme="majorHAnsi" w:cstheme="majorHAnsi"/>
        </w:rPr>
      </w:pPr>
      <w:r w:rsidRPr="00A61669">
        <w:rPr>
          <w:rFonts w:asciiTheme="majorHAnsi" w:hAnsiTheme="majorHAnsi" w:cstheme="majorHAnsi"/>
        </w:rPr>
        <w:t>Rackspace present Statement of Work for Part 2, embracing hyperscaler funding (May)</w:t>
      </w:r>
    </w:p>
    <w:p w14:paraId="392D4690" w14:textId="77777777" w:rsidR="00EC1699" w:rsidRPr="00A61669" w:rsidRDefault="00EC1699" w:rsidP="00F57DAB">
      <w:pPr>
        <w:pStyle w:val="ListParagraph"/>
        <w:numPr>
          <w:ilvl w:val="0"/>
          <w:numId w:val="48"/>
        </w:numPr>
        <w:rPr>
          <w:rFonts w:asciiTheme="majorHAnsi" w:hAnsiTheme="majorHAnsi" w:cstheme="majorHAnsi"/>
        </w:rPr>
      </w:pPr>
      <w:r w:rsidRPr="00A61669">
        <w:rPr>
          <w:rFonts w:asciiTheme="majorHAnsi" w:hAnsiTheme="majorHAnsi" w:cstheme="majorHAnsi"/>
        </w:rPr>
        <w:t>Customer approve and sign Part 2 SoW (before end of May)</w:t>
      </w:r>
    </w:p>
    <w:p w14:paraId="18F8DCFA" w14:textId="77777777" w:rsidR="00EC1699" w:rsidRPr="00A61669" w:rsidRDefault="00EC1699" w:rsidP="00EC1699">
      <w:pPr>
        <w:rPr>
          <w:rFonts w:asciiTheme="majorHAnsi" w:hAnsiTheme="majorHAnsi" w:cstheme="majorHAnsi"/>
        </w:rPr>
      </w:pPr>
      <w:r w:rsidRPr="00A61669">
        <w:rPr>
          <w:rFonts w:asciiTheme="majorHAnsi" w:hAnsiTheme="majorHAnsi" w:cstheme="majorHAnsi"/>
        </w:rPr>
        <w:t>Part 2 kick-off (target: June)</w:t>
      </w:r>
    </w:p>
    <w:p w14:paraId="1E42346B" w14:textId="77777777" w:rsidR="00EC1699" w:rsidRPr="00A61669" w:rsidRDefault="00EC1699" w:rsidP="00F57DAB">
      <w:pPr>
        <w:pStyle w:val="ListParagraph"/>
        <w:numPr>
          <w:ilvl w:val="0"/>
          <w:numId w:val="49"/>
        </w:numPr>
        <w:rPr>
          <w:rFonts w:asciiTheme="majorHAnsi" w:hAnsiTheme="majorHAnsi" w:cstheme="majorHAnsi"/>
        </w:rPr>
      </w:pPr>
      <w:r w:rsidRPr="00A61669">
        <w:rPr>
          <w:rFonts w:asciiTheme="majorHAnsi" w:hAnsiTheme="majorHAnsi" w:cstheme="majorHAnsi"/>
        </w:rPr>
        <w:t>15-week programme: landing zone design, 7R analysis, migration planning, database modernisation assessment</w:t>
      </w:r>
    </w:p>
    <w:p w14:paraId="3447D8F1" w14:textId="77777777" w:rsidR="00EC1699" w:rsidRPr="00A61669" w:rsidRDefault="00EC1699" w:rsidP="00F57DAB">
      <w:pPr>
        <w:pStyle w:val="ListParagraph"/>
        <w:numPr>
          <w:ilvl w:val="0"/>
          <w:numId w:val="49"/>
        </w:numPr>
        <w:rPr>
          <w:rFonts w:asciiTheme="majorHAnsi" w:hAnsiTheme="majorHAnsi" w:cstheme="majorHAnsi"/>
        </w:rPr>
      </w:pPr>
      <w:r w:rsidRPr="00A61669">
        <w:rPr>
          <w:rFonts w:asciiTheme="majorHAnsi" w:hAnsiTheme="majorHAnsi" w:cstheme="majorHAnsi"/>
        </w:rPr>
        <w:t>Sydney early migration and technology trials run in parallel from week 4</w:t>
      </w:r>
    </w:p>
    <w:p w14:paraId="00000039" w14:textId="35024CC4" w:rsidR="000B0F63" w:rsidRPr="00A61669" w:rsidRDefault="1BAB210A" w:rsidP="00E40261">
      <w:pPr>
        <w:pStyle w:val="Heading2"/>
        <w:jc w:val="both"/>
        <w:rPr>
          <w:rFonts w:asciiTheme="majorHAnsi" w:hAnsiTheme="majorHAnsi" w:cstheme="majorHAnsi"/>
          <w:b/>
          <w:sz w:val="28"/>
          <w:szCs w:val="28"/>
        </w:rPr>
      </w:pPr>
      <w:bookmarkStart w:id="20" w:name="_Toc112"/>
      <w:bookmarkStart w:id="21" w:name="_Toc227770893"/>
      <w:r w:rsidRPr="00A61669">
        <w:rPr>
          <w:rFonts w:asciiTheme="majorHAnsi" w:hAnsiTheme="majorHAnsi" w:cstheme="majorHAnsi"/>
        </w:rPr>
        <w:t>Where To Find The Detail</w:t>
      </w:r>
      <w:bookmarkEnd w:id="20"/>
      <w:bookmarkEnd w:id="21"/>
    </w:p>
    <w:p w14:paraId="0000003B" w14:textId="0000003C" w:rsidR="000B0F63" w:rsidRPr="00A61669" w:rsidRDefault="00C05D22" w:rsidP="00F57DAB">
      <w:pPr>
        <w:pStyle w:val="ListBullet"/>
        <w:numPr>
          <w:ilvl w:val="0"/>
          <w:numId w:val="38"/>
        </w:numPr>
        <w:jc w:val="both"/>
        <w:rPr>
          <w:rFonts w:asciiTheme="majorHAnsi" w:hAnsiTheme="majorHAnsi" w:cstheme="majorHAnsi"/>
        </w:rPr>
      </w:pPr>
      <w:r w:rsidRPr="00A61669">
        <w:rPr>
          <w:rFonts w:asciiTheme="majorHAnsi" w:hAnsiTheme="majorHAnsi" w:cstheme="majorHAnsi"/>
        </w:rPr>
        <w:t>Section 3: the case for acting now, the Broadcom position, and the business drivers</w:t>
      </w:r>
    </w:p>
    <w:p w14:paraId="0000003D" w14:textId="0000003E" w:rsidR="000B0F63" w:rsidRPr="00A61669" w:rsidRDefault="00C05D22" w:rsidP="00F57DAB">
      <w:pPr>
        <w:pStyle w:val="ListBullet"/>
        <w:numPr>
          <w:ilvl w:val="0"/>
          <w:numId w:val="38"/>
        </w:numPr>
        <w:jc w:val="both"/>
        <w:rPr>
          <w:rFonts w:asciiTheme="majorHAnsi" w:hAnsiTheme="majorHAnsi" w:cstheme="majorHAnsi"/>
        </w:rPr>
      </w:pPr>
      <w:r w:rsidRPr="00A61669">
        <w:rPr>
          <w:rFonts w:asciiTheme="majorHAnsi" w:hAnsiTheme="majorHAnsi" w:cstheme="majorHAnsi"/>
        </w:rPr>
        <w:t>Section 4: DMG Media's estate, the 39 applications, the database landscape</w:t>
      </w:r>
    </w:p>
    <w:p w14:paraId="0000003F" w14:textId="00000040" w:rsidR="000B0F63" w:rsidRPr="00A61669" w:rsidRDefault="00C05D22" w:rsidP="00F57DAB">
      <w:pPr>
        <w:pStyle w:val="ListBullet"/>
        <w:numPr>
          <w:ilvl w:val="0"/>
          <w:numId w:val="38"/>
        </w:numPr>
        <w:jc w:val="both"/>
        <w:rPr>
          <w:rFonts w:asciiTheme="majorHAnsi" w:hAnsiTheme="majorHAnsi" w:cstheme="majorHAnsi"/>
        </w:rPr>
      </w:pPr>
      <w:r w:rsidRPr="00A61669">
        <w:rPr>
          <w:rFonts w:asciiTheme="majorHAnsi" w:hAnsiTheme="majorHAnsi" w:cstheme="majorHAnsi"/>
        </w:rPr>
        <w:t>Section 5: cost comparison, methodology, Oracle paths, Complete View</w:t>
      </w:r>
    </w:p>
    <w:p w14:paraId="00000041" w14:textId="00000042" w:rsidR="000B0F63" w:rsidRPr="00A61669" w:rsidRDefault="00C05D22" w:rsidP="00F57DAB">
      <w:pPr>
        <w:pStyle w:val="ListBullet"/>
        <w:numPr>
          <w:ilvl w:val="0"/>
          <w:numId w:val="38"/>
        </w:numPr>
        <w:jc w:val="both"/>
        <w:rPr>
          <w:rFonts w:asciiTheme="majorHAnsi" w:hAnsiTheme="majorHAnsi" w:cstheme="majorHAnsi"/>
        </w:rPr>
      </w:pPr>
      <w:r w:rsidRPr="00A61669">
        <w:rPr>
          <w:rFonts w:asciiTheme="majorHAnsi" w:hAnsiTheme="majorHAnsi" w:cstheme="majorHAnsi"/>
        </w:rPr>
        <w:t>Section 6: application fit, cohorts, technical constraints</w:t>
      </w:r>
    </w:p>
    <w:p w14:paraId="00000043" w14:textId="00000044" w:rsidR="000B0F63" w:rsidRPr="00A61669" w:rsidRDefault="00C05D22" w:rsidP="00F57DAB">
      <w:pPr>
        <w:pStyle w:val="ListBullet"/>
        <w:numPr>
          <w:ilvl w:val="0"/>
          <w:numId w:val="38"/>
        </w:numPr>
        <w:jc w:val="both"/>
        <w:rPr>
          <w:rFonts w:asciiTheme="majorHAnsi" w:hAnsiTheme="majorHAnsi" w:cstheme="majorHAnsi"/>
        </w:rPr>
      </w:pPr>
      <w:r w:rsidRPr="00A61669">
        <w:rPr>
          <w:rFonts w:asciiTheme="majorHAnsi" w:hAnsiTheme="majorHAnsi" w:cstheme="majorHAnsi"/>
        </w:rPr>
        <w:t>Section 7: the scoring matrix and the platform recommendation rationale</w:t>
      </w:r>
    </w:p>
    <w:p w14:paraId="00000045" w14:textId="00000046" w:rsidR="000B0F63" w:rsidRPr="00A61669" w:rsidRDefault="00C05D22" w:rsidP="00F57DAB">
      <w:pPr>
        <w:pStyle w:val="ListBullet"/>
        <w:numPr>
          <w:ilvl w:val="0"/>
          <w:numId w:val="38"/>
        </w:numPr>
        <w:jc w:val="both"/>
        <w:rPr>
          <w:rFonts w:asciiTheme="majorHAnsi" w:hAnsiTheme="majorHAnsi" w:cstheme="majorHAnsi"/>
        </w:rPr>
      </w:pPr>
      <w:r w:rsidRPr="00A61669">
        <w:rPr>
          <w:rFonts w:asciiTheme="majorHAnsi" w:hAnsiTheme="majorHAnsi" w:cstheme="majorHAnsi"/>
        </w:rPr>
        <w:t>Section 8: readiness across five dimensions, current state versus target</w:t>
      </w:r>
    </w:p>
    <w:p w14:paraId="00000047" w14:textId="00000048" w:rsidR="000B0F63" w:rsidRPr="00A61669" w:rsidRDefault="00C05D22" w:rsidP="00F57DAB">
      <w:pPr>
        <w:pStyle w:val="ListBullet"/>
        <w:numPr>
          <w:ilvl w:val="0"/>
          <w:numId w:val="38"/>
        </w:numPr>
        <w:jc w:val="both"/>
        <w:rPr>
          <w:rFonts w:asciiTheme="majorHAnsi" w:hAnsiTheme="majorHAnsi" w:cstheme="majorHAnsi"/>
        </w:rPr>
      </w:pPr>
      <w:r w:rsidRPr="00A61669">
        <w:rPr>
          <w:rFonts w:asciiTheme="majorHAnsi" w:hAnsiTheme="majorHAnsi" w:cstheme="majorHAnsi"/>
        </w:rPr>
        <w:t>Sections 9 and 10: specific challenges and opportunities with quantification</w:t>
      </w:r>
    </w:p>
    <w:p w14:paraId="00000049" w14:textId="4730EB71" w:rsidR="000B0F63" w:rsidRPr="00A61669" w:rsidRDefault="00C05D22" w:rsidP="00F57DAB">
      <w:pPr>
        <w:pStyle w:val="ListBullet"/>
        <w:numPr>
          <w:ilvl w:val="0"/>
          <w:numId w:val="38"/>
        </w:numPr>
        <w:jc w:val="both"/>
        <w:rPr>
          <w:rFonts w:asciiTheme="majorHAnsi" w:hAnsiTheme="majorHAnsi" w:cstheme="majorHAnsi"/>
        </w:rPr>
      </w:pPr>
      <w:r w:rsidRPr="00A61669">
        <w:rPr>
          <w:rFonts w:asciiTheme="majorHAnsi" w:hAnsiTheme="majorHAnsi" w:cstheme="majorHAnsi"/>
        </w:rPr>
        <w:t xml:space="preserve">Section 11: Moving forward, </w:t>
      </w:r>
      <w:r w:rsidR="00100959" w:rsidRPr="00A61669">
        <w:rPr>
          <w:rFonts w:asciiTheme="majorHAnsi" w:hAnsiTheme="majorHAnsi" w:cstheme="majorHAnsi"/>
        </w:rPr>
        <w:t>Part 2</w:t>
      </w:r>
      <w:r w:rsidRPr="00A61669">
        <w:rPr>
          <w:rFonts w:asciiTheme="majorHAnsi" w:hAnsiTheme="majorHAnsi" w:cstheme="majorHAnsi"/>
        </w:rPr>
        <w:t xml:space="preserve"> entry point, indicative timeline</w:t>
      </w:r>
    </w:p>
    <w:p w14:paraId="0000004B" w14:textId="0000004C" w:rsidR="000B0F63" w:rsidRPr="00A61669" w:rsidRDefault="00C05D22" w:rsidP="00F57DAB">
      <w:pPr>
        <w:pStyle w:val="ListBullet"/>
        <w:numPr>
          <w:ilvl w:val="0"/>
          <w:numId w:val="38"/>
        </w:numPr>
        <w:jc w:val="both"/>
        <w:rPr>
          <w:rFonts w:asciiTheme="majorHAnsi" w:hAnsiTheme="majorHAnsi" w:cstheme="majorHAnsi"/>
        </w:rPr>
      </w:pPr>
      <w:r w:rsidRPr="00A61669">
        <w:rPr>
          <w:rFonts w:asciiTheme="majorHAnsi" w:hAnsiTheme="majorHAnsi" w:cstheme="majorHAnsi"/>
        </w:rPr>
        <w:t>Appendices A through E: TCO methodology, scoring methodology, attached workbooks, open items, glossary</w:t>
      </w:r>
    </w:p>
    <w:p w14:paraId="0000004D" w14:textId="37BDB154" w:rsidR="000B0F63" w:rsidRPr="00A61669" w:rsidRDefault="00100959" w:rsidP="00E40261">
      <w:pPr>
        <w:jc w:val="both"/>
        <w:rPr>
          <w:rFonts w:asciiTheme="majorHAnsi" w:hAnsiTheme="majorHAnsi" w:cstheme="majorHAnsi"/>
        </w:rPr>
      </w:pPr>
      <w:r w:rsidRPr="00A61669">
        <w:rPr>
          <w:rFonts w:asciiTheme="majorHAnsi" w:hAnsiTheme="majorHAnsi" w:cstheme="majorHAnsi"/>
        </w:rPr>
        <w:t>Part 2</w:t>
      </w:r>
      <w:r w:rsidR="00C05D22" w:rsidRPr="00A61669">
        <w:rPr>
          <w:rFonts w:asciiTheme="majorHAnsi" w:hAnsiTheme="majorHAnsi" w:cstheme="majorHAnsi"/>
        </w:rPr>
        <w:t xml:space="preserve"> is a separately proposed engagement. It turns this report into a concrete migration plan and executes on the foundational actions.</w:t>
      </w:r>
    </w:p>
    <w:p w14:paraId="0000004F" w14:textId="00000050" w:rsidR="000B0F63" w:rsidRPr="00A61669" w:rsidRDefault="00C05D22" w:rsidP="00E40261">
      <w:pPr>
        <w:jc w:val="both"/>
        <w:rPr>
          <w:rFonts w:asciiTheme="majorHAnsi" w:hAnsiTheme="majorHAnsi" w:cstheme="majorHAnsi"/>
        </w:rPr>
      </w:pPr>
      <w:r w:rsidRPr="00A61669">
        <w:rPr>
          <w:rFonts w:asciiTheme="majorHAnsi" w:hAnsiTheme="majorHAnsi" w:cstheme="majorHAnsi"/>
        </w:rPr>
        <w:br w:type="page"/>
      </w:r>
    </w:p>
    <w:p w14:paraId="00000051" w14:textId="00000052" w:rsidR="000B0F63" w:rsidRPr="00A61669" w:rsidRDefault="1BAB210A" w:rsidP="00E40261">
      <w:pPr>
        <w:pStyle w:val="Heading1"/>
        <w:jc w:val="both"/>
        <w:rPr>
          <w:rFonts w:asciiTheme="majorHAnsi" w:hAnsiTheme="majorHAnsi" w:cstheme="majorHAnsi"/>
        </w:rPr>
      </w:pPr>
      <w:bookmarkStart w:id="22" w:name="_Toc113"/>
      <w:bookmarkStart w:id="23" w:name="_Toc227770894"/>
      <w:bookmarkStart w:id="24" w:name="_Toc228549354"/>
      <w:r w:rsidRPr="00A61669">
        <w:rPr>
          <w:rFonts w:asciiTheme="majorHAnsi" w:hAnsiTheme="majorHAnsi" w:cstheme="majorHAnsi"/>
        </w:rPr>
        <w:lastRenderedPageBreak/>
        <w:t>Section 2: About This Assessment</w:t>
      </w:r>
      <w:bookmarkEnd w:id="22"/>
      <w:bookmarkEnd w:id="23"/>
      <w:bookmarkEnd w:id="24"/>
    </w:p>
    <w:p w14:paraId="00000053" w14:textId="1C45FA43" w:rsidR="000B0F63" w:rsidRPr="00A61669" w:rsidRDefault="003A4CEE" w:rsidP="00E40261">
      <w:pPr>
        <w:pStyle w:val="Heading2"/>
        <w:jc w:val="both"/>
        <w:rPr>
          <w:rFonts w:asciiTheme="majorHAnsi" w:hAnsiTheme="majorHAnsi" w:cstheme="majorHAnsi"/>
        </w:rPr>
      </w:pPr>
      <w:r w:rsidRPr="00A61669">
        <w:rPr>
          <w:rFonts w:asciiTheme="majorHAnsi" w:hAnsiTheme="majorHAnsi" w:cstheme="majorHAnsi"/>
        </w:rPr>
        <w:t>Background</w:t>
      </w:r>
    </w:p>
    <w:p w14:paraId="00000055" w14:textId="278A8305"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DMG Media operates some of the UK's largest news and publishing brands, with </w:t>
      </w:r>
      <w:r w:rsidR="0088745F" w:rsidRPr="00A61669">
        <w:rPr>
          <w:rFonts w:asciiTheme="majorHAnsi" w:hAnsiTheme="majorHAnsi" w:cstheme="majorHAnsi"/>
        </w:rPr>
        <w:t>Mail Online</w:t>
      </w:r>
      <w:r w:rsidRPr="00A61669">
        <w:rPr>
          <w:rFonts w:asciiTheme="majorHAnsi" w:hAnsiTheme="majorHAnsi" w:cstheme="majorHAnsi"/>
        </w:rPr>
        <w:t xml:space="preserve"> as the commercial centrepiece. </w:t>
      </w:r>
      <w:r w:rsidR="007415CD" w:rsidRPr="00A61669">
        <w:rPr>
          <w:rFonts w:asciiTheme="majorHAnsi" w:hAnsiTheme="majorHAnsi" w:cstheme="majorHAnsi"/>
        </w:rPr>
        <w:t>DMG Media</w:t>
      </w:r>
      <w:r w:rsidRPr="00A61669">
        <w:rPr>
          <w:rFonts w:asciiTheme="majorHAnsi" w:hAnsiTheme="majorHAnsi" w:cstheme="majorHAnsi"/>
        </w:rPr>
        <w:t xml:space="preserve"> commissioned this engagement in February 2026 because three things are converging: the hardware in </w:t>
      </w:r>
      <w:r w:rsidR="007415CD" w:rsidRPr="00A61669">
        <w:rPr>
          <w:rFonts w:asciiTheme="majorHAnsi" w:hAnsiTheme="majorHAnsi" w:cstheme="majorHAnsi"/>
        </w:rPr>
        <w:t>DMG Media’s</w:t>
      </w:r>
      <w:r w:rsidRPr="00A61669">
        <w:rPr>
          <w:rFonts w:asciiTheme="majorHAnsi" w:hAnsiTheme="majorHAnsi" w:cstheme="majorHAnsi"/>
        </w:rPr>
        <w:t xml:space="preserve"> datacentres is ageing out, </w:t>
      </w:r>
      <w:r w:rsidR="007415CD" w:rsidRPr="00A61669">
        <w:rPr>
          <w:rFonts w:asciiTheme="majorHAnsi" w:hAnsiTheme="majorHAnsi" w:cstheme="majorHAnsi"/>
        </w:rPr>
        <w:t>DMG Media’s</w:t>
      </w:r>
      <w:r w:rsidRPr="00A61669">
        <w:rPr>
          <w:rFonts w:asciiTheme="majorHAnsi" w:hAnsiTheme="majorHAnsi" w:cstheme="majorHAnsi"/>
        </w:rPr>
        <w:t xml:space="preserve"> Broadcom/VMware support position has changed materially, and </w:t>
      </w:r>
      <w:r w:rsidR="007415CD" w:rsidRPr="00A61669">
        <w:rPr>
          <w:rFonts w:asciiTheme="majorHAnsi" w:hAnsiTheme="majorHAnsi" w:cstheme="majorHAnsi"/>
        </w:rPr>
        <w:t>DMG Media</w:t>
      </w:r>
      <w:r w:rsidRPr="00A61669">
        <w:rPr>
          <w:rFonts w:asciiTheme="majorHAnsi" w:hAnsiTheme="majorHAnsi" w:cstheme="majorHAnsi"/>
        </w:rPr>
        <w:t xml:space="preserve"> have a clear business ambition to reach one million </w:t>
      </w:r>
      <w:r w:rsidR="0088745F" w:rsidRPr="00A61669">
        <w:rPr>
          <w:rFonts w:asciiTheme="majorHAnsi" w:hAnsiTheme="majorHAnsi" w:cstheme="majorHAnsi"/>
        </w:rPr>
        <w:t>Mail Online</w:t>
      </w:r>
      <w:r w:rsidRPr="00A61669">
        <w:rPr>
          <w:rFonts w:asciiTheme="majorHAnsi" w:hAnsiTheme="majorHAnsi" w:cstheme="majorHAnsi"/>
        </w:rPr>
        <w:t xml:space="preserve"> subscribers. </w:t>
      </w:r>
      <w:r w:rsidR="007415CD" w:rsidRPr="00A61669">
        <w:rPr>
          <w:rFonts w:asciiTheme="majorHAnsi" w:hAnsiTheme="majorHAnsi" w:cstheme="majorHAnsi"/>
        </w:rPr>
        <w:t>DMG Media</w:t>
      </w:r>
      <w:r w:rsidRPr="00A61669">
        <w:rPr>
          <w:rFonts w:asciiTheme="majorHAnsi" w:hAnsiTheme="majorHAnsi" w:cstheme="majorHAnsi"/>
        </w:rPr>
        <w:t xml:space="preserve"> needed an independent view of whether public cloud is the right foundation for the next decade and, if so, which platform.</w:t>
      </w:r>
    </w:p>
    <w:p w14:paraId="00000057" w14:textId="426034FD" w:rsidR="000B0F63" w:rsidRPr="00A61669" w:rsidRDefault="1BAB210A" w:rsidP="00E40261">
      <w:pPr>
        <w:pStyle w:val="Heading2"/>
        <w:jc w:val="both"/>
        <w:rPr>
          <w:rFonts w:asciiTheme="majorHAnsi" w:hAnsiTheme="majorHAnsi" w:cstheme="majorHAnsi"/>
        </w:rPr>
      </w:pPr>
      <w:bookmarkStart w:id="25" w:name="_Toc115"/>
      <w:bookmarkStart w:id="26" w:name="_Toc227770896"/>
      <w:r w:rsidRPr="00A61669">
        <w:rPr>
          <w:rFonts w:asciiTheme="majorHAnsi" w:hAnsiTheme="majorHAnsi" w:cstheme="majorHAnsi"/>
        </w:rPr>
        <w:t xml:space="preserve">What </w:t>
      </w:r>
      <w:r w:rsidR="007415CD" w:rsidRPr="00A61669">
        <w:rPr>
          <w:rFonts w:asciiTheme="majorHAnsi" w:hAnsiTheme="majorHAnsi" w:cstheme="majorHAnsi"/>
        </w:rPr>
        <w:t>DMG Media</w:t>
      </w:r>
      <w:r w:rsidRPr="00A61669">
        <w:rPr>
          <w:rFonts w:asciiTheme="majorHAnsi" w:hAnsiTheme="majorHAnsi" w:cstheme="majorHAnsi"/>
        </w:rPr>
        <w:t xml:space="preserve"> Asked Rackspace To Do</w:t>
      </w:r>
      <w:bookmarkEnd w:id="25"/>
      <w:bookmarkEnd w:id="26"/>
    </w:p>
    <w:p w14:paraId="00000059" w14:textId="3BB9079D"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The scope of </w:t>
      </w:r>
      <w:r w:rsidR="00100959" w:rsidRPr="00A61669">
        <w:rPr>
          <w:rFonts w:asciiTheme="majorHAnsi" w:hAnsiTheme="majorHAnsi" w:cstheme="majorHAnsi"/>
        </w:rPr>
        <w:t>Part 1</w:t>
      </w:r>
      <w:r w:rsidRPr="00A61669">
        <w:rPr>
          <w:rFonts w:asciiTheme="majorHAnsi" w:hAnsiTheme="majorHAnsi" w:cstheme="majorHAnsi"/>
        </w:rPr>
        <w:t xml:space="preserve"> was to produce:</w:t>
      </w:r>
    </w:p>
    <w:p w14:paraId="0000005B" w14:textId="0000005C" w:rsidR="000B0F63" w:rsidRPr="00A61669" w:rsidRDefault="00C05D22" w:rsidP="00F57DAB">
      <w:pPr>
        <w:pStyle w:val="ListBullet"/>
        <w:numPr>
          <w:ilvl w:val="0"/>
          <w:numId w:val="34"/>
        </w:numPr>
        <w:jc w:val="both"/>
        <w:rPr>
          <w:rFonts w:asciiTheme="majorHAnsi" w:hAnsiTheme="majorHAnsi" w:cstheme="majorHAnsi"/>
        </w:rPr>
      </w:pPr>
      <w:r w:rsidRPr="00A61669">
        <w:rPr>
          <w:rFonts w:asciiTheme="majorHAnsi" w:hAnsiTheme="majorHAnsi" w:cstheme="majorHAnsi"/>
        </w:rPr>
        <w:t>An independent infrastructure discovery of DMG Media's UK estate, plus the Sydney satellite datacentre</w:t>
      </w:r>
    </w:p>
    <w:p w14:paraId="0000005D" w14:textId="38DA6276" w:rsidR="000B0F63" w:rsidRPr="00A61669" w:rsidRDefault="00C05D22" w:rsidP="00F57DAB">
      <w:pPr>
        <w:pStyle w:val="ListBullet"/>
        <w:numPr>
          <w:ilvl w:val="0"/>
          <w:numId w:val="34"/>
        </w:numPr>
        <w:jc w:val="both"/>
        <w:rPr>
          <w:rFonts w:asciiTheme="majorHAnsi" w:hAnsiTheme="majorHAnsi" w:cstheme="majorHAnsi"/>
        </w:rPr>
      </w:pPr>
      <w:r w:rsidRPr="00A61669">
        <w:rPr>
          <w:rFonts w:asciiTheme="majorHAnsi" w:hAnsiTheme="majorHAnsi" w:cstheme="majorHAnsi"/>
        </w:rPr>
        <w:t xml:space="preserve">A </w:t>
      </w:r>
      <w:r w:rsidR="000117B4" w:rsidRPr="00A61669">
        <w:rPr>
          <w:rFonts w:asciiTheme="majorHAnsi" w:hAnsiTheme="majorHAnsi" w:cstheme="majorHAnsi"/>
        </w:rPr>
        <w:t>like-for-like</w:t>
      </w:r>
      <w:r w:rsidRPr="00A61669">
        <w:rPr>
          <w:rFonts w:asciiTheme="majorHAnsi" w:hAnsiTheme="majorHAnsi" w:cstheme="majorHAnsi"/>
        </w:rPr>
        <w:t xml:space="preserve"> cost comparison across AWS, Azure, and GCP</w:t>
      </w:r>
    </w:p>
    <w:p w14:paraId="0000005F" w14:textId="7E5346E2" w:rsidR="000B0F63" w:rsidRPr="00A61669" w:rsidRDefault="00511112" w:rsidP="00F57DAB">
      <w:pPr>
        <w:pStyle w:val="ListBullet"/>
        <w:numPr>
          <w:ilvl w:val="0"/>
          <w:numId w:val="34"/>
        </w:numPr>
        <w:jc w:val="both"/>
        <w:rPr>
          <w:rFonts w:asciiTheme="majorHAnsi" w:hAnsiTheme="majorHAnsi" w:cstheme="majorHAnsi"/>
        </w:rPr>
      </w:pPr>
      <w:r w:rsidRPr="00A61669">
        <w:rPr>
          <w:rFonts w:asciiTheme="majorHAnsi" w:hAnsiTheme="majorHAnsi" w:cstheme="majorHAnsi"/>
        </w:rPr>
        <w:t>Application</w:t>
      </w:r>
      <w:r w:rsidR="00C05D22" w:rsidRPr="00A61669">
        <w:rPr>
          <w:rFonts w:asciiTheme="majorHAnsi" w:hAnsiTheme="majorHAnsi" w:cstheme="majorHAnsi"/>
        </w:rPr>
        <w:t xml:space="preserve"> profiling pass across DMG Media's major business applications</w:t>
      </w:r>
    </w:p>
    <w:p w14:paraId="00000061" w14:textId="00000062" w:rsidR="000B0F63" w:rsidRPr="00A61669" w:rsidRDefault="00C05D22" w:rsidP="00F57DAB">
      <w:pPr>
        <w:pStyle w:val="ListBullet"/>
        <w:numPr>
          <w:ilvl w:val="0"/>
          <w:numId w:val="34"/>
        </w:numPr>
        <w:jc w:val="both"/>
        <w:rPr>
          <w:rFonts w:asciiTheme="majorHAnsi" w:hAnsiTheme="majorHAnsi" w:cstheme="majorHAnsi"/>
        </w:rPr>
      </w:pPr>
      <w:r w:rsidRPr="00A61669">
        <w:rPr>
          <w:rFonts w:asciiTheme="majorHAnsi" w:hAnsiTheme="majorHAnsi" w:cstheme="majorHAnsi"/>
        </w:rPr>
        <w:t>A readiness assessment of the organisation against cloud adoption</w:t>
      </w:r>
    </w:p>
    <w:p w14:paraId="00000063" w14:textId="197553A5" w:rsidR="000B0F63" w:rsidRPr="00A61669" w:rsidRDefault="00C05D22" w:rsidP="00F57DAB">
      <w:pPr>
        <w:pStyle w:val="ListBullet"/>
        <w:numPr>
          <w:ilvl w:val="0"/>
          <w:numId w:val="34"/>
        </w:numPr>
        <w:jc w:val="both"/>
        <w:rPr>
          <w:rFonts w:asciiTheme="majorHAnsi" w:hAnsiTheme="majorHAnsi" w:cstheme="majorHAnsi"/>
        </w:rPr>
      </w:pPr>
      <w:r w:rsidRPr="00A61669">
        <w:rPr>
          <w:rFonts w:asciiTheme="majorHAnsi" w:hAnsiTheme="majorHAnsi" w:cstheme="majorHAnsi"/>
        </w:rPr>
        <w:t xml:space="preserve">A platform recommendation and the entry point for </w:t>
      </w:r>
      <w:r w:rsidR="00100959" w:rsidRPr="00A61669">
        <w:rPr>
          <w:rFonts w:asciiTheme="majorHAnsi" w:hAnsiTheme="majorHAnsi" w:cstheme="majorHAnsi"/>
        </w:rPr>
        <w:t>Part 2</w:t>
      </w:r>
    </w:p>
    <w:p w14:paraId="00000065" w14:textId="1236E328" w:rsidR="000B0F63" w:rsidRPr="00A61669" w:rsidRDefault="00100959" w:rsidP="00E40261">
      <w:pPr>
        <w:jc w:val="both"/>
        <w:rPr>
          <w:rFonts w:asciiTheme="majorHAnsi" w:hAnsiTheme="majorHAnsi" w:cstheme="majorHAnsi"/>
        </w:rPr>
      </w:pPr>
      <w:r w:rsidRPr="00A61669">
        <w:rPr>
          <w:rFonts w:asciiTheme="majorHAnsi" w:hAnsiTheme="majorHAnsi" w:cstheme="majorHAnsi"/>
        </w:rPr>
        <w:t>Part 1</w:t>
      </w:r>
      <w:r w:rsidR="00C05D22" w:rsidRPr="00A61669">
        <w:rPr>
          <w:rFonts w:asciiTheme="majorHAnsi" w:hAnsiTheme="majorHAnsi" w:cstheme="majorHAnsi"/>
        </w:rPr>
        <w:t xml:space="preserve"> did not include: landing zone design, migration execution, per-application 7R classification across the full estate, or licensing procurement. Those are </w:t>
      </w:r>
      <w:r w:rsidRPr="00A61669">
        <w:rPr>
          <w:rFonts w:asciiTheme="majorHAnsi" w:hAnsiTheme="majorHAnsi" w:cstheme="majorHAnsi"/>
        </w:rPr>
        <w:t>Part 2</w:t>
      </w:r>
      <w:r w:rsidR="00C05D22" w:rsidRPr="00A61669">
        <w:rPr>
          <w:rFonts w:asciiTheme="majorHAnsi" w:hAnsiTheme="majorHAnsi" w:cstheme="majorHAnsi"/>
        </w:rPr>
        <w:t xml:space="preserve"> activities and are defined in Section 11.</w:t>
      </w:r>
    </w:p>
    <w:p w14:paraId="00000067" w14:textId="4384A342" w:rsidR="000B0F63" w:rsidRPr="00A61669" w:rsidRDefault="1BAB210A" w:rsidP="00E40261">
      <w:pPr>
        <w:pStyle w:val="Heading2"/>
        <w:jc w:val="both"/>
        <w:rPr>
          <w:rFonts w:asciiTheme="majorHAnsi" w:hAnsiTheme="majorHAnsi" w:cstheme="majorHAnsi"/>
        </w:rPr>
      </w:pPr>
      <w:bookmarkStart w:id="27" w:name="_Toc116"/>
      <w:bookmarkStart w:id="28" w:name="_Toc227770897"/>
      <w:r w:rsidRPr="00A61669">
        <w:rPr>
          <w:rFonts w:asciiTheme="majorHAnsi" w:hAnsiTheme="majorHAnsi" w:cstheme="majorHAnsi"/>
        </w:rPr>
        <w:t xml:space="preserve">How </w:t>
      </w:r>
      <w:r w:rsidR="00E436A1" w:rsidRPr="00A61669">
        <w:rPr>
          <w:rFonts w:asciiTheme="majorHAnsi" w:hAnsiTheme="majorHAnsi" w:cstheme="majorHAnsi"/>
        </w:rPr>
        <w:t>Rackspace</w:t>
      </w:r>
      <w:r w:rsidRPr="00A61669">
        <w:rPr>
          <w:rFonts w:asciiTheme="majorHAnsi" w:hAnsiTheme="majorHAnsi" w:cstheme="majorHAnsi"/>
        </w:rPr>
        <w:t xml:space="preserve"> Did It</w:t>
      </w:r>
      <w:bookmarkEnd w:id="27"/>
      <w:bookmarkEnd w:id="28"/>
    </w:p>
    <w:p w14:paraId="5B62B29A" w14:textId="77777777" w:rsidR="007E17E6" w:rsidRPr="00A61669" w:rsidRDefault="00C05D22" w:rsidP="00E40261">
      <w:pPr>
        <w:jc w:val="both"/>
        <w:rPr>
          <w:rFonts w:asciiTheme="majorHAnsi" w:hAnsiTheme="majorHAnsi" w:cstheme="majorHAnsi"/>
        </w:rPr>
      </w:pPr>
      <w:r w:rsidRPr="00A61669">
        <w:rPr>
          <w:rFonts w:asciiTheme="majorHAnsi" w:hAnsiTheme="majorHAnsi" w:cstheme="majorHAnsi"/>
        </w:rPr>
        <w:t xml:space="preserve">The work ran over eleven weeks between February and April 2026. </w:t>
      </w:r>
      <w:r w:rsidR="007E17E6" w:rsidRPr="00A61669">
        <w:rPr>
          <w:rFonts w:asciiTheme="majorHAnsi" w:hAnsiTheme="majorHAnsi" w:cstheme="majorHAnsi"/>
        </w:rPr>
        <w:t>The team comprised a lead consultant, a dedicated architect for each of the three clouds (AWS, Azure, and GCP), supporting cloud engineer, a migration consultant and a senior engagement manager.</w:t>
      </w:r>
    </w:p>
    <w:p w14:paraId="00000069" w14:textId="5C343F06" w:rsidR="000B0F63" w:rsidRPr="00A61669" w:rsidRDefault="00C05D22" w:rsidP="00E40261">
      <w:pPr>
        <w:jc w:val="both"/>
        <w:rPr>
          <w:rFonts w:asciiTheme="majorHAnsi" w:hAnsiTheme="majorHAnsi" w:cstheme="majorHAnsi"/>
        </w:rPr>
      </w:pPr>
      <w:r w:rsidRPr="00A61669">
        <w:rPr>
          <w:rFonts w:asciiTheme="majorHAnsi" w:hAnsiTheme="majorHAnsi" w:cstheme="majorHAnsi"/>
        </w:rPr>
        <w:t>The work fell into six phases:</w:t>
      </w:r>
    </w:p>
    <w:p w14:paraId="0000006B" w14:textId="0000006C" w:rsidR="000B0F63" w:rsidRPr="00A61669" w:rsidRDefault="00C05D22" w:rsidP="00EC2FA3">
      <w:pPr>
        <w:pStyle w:val="ListBullet"/>
        <w:numPr>
          <w:ilvl w:val="0"/>
          <w:numId w:val="3"/>
        </w:numPr>
        <w:jc w:val="both"/>
        <w:rPr>
          <w:rFonts w:asciiTheme="majorHAnsi" w:hAnsiTheme="majorHAnsi" w:cstheme="majorHAnsi"/>
        </w:rPr>
      </w:pPr>
      <w:r w:rsidRPr="00A61669">
        <w:rPr>
          <w:rFonts w:asciiTheme="majorHAnsi" w:hAnsiTheme="majorHAnsi" w:cstheme="majorHAnsi"/>
        </w:rPr>
        <w:t>Mobilisation and kick off: stakeholder mapping, access provisioning, workshop scheduling</w:t>
      </w:r>
    </w:p>
    <w:p w14:paraId="0000006D" w14:textId="0000006E" w:rsidR="000B0F63" w:rsidRPr="00A61669" w:rsidRDefault="00C05D22" w:rsidP="00EC2FA3">
      <w:pPr>
        <w:pStyle w:val="ListBullet"/>
        <w:numPr>
          <w:ilvl w:val="0"/>
          <w:numId w:val="3"/>
        </w:numPr>
        <w:jc w:val="both"/>
        <w:rPr>
          <w:rFonts w:asciiTheme="majorHAnsi" w:hAnsiTheme="majorHAnsi" w:cstheme="majorHAnsi"/>
        </w:rPr>
      </w:pPr>
      <w:r w:rsidRPr="00A61669">
        <w:rPr>
          <w:rFonts w:asciiTheme="majorHAnsi" w:hAnsiTheme="majorHAnsi" w:cstheme="majorHAnsi"/>
        </w:rPr>
        <w:t>Strategy assessment: foundational workshops, business driver capture, hyperscaler selection criteria</w:t>
      </w:r>
    </w:p>
    <w:p w14:paraId="0000006F" w14:textId="69C1A311" w:rsidR="000B0F63" w:rsidRPr="00A61669" w:rsidRDefault="00C05D22" w:rsidP="00EC2FA3">
      <w:pPr>
        <w:pStyle w:val="ListBullet"/>
        <w:numPr>
          <w:ilvl w:val="0"/>
          <w:numId w:val="3"/>
        </w:numPr>
        <w:jc w:val="both"/>
        <w:rPr>
          <w:rFonts w:asciiTheme="majorHAnsi" w:hAnsiTheme="majorHAnsi" w:cstheme="majorHAnsi"/>
        </w:rPr>
      </w:pPr>
      <w:r w:rsidRPr="00A61669">
        <w:rPr>
          <w:rFonts w:asciiTheme="majorHAnsi" w:hAnsiTheme="majorHAnsi" w:cstheme="majorHAnsi"/>
        </w:rPr>
        <w:t xml:space="preserve">Automated infrastructure discovery: deployment of Google Cloud Migration Center across the estate, </w:t>
      </w:r>
      <w:r w:rsidR="001003C2" w:rsidRPr="00A61669">
        <w:rPr>
          <w:rFonts w:asciiTheme="majorHAnsi" w:hAnsiTheme="majorHAnsi" w:cstheme="majorHAnsi"/>
          <w:lang w:val="en-GB"/>
        </w:rPr>
        <w:t xml:space="preserve">Oracle database assessment via Oracle's DMA tool (A-cluster assessed; B-cluster production data was not available during </w:t>
      </w:r>
      <w:r w:rsidR="00100959" w:rsidRPr="00A61669">
        <w:rPr>
          <w:rFonts w:asciiTheme="majorHAnsi" w:hAnsiTheme="majorHAnsi" w:cstheme="majorHAnsi"/>
          <w:lang w:val="en-GB"/>
        </w:rPr>
        <w:t>Part 1</w:t>
      </w:r>
      <w:r w:rsidR="001003C2" w:rsidRPr="00A61669">
        <w:rPr>
          <w:rFonts w:asciiTheme="majorHAnsi" w:hAnsiTheme="majorHAnsi" w:cstheme="majorHAnsi"/>
          <w:lang w:val="en-GB"/>
        </w:rPr>
        <w:t xml:space="preserve"> and is flagged as the priority discovery item for </w:t>
      </w:r>
      <w:r w:rsidR="00100959" w:rsidRPr="00A61669">
        <w:rPr>
          <w:rFonts w:asciiTheme="majorHAnsi" w:hAnsiTheme="majorHAnsi" w:cstheme="majorHAnsi"/>
          <w:lang w:val="en-GB"/>
        </w:rPr>
        <w:t>Part 2</w:t>
      </w:r>
      <w:r w:rsidR="001003C2" w:rsidRPr="00A61669">
        <w:rPr>
          <w:rFonts w:asciiTheme="majorHAnsi" w:hAnsiTheme="majorHAnsi" w:cstheme="majorHAnsi"/>
          <w:lang w:val="en-GB"/>
        </w:rPr>
        <w:t>)</w:t>
      </w:r>
      <w:r w:rsidRPr="00A61669">
        <w:rPr>
          <w:rFonts w:asciiTheme="majorHAnsi" w:hAnsiTheme="majorHAnsi" w:cstheme="majorHAnsi"/>
        </w:rPr>
        <w:t>, SQL Server assessment via a separate tooling pass, network dependency capture, application-to-infrastructure mapping</w:t>
      </w:r>
    </w:p>
    <w:p w14:paraId="00000071" w14:textId="20A51077" w:rsidR="000B0F63" w:rsidRPr="00A61669" w:rsidRDefault="00C05D22" w:rsidP="00EC2FA3">
      <w:pPr>
        <w:pStyle w:val="ListBullet"/>
        <w:numPr>
          <w:ilvl w:val="0"/>
          <w:numId w:val="3"/>
        </w:numPr>
        <w:jc w:val="both"/>
        <w:rPr>
          <w:rFonts w:asciiTheme="majorHAnsi" w:hAnsiTheme="majorHAnsi" w:cstheme="majorHAnsi"/>
        </w:rPr>
      </w:pPr>
      <w:r w:rsidRPr="00A61669">
        <w:rPr>
          <w:rFonts w:asciiTheme="majorHAnsi" w:hAnsiTheme="majorHAnsi" w:cstheme="majorHAnsi"/>
        </w:rPr>
        <w:lastRenderedPageBreak/>
        <w:t xml:space="preserve">TCO analysis: independent pricing of every in-scope server against live cloud pricing APIs, to normalise the comparison across providers and produce as close to an </w:t>
      </w:r>
      <w:r w:rsidR="002A1FAF" w:rsidRPr="00A61669">
        <w:rPr>
          <w:rFonts w:asciiTheme="majorHAnsi" w:hAnsiTheme="majorHAnsi" w:cstheme="majorHAnsi"/>
        </w:rPr>
        <w:t>like-to-like</w:t>
      </w:r>
      <w:r w:rsidRPr="00A61669">
        <w:rPr>
          <w:rFonts w:asciiTheme="majorHAnsi" w:hAnsiTheme="majorHAnsi" w:cstheme="majorHAnsi"/>
        </w:rPr>
        <w:t xml:space="preserve"> view as possible; optimisation scenarios; Oracle path modelling</w:t>
      </w:r>
    </w:p>
    <w:p w14:paraId="00000073" w14:textId="00000074" w:rsidR="000B0F63" w:rsidRPr="00A61669" w:rsidRDefault="00C05D22" w:rsidP="00EC2FA3">
      <w:pPr>
        <w:pStyle w:val="ListBullet"/>
        <w:numPr>
          <w:ilvl w:val="0"/>
          <w:numId w:val="3"/>
        </w:numPr>
        <w:jc w:val="both"/>
        <w:rPr>
          <w:rFonts w:asciiTheme="majorHAnsi" w:hAnsiTheme="majorHAnsi" w:cstheme="majorHAnsi"/>
        </w:rPr>
      </w:pPr>
      <w:r w:rsidRPr="00A61669">
        <w:rPr>
          <w:rFonts w:asciiTheme="majorHAnsi" w:hAnsiTheme="majorHAnsi" w:cstheme="majorHAnsi"/>
        </w:rPr>
        <w:t>Cloud service provider selection: DMG Media set the weightings. Rackspace scored the providers in two passes: an unbiased first pass against market baselines, then a refinement against DMG Media's specific estate to confirm each cloud's benefits are usable in practice, not just on paper.</w:t>
      </w:r>
    </w:p>
    <w:p w14:paraId="00000075" w14:textId="00000076" w:rsidR="000B0F63" w:rsidRPr="00A61669" w:rsidRDefault="00C05D22" w:rsidP="00EC2FA3">
      <w:pPr>
        <w:pStyle w:val="ListBullet"/>
        <w:numPr>
          <w:ilvl w:val="0"/>
          <w:numId w:val="3"/>
        </w:numPr>
        <w:jc w:val="both"/>
        <w:rPr>
          <w:rFonts w:asciiTheme="majorHAnsi" w:hAnsiTheme="majorHAnsi" w:cstheme="majorHAnsi"/>
        </w:rPr>
      </w:pPr>
      <w:r w:rsidRPr="00A61669">
        <w:rPr>
          <w:rFonts w:asciiTheme="majorHAnsi" w:hAnsiTheme="majorHAnsi" w:cstheme="majorHAnsi"/>
        </w:rPr>
        <w:t>Strategy report and this playback</w:t>
      </w:r>
    </w:p>
    <w:p w14:paraId="00000077" w14:textId="00000078" w:rsidR="000B0F63" w:rsidRPr="00A61669" w:rsidRDefault="00C05D22" w:rsidP="00E40261">
      <w:pPr>
        <w:jc w:val="both"/>
        <w:rPr>
          <w:rFonts w:asciiTheme="majorHAnsi" w:hAnsiTheme="majorHAnsi" w:cstheme="majorHAnsi"/>
        </w:rPr>
      </w:pPr>
      <w:r w:rsidRPr="00A61669">
        <w:rPr>
          <w:rFonts w:asciiTheme="majorHAnsi" w:hAnsiTheme="majorHAnsi" w:cstheme="majorHAnsi"/>
        </w:rPr>
        <w:t>Data was collected between 19 February and 27 March 2026. Nine application workshops were completed with business area owners. The data freeze was 27 March. Anything that changed after that date is flagged inline.</w:t>
      </w:r>
    </w:p>
    <w:p w14:paraId="0B5CBD92" w14:textId="134DE3B4" w:rsidR="00340F1F" w:rsidRPr="00A61669" w:rsidRDefault="00340F1F" w:rsidP="00E40261">
      <w:pPr>
        <w:jc w:val="both"/>
        <w:rPr>
          <w:rFonts w:asciiTheme="majorHAnsi" w:hAnsiTheme="majorHAnsi" w:cstheme="majorHAnsi"/>
        </w:rPr>
      </w:pPr>
      <w:r w:rsidRPr="00A61669">
        <w:rPr>
          <w:rFonts w:asciiTheme="majorHAnsi" w:hAnsiTheme="majorHAnsi" w:cstheme="majorHAnsi"/>
        </w:rPr>
        <w:t>The methodology is detailed in Appendix A for the technical panel.</w:t>
      </w:r>
    </w:p>
    <w:p w14:paraId="00000079" w14:textId="0000007A" w:rsidR="000B0F63" w:rsidRPr="00A61669" w:rsidRDefault="1BAB210A" w:rsidP="00E40261">
      <w:pPr>
        <w:pStyle w:val="Heading2"/>
        <w:jc w:val="both"/>
        <w:rPr>
          <w:rFonts w:asciiTheme="majorHAnsi" w:hAnsiTheme="majorHAnsi" w:cstheme="majorHAnsi"/>
        </w:rPr>
      </w:pPr>
      <w:bookmarkStart w:id="29" w:name="_Toc117"/>
      <w:bookmarkStart w:id="30" w:name="_Toc227770898"/>
      <w:r w:rsidRPr="00A61669">
        <w:rPr>
          <w:rFonts w:asciiTheme="majorHAnsi" w:hAnsiTheme="majorHAnsi" w:cstheme="majorHAnsi"/>
        </w:rPr>
        <w:t>What The Outcome Is</w:t>
      </w:r>
      <w:bookmarkEnd w:id="29"/>
      <w:bookmarkEnd w:id="30"/>
    </w:p>
    <w:p w14:paraId="0000007B" w14:textId="0000007C" w:rsidR="000B0F63" w:rsidRPr="00A61669" w:rsidRDefault="00C05D22" w:rsidP="00E40261">
      <w:pPr>
        <w:jc w:val="both"/>
        <w:rPr>
          <w:rFonts w:asciiTheme="majorHAnsi" w:hAnsiTheme="majorHAnsi" w:cstheme="majorHAnsi"/>
        </w:rPr>
      </w:pPr>
      <w:r w:rsidRPr="00A61669">
        <w:rPr>
          <w:rFonts w:asciiTheme="majorHAnsi" w:hAnsiTheme="majorHAnsi" w:cstheme="majorHAnsi"/>
        </w:rPr>
        <w:t>This report presents:</w:t>
      </w:r>
    </w:p>
    <w:p w14:paraId="0000007D" w14:textId="1384DD43" w:rsidR="000B0F63" w:rsidRPr="00A61669" w:rsidRDefault="00C05D22" w:rsidP="00EC2FA3">
      <w:pPr>
        <w:pStyle w:val="ListBullet"/>
        <w:numPr>
          <w:ilvl w:val="0"/>
          <w:numId w:val="4"/>
        </w:numPr>
        <w:jc w:val="both"/>
        <w:rPr>
          <w:rFonts w:asciiTheme="majorHAnsi" w:hAnsiTheme="majorHAnsi" w:cstheme="majorHAnsi"/>
        </w:rPr>
      </w:pPr>
      <w:r w:rsidRPr="00A61669">
        <w:rPr>
          <w:rFonts w:asciiTheme="majorHAnsi" w:hAnsiTheme="majorHAnsi" w:cstheme="majorHAnsi"/>
        </w:rPr>
        <w:t xml:space="preserve">A </w:t>
      </w:r>
      <w:r w:rsidR="002A1FAF" w:rsidRPr="00A61669">
        <w:rPr>
          <w:rFonts w:asciiTheme="majorHAnsi" w:hAnsiTheme="majorHAnsi" w:cstheme="majorHAnsi"/>
        </w:rPr>
        <w:t>like-to-like</w:t>
      </w:r>
      <w:r w:rsidRPr="00A61669">
        <w:rPr>
          <w:rFonts w:asciiTheme="majorHAnsi" w:hAnsiTheme="majorHAnsi" w:cstheme="majorHAnsi"/>
        </w:rPr>
        <w:t xml:space="preserve"> cost comparison for 3,038 servers across three clouds, with an optimised view that factors in licensing and </w:t>
      </w:r>
      <w:r w:rsidR="008F50E5" w:rsidRPr="00A61669">
        <w:rPr>
          <w:rFonts w:asciiTheme="majorHAnsi" w:hAnsiTheme="majorHAnsi" w:cstheme="majorHAnsi"/>
        </w:rPr>
        <w:t>Database</w:t>
      </w:r>
      <w:r w:rsidRPr="00A61669">
        <w:rPr>
          <w:rFonts w:asciiTheme="majorHAnsi" w:hAnsiTheme="majorHAnsi" w:cstheme="majorHAnsi"/>
        </w:rPr>
        <w:t xml:space="preserve"> migration options</w:t>
      </w:r>
      <w:r w:rsidR="008F50E5" w:rsidRPr="00A61669">
        <w:rPr>
          <w:rFonts w:asciiTheme="majorHAnsi" w:hAnsiTheme="majorHAnsi" w:cstheme="majorHAnsi"/>
        </w:rPr>
        <w:t>.</w:t>
      </w:r>
    </w:p>
    <w:p w14:paraId="0000007F" w14:textId="3D4706F8" w:rsidR="000B0F63" w:rsidRPr="00A61669" w:rsidRDefault="00C05D22" w:rsidP="00EC2FA3">
      <w:pPr>
        <w:pStyle w:val="ListBullet"/>
        <w:numPr>
          <w:ilvl w:val="0"/>
          <w:numId w:val="4"/>
        </w:numPr>
        <w:jc w:val="both"/>
        <w:rPr>
          <w:rFonts w:asciiTheme="majorHAnsi" w:hAnsiTheme="majorHAnsi" w:cstheme="majorHAnsi"/>
        </w:rPr>
      </w:pPr>
      <w:r w:rsidRPr="00A61669">
        <w:rPr>
          <w:rFonts w:asciiTheme="majorHAnsi" w:hAnsiTheme="majorHAnsi" w:cstheme="majorHAnsi"/>
        </w:rPr>
        <w:t>A readiness score across five dimensions, showing current state and the gap to target</w:t>
      </w:r>
      <w:r w:rsidR="008F50E5" w:rsidRPr="00A61669">
        <w:rPr>
          <w:rFonts w:asciiTheme="majorHAnsi" w:hAnsiTheme="majorHAnsi" w:cstheme="majorHAnsi"/>
        </w:rPr>
        <w:t>.</w:t>
      </w:r>
    </w:p>
    <w:p w14:paraId="1351ECBC" w14:textId="68E3300F" w:rsidR="00F97E9C" w:rsidRPr="00A61669" w:rsidRDefault="00F97E9C" w:rsidP="00EC2FA3">
      <w:pPr>
        <w:pStyle w:val="ListBullet"/>
        <w:numPr>
          <w:ilvl w:val="0"/>
          <w:numId w:val="4"/>
        </w:numPr>
        <w:jc w:val="both"/>
        <w:rPr>
          <w:rFonts w:asciiTheme="majorHAnsi" w:hAnsiTheme="majorHAnsi" w:cstheme="majorHAnsi"/>
        </w:rPr>
      </w:pPr>
      <w:r w:rsidRPr="00A61669">
        <w:rPr>
          <w:rFonts w:asciiTheme="majorHAnsi" w:hAnsiTheme="majorHAnsi" w:cstheme="majorHAnsi"/>
        </w:rPr>
        <w:t>A primary platform recommendation, with validated exceptions where DMG Media's existing application footprint supports a different cloud</w:t>
      </w:r>
      <w:r w:rsidR="008F50E5" w:rsidRPr="00A61669">
        <w:rPr>
          <w:rFonts w:asciiTheme="majorHAnsi" w:hAnsiTheme="majorHAnsi" w:cstheme="majorHAnsi"/>
        </w:rPr>
        <w:t>.</w:t>
      </w:r>
    </w:p>
    <w:p w14:paraId="00000083" w14:textId="6EB792BA" w:rsidR="000B0F63" w:rsidRPr="00A61669" w:rsidRDefault="00C05D22" w:rsidP="00EC2FA3">
      <w:pPr>
        <w:pStyle w:val="ListBullet"/>
        <w:numPr>
          <w:ilvl w:val="0"/>
          <w:numId w:val="4"/>
        </w:numPr>
        <w:jc w:val="both"/>
        <w:rPr>
          <w:rFonts w:asciiTheme="majorHAnsi" w:hAnsiTheme="majorHAnsi" w:cstheme="majorHAnsi"/>
        </w:rPr>
      </w:pPr>
      <w:r w:rsidRPr="00A61669">
        <w:rPr>
          <w:rFonts w:asciiTheme="majorHAnsi" w:hAnsiTheme="majorHAnsi" w:cstheme="majorHAnsi"/>
        </w:rPr>
        <w:t xml:space="preserve">A concrete </w:t>
      </w:r>
      <w:r w:rsidR="00100959" w:rsidRPr="00A61669">
        <w:rPr>
          <w:rFonts w:asciiTheme="majorHAnsi" w:hAnsiTheme="majorHAnsi" w:cstheme="majorHAnsi"/>
        </w:rPr>
        <w:t>Part 2</w:t>
      </w:r>
      <w:r w:rsidRPr="00A61669">
        <w:rPr>
          <w:rFonts w:asciiTheme="majorHAnsi" w:hAnsiTheme="majorHAnsi" w:cstheme="majorHAnsi"/>
        </w:rPr>
        <w:t xml:space="preserve"> entry point</w:t>
      </w:r>
      <w:r w:rsidR="008F50E5" w:rsidRPr="00A61669">
        <w:rPr>
          <w:rFonts w:asciiTheme="majorHAnsi" w:hAnsiTheme="majorHAnsi" w:cstheme="majorHAnsi"/>
        </w:rPr>
        <w:t>.</w:t>
      </w:r>
    </w:p>
    <w:p w14:paraId="00000085" w14:textId="00000086" w:rsidR="000B0F63" w:rsidRPr="00A61669" w:rsidRDefault="1BAB210A" w:rsidP="00E40261">
      <w:pPr>
        <w:pStyle w:val="Heading2"/>
        <w:jc w:val="both"/>
        <w:rPr>
          <w:rFonts w:asciiTheme="majorHAnsi" w:hAnsiTheme="majorHAnsi" w:cstheme="majorHAnsi"/>
        </w:rPr>
      </w:pPr>
      <w:bookmarkStart w:id="31" w:name="_Toc118"/>
      <w:bookmarkStart w:id="32" w:name="_Toc227770899"/>
      <w:r w:rsidRPr="00A61669">
        <w:rPr>
          <w:rFonts w:asciiTheme="majorHAnsi" w:hAnsiTheme="majorHAnsi" w:cstheme="majorHAnsi"/>
        </w:rPr>
        <w:t>Scope Versus Actual Discovery</w:t>
      </w:r>
      <w:bookmarkEnd w:id="31"/>
      <w:bookmarkEnd w:id="32"/>
    </w:p>
    <w:p w14:paraId="55DC361A" w14:textId="4E1F090C" w:rsidR="00227E5D" w:rsidRPr="00A61669" w:rsidRDefault="00227E5D" w:rsidP="00227E5D">
      <w:pPr>
        <w:pStyle w:val="ListBullet"/>
        <w:jc w:val="both"/>
        <w:rPr>
          <w:rFonts w:asciiTheme="majorHAnsi" w:hAnsiTheme="majorHAnsi" w:cstheme="majorHAnsi"/>
        </w:rPr>
      </w:pPr>
      <w:r w:rsidRPr="00A61669">
        <w:rPr>
          <w:rFonts w:asciiTheme="majorHAnsi" w:eastAsiaTheme="minorEastAsia" w:hAnsiTheme="majorHAnsi" w:cstheme="majorHAnsi"/>
          <w:szCs w:val="22"/>
          <w:lang w:val="en-GB"/>
        </w:rPr>
        <w:t xml:space="preserve">The scope moved during the engagement. </w:t>
      </w:r>
    </w:p>
    <w:p w14:paraId="00000089" w14:textId="072FF525" w:rsidR="000B0F63" w:rsidRPr="00A61669" w:rsidRDefault="00C05D22" w:rsidP="00EC2FA3">
      <w:pPr>
        <w:pStyle w:val="ListBullet"/>
        <w:numPr>
          <w:ilvl w:val="0"/>
          <w:numId w:val="5"/>
        </w:numPr>
        <w:jc w:val="both"/>
        <w:rPr>
          <w:rFonts w:asciiTheme="majorHAnsi" w:hAnsiTheme="majorHAnsi" w:cstheme="majorHAnsi"/>
        </w:rPr>
      </w:pPr>
      <w:r w:rsidRPr="00A61669">
        <w:rPr>
          <w:rFonts w:asciiTheme="majorHAnsi" w:hAnsiTheme="majorHAnsi" w:cstheme="majorHAnsi"/>
          <w:b/>
        </w:rPr>
        <w:t>2,300 servers</w:t>
      </w:r>
      <w:r w:rsidRPr="00A61669">
        <w:rPr>
          <w:rFonts w:asciiTheme="majorHAnsi" w:hAnsiTheme="majorHAnsi" w:cstheme="majorHAnsi"/>
        </w:rPr>
        <w:t>: the Statement of Work scope, based on pre-engagement information (VMware only).</w:t>
      </w:r>
    </w:p>
    <w:p w14:paraId="0000008B" w14:textId="54ECEB54" w:rsidR="000B0F63" w:rsidRPr="00A61669" w:rsidRDefault="00C05D22" w:rsidP="00EC2FA3">
      <w:pPr>
        <w:pStyle w:val="ListBullet"/>
        <w:numPr>
          <w:ilvl w:val="0"/>
          <w:numId w:val="5"/>
        </w:numPr>
        <w:jc w:val="both"/>
        <w:rPr>
          <w:rFonts w:asciiTheme="majorHAnsi" w:hAnsiTheme="majorHAnsi" w:cstheme="majorHAnsi"/>
        </w:rPr>
      </w:pPr>
      <w:r w:rsidRPr="00A61669">
        <w:rPr>
          <w:rFonts w:asciiTheme="majorHAnsi" w:hAnsiTheme="majorHAnsi" w:cstheme="majorHAnsi"/>
          <w:b/>
        </w:rPr>
        <w:t xml:space="preserve">3,038 servers: </w:t>
      </w:r>
      <w:r w:rsidRPr="00A61669">
        <w:rPr>
          <w:rFonts w:asciiTheme="majorHAnsi" w:hAnsiTheme="majorHAnsi" w:cstheme="majorHAnsi"/>
        </w:rPr>
        <w:t xml:space="preserve">the actual in-scope count for </w:t>
      </w:r>
      <w:r w:rsidR="00100959" w:rsidRPr="00A61669">
        <w:rPr>
          <w:rFonts w:asciiTheme="majorHAnsi" w:hAnsiTheme="majorHAnsi" w:cstheme="majorHAnsi"/>
        </w:rPr>
        <w:t>Part 1</w:t>
      </w:r>
      <w:r w:rsidRPr="00A61669">
        <w:rPr>
          <w:rFonts w:asciiTheme="majorHAnsi" w:hAnsiTheme="majorHAnsi" w:cstheme="majorHAnsi"/>
        </w:rPr>
        <w:t xml:space="preserve"> assessment, after scope was expanded to cover infrastructure disclosed at kickoff (Proxmox, physical bare metal, appliances, existing cloud). Every one of these 3,038 servers was discovered, profiled where possible, and independently priced.</w:t>
      </w:r>
    </w:p>
    <w:p w14:paraId="0000008D" w14:textId="2A69BA78" w:rsidR="000B0F63" w:rsidRPr="00A61669" w:rsidRDefault="00C05D22" w:rsidP="00EC2FA3">
      <w:pPr>
        <w:pStyle w:val="ListBullet"/>
        <w:numPr>
          <w:ilvl w:val="0"/>
          <w:numId w:val="5"/>
        </w:numPr>
        <w:jc w:val="both"/>
        <w:rPr>
          <w:rFonts w:asciiTheme="majorHAnsi" w:hAnsiTheme="majorHAnsi" w:cstheme="majorHAnsi"/>
        </w:rPr>
      </w:pPr>
      <w:r w:rsidRPr="00A61669">
        <w:rPr>
          <w:rFonts w:asciiTheme="majorHAnsi" w:hAnsiTheme="majorHAnsi" w:cstheme="majorHAnsi"/>
          <w:b/>
        </w:rPr>
        <w:t xml:space="preserve">4,500+ servers: </w:t>
      </w:r>
      <w:r w:rsidRPr="00A61669">
        <w:rPr>
          <w:rFonts w:asciiTheme="majorHAnsi" w:hAnsiTheme="majorHAnsi" w:cstheme="majorHAnsi"/>
        </w:rPr>
        <w:t xml:space="preserve">the full discovered estate. The additional ~1,500 beyond the 3,038 in-scope </w:t>
      </w:r>
      <w:r w:rsidR="7B274E15" w:rsidRPr="00A61669">
        <w:rPr>
          <w:rFonts w:asciiTheme="majorHAnsi" w:hAnsiTheme="majorHAnsi" w:cstheme="majorHAnsi"/>
        </w:rPr>
        <w:t>subsets</w:t>
      </w:r>
      <w:r w:rsidRPr="00A61669">
        <w:rPr>
          <w:rFonts w:asciiTheme="majorHAnsi" w:hAnsiTheme="majorHAnsi" w:cstheme="majorHAnsi"/>
        </w:rPr>
        <w:t xml:space="preserve"> were catalogued but not assessed in </w:t>
      </w:r>
      <w:r w:rsidR="00100959" w:rsidRPr="00A61669">
        <w:rPr>
          <w:rFonts w:asciiTheme="majorHAnsi" w:hAnsiTheme="majorHAnsi" w:cstheme="majorHAnsi"/>
        </w:rPr>
        <w:t>Part 1</w:t>
      </w:r>
      <w:r w:rsidRPr="00A61669">
        <w:rPr>
          <w:rFonts w:asciiTheme="majorHAnsi" w:hAnsiTheme="majorHAnsi" w:cstheme="majorHAnsi"/>
        </w:rPr>
        <w:t xml:space="preserve"> and are a </w:t>
      </w:r>
      <w:r w:rsidR="00100959" w:rsidRPr="00A61669">
        <w:rPr>
          <w:rFonts w:asciiTheme="majorHAnsi" w:hAnsiTheme="majorHAnsi" w:cstheme="majorHAnsi"/>
        </w:rPr>
        <w:t>Part 2</w:t>
      </w:r>
      <w:r w:rsidRPr="00A61669">
        <w:rPr>
          <w:rFonts w:asciiTheme="majorHAnsi" w:hAnsiTheme="majorHAnsi" w:cstheme="majorHAnsi"/>
        </w:rPr>
        <w:t xml:space="preserve"> scope item</w:t>
      </w:r>
      <w:r w:rsidRPr="00A61669">
        <w:rPr>
          <w:rFonts w:asciiTheme="majorHAnsi" w:hAnsiTheme="majorHAnsi" w:cstheme="majorHAnsi"/>
          <w:b/>
        </w:rPr>
        <w:t>.</w:t>
      </w:r>
    </w:p>
    <w:p w14:paraId="0000008F" w14:textId="588C3F7F"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Rackspace absorbed the </w:t>
      </w:r>
      <w:r w:rsidR="00100959" w:rsidRPr="00A61669">
        <w:rPr>
          <w:rFonts w:asciiTheme="majorHAnsi" w:hAnsiTheme="majorHAnsi" w:cstheme="majorHAnsi"/>
        </w:rPr>
        <w:t>Part 1</w:t>
      </w:r>
      <w:r w:rsidRPr="00A61669">
        <w:rPr>
          <w:rFonts w:asciiTheme="majorHAnsi" w:hAnsiTheme="majorHAnsi" w:cstheme="majorHAnsi"/>
        </w:rPr>
        <w:t xml:space="preserve"> scope expansion from 2,300 to 3,038 at no additional cost to DMG Media. This represents a material amount of additional discovery and analysis effort delivered without a revised commercial. </w:t>
      </w:r>
      <w:r w:rsidR="00133639" w:rsidRPr="00A61669">
        <w:rPr>
          <w:rFonts w:asciiTheme="majorHAnsi" w:hAnsiTheme="majorHAnsi" w:cstheme="majorHAnsi"/>
        </w:rPr>
        <w:t>The remaining ~1,500 servers are catalogued. DMG Media has confirmed that these additional applications would not make a material difference to the TCO or the overall direction of travel, but they will need to be picked up alongside any other aspects of the estate when the programme moves into Part 2 and wave planning</w:t>
      </w:r>
      <w:r w:rsidRPr="00A61669">
        <w:rPr>
          <w:rFonts w:asciiTheme="majorHAnsi" w:hAnsiTheme="majorHAnsi" w:cstheme="majorHAnsi"/>
        </w:rPr>
        <w:t>.</w:t>
      </w:r>
    </w:p>
    <w:p w14:paraId="00000091" w14:textId="53090FAC" w:rsidR="000B0F63" w:rsidRPr="00A61669" w:rsidRDefault="00C05D22" w:rsidP="00E40261">
      <w:pPr>
        <w:jc w:val="both"/>
        <w:rPr>
          <w:rFonts w:asciiTheme="majorHAnsi" w:hAnsiTheme="majorHAnsi" w:cstheme="majorHAnsi"/>
        </w:rPr>
      </w:pPr>
      <w:r w:rsidRPr="00A61669">
        <w:rPr>
          <w:rFonts w:asciiTheme="majorHAnsi" w:hAnsiTheme="majorHAnsi" w:cstheme="majorHAnsi"/>
        </w:rPr>
        <w:lastRenderedPageBreak/>
        <w:t xml:space="preserve">This report covers the 3,038 in-scope servers. Where the full estate is referenced (for context or </w:t>
      </w:r>
      <w:r w:rsidR="00100959" w:rsidRPr="00A61669">
        <w:rPr>
          <w:rFonts w:asciiTheme="majorHAnsi" w:hAnsiTheme="majorHAnsi" w:cstheme="majorHAnsi"/>
        </w:rPr>
        <w:t>Part 2</w:t>
      </w:r>
      <w:r w:rsidRPr="00A61669">
        <w:rPr>
          <w:rFonts w:asciiTheme="majorHAnsi" w:hAnsiTheme="majorHAnsi" w:cstheme="majorHAnsi"/>
        </w:rPr>
        <w:t xml:space="preserve"> framing), that is called out explicitly.</w:t>
      </w:r>
    </w:p>
    <w:p w14:paraId="00000093" w14:textId="00000094" w:rsidR="000B0F63" w:rsidRPr="00A61669" w:rsidRDefault="1BAB210A" w:rsidP="00E40261">
      <w:pPr>
        <w:pStyle w:val="Heading2"/>
        <w:jc w:val="both"/>
        <w:rPr>
          <w:rFonts w:asciiTheme="majorHAnsi" w:hAnsiTheme="majorHAnsi" w:cstheme="majorHAnsi"/>
        </w:rPr>
      </w:pPr>
      <w:bookmarkStart w:id="33" w:name="_Toc119"/>
      <w:bookmarkStart w:id="34" w:name="_Toc227770900"/>
      <w:r w:rsidRPr="00A61669">
        <w:rPr>
          <w:rFonts w:asciiTheme="majorHAnsi" w:hAnsiTheme="majorHAnsi" w:cstheme="majorHAnsi"/>
        </w:rPr>
        <w:t>What This Report Covers</w:t>
      </w:r>
      <w:bookmarkEnd w:id="33"/>
      <w:bookmarkEnd w:id="34"/>
    </w:p>
    <w:p w14:paraId="00000095" w14:textId="4858DA15"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The sections that follow cover why cloud makes sense now (Section 3), the estate discovery (Section 4), cost comparison (Section 5), business and application fit (Section 6), the platform recommendation (Section 7), organisational readiness (Section 8), specific challenges and opportunities (Sections 9 and 10), and moving forward into </w:t>
      </w:r>
      <w:r w:rsidR="00100959" w:rsidRPr="00A61669">
        <w:rPr>
          <w:rFonts w:asciiTheme="majorHAnsi" w:hAnsiTheme="majorHAnsi" w:cstheme="majorHAnsi"/>
        </w:rPr>
        <w:t>Part 2</w:t>
      </w:r>
      <w:r w:rsidRPr="00A61669">
        <w:rPr>
          <w:rFonts w:asciiTheme="majorHAnsi" w:hAnsiTheme="majorHAnsi" w:cstheme="majorHAnsi"/>
        </w:rPr>
        <w:t xml:space="preserve"> (Section 11). Appendices provide methodology and detail for the technical panel.</w:t>
      </w:r>
    </w:p>
    <w:p w14:paraId="00000097" w14:textId="00000098" w:rsidR="000B0F63" w:rsidRPr="00A61669" w:rsidRDefault="00C05D22" w:rsidP="00E40261">
      <w:pPr>
        <w:jc w:val="both"/>
        <w:rPr>
          <w:rFonts w:asciiTheme="majorHAnsi" w:hAnsiTheme="majorHAnsi" w:cstheme="majorHAnsi"/>
        </w:rPr>
      </w:pPr>
      <w:r w:rsidRPr="00A61669">
        <w:rPr>
          <w:rFonts w:asciiTheme="majorHAnsi" w:hAnsiTheme="majorHAnsi" w:cstheme="majorHAnsi"/>
        </w:rPr>
        <w:br w:type="page"/>
      </w:r>
    </w:p>
    <w:p w14:paraId="00000099" w14:textId="0000009A" w:rsidR="000B0F63" w:rsidRPr="00A61669" w:rsidRDefault="1BAB210A" w:rsidP="00E40261">
      <w:pPr>
        <w:pStyle w:val="Heading1"/>
        <w:jc w:val="both"/>
        <w:rPr>
          <w:rFonts w:asciiTheme="majorHAnsi" w:hAnsiTheme="majorHAnsi" w:cstheme="majorHAnsi"/>
        </w:rPr>
      </w:pPr>
      <w:bookmarkStart w:id="35" w:name="_Toc120"/>
      <w:bookmarkStart w:id="36" w:name="_Toc227770901"/>
      <w:bookmarkStart w:id="37" w:name="_Toc228549355"/>
      <w:r w:rsidRPr="00A61669">
        <w:rPr>
          <w:rFonts w:asciiTheme="majorHAnsi" w:hAnsiTheme="majorHAnsi" w:cstheme="majorHAnsi"/>
        </w:rPr>
        <w:lastRenderedPageBreak/>
        <w:t>Section 3: Why Cloud, Why Now</w:t>
      </w:r>
      <w:bookmarkEnd w:id="35"/>
      <w:bookmarkEnd w:id="36"/>
      <w:bookmarkEnd w:id="37"/>
    </w:p>
    <w:p w14:paraId="0000009B" w14:textId="74205102" w:rsidR="000B0F63" w:rsidRPr="00A61669" w:rsidRDefault="007415CD" w:rsidP="00E40261">
      <w:pPr>
        <w:pStyle w:val="Heading2"/>
        <w:jc w:val="both"/>
        <w:rPr>
          <w:rFonts w:asciiTheme="majorHAnsi" w:hAnsiTheme="majorHAnsi" w:cstheme="majorHAnsi"/>
        </w:rPr>
      </w:pPr>
      <w:bookmarkStart w:id="38" w:name="_Toc121"/>
      <w:bookmarkStart w:id="39" w:name="_Toc227770902"/>
      <w:r w:rsidRPr="00A61669">
        <w:rPr>
          <w:rFonts w:asciiTheme="majorHAnsi" w:hAnsiTheme="majorHAnsi" w:cstheme="majorHAnsi"/>
        </w:rPr>
        <w:t>DMG Media’s</w:t>
      </w:r>
      <w:r w:rsidR="1BAB210A" w:rsidRPr="00A61669">
        <w:rPr>
          <w:rFonts w:asciiTheme="majorHAnsi" w:hAnsiTheme="majorHAnsi" w:cstheme="majorHAnsi"/>
        </w:rPr>
        <w:t xml:space="preserve"> Business Drivers</w:t>
      </w:r>
      <w:bookmarkEnd w:id="38"/>
      <w:bookmarkEnd w:id="39"/>
    </w:p>
    <w:p w14:paraId="0000009D" w14:textId="693F35E8" w:rsidR="000B0F63" w:rsidRPr="00A61669" w:rsidRDefault="007415CD" w:rsidP="00E40261">
      <w:pPr>
        <w:jc w:val="both"/>
        <w:rPr>
          <w:rFonts w:asciiTheme="majorHAnsi" w:hAnsiTheme="majorHAnsi" w:cstheme="majorHAnsi"/>
        </w:rPr>
      </w:pPr>
      <w:r w:rsidRPr="00A61669">
        <w:rPr>
          <w:rFonts w:asciiTheme="majorHAnsi" w:hAnsiTheme="majorHAnsi" w:cstheme="majorHAnsi"/>
        </w:rPr>
        <w:t>DMG Media’s</w:t>
      </w:r>
      <w:r w:rsidR="00C05D22" w:rsidRPr="00A61669">
        <w:rPr>
          <w:rFonts w:asciiTheme="majorHAnsi" w:hAnsiTheme="majorHAnsi" w:cstheme="majorHAnsi"/>
        </w:rPr>
        <w:t xml:space="preserve"> decision to explore cloud was framed at </w:t>
      </w:r>
      <w:r w:rsidR="008A130D" w:rsidRPr="00A61669">
        <w:rPr>
          <w:rFonts w:asciiTheme="majorHAnsi" w:hAnsiTheme="majorHAnsi" w:cstheme="majorHAnsi"/>
        </w:rPr>
        <w:t>kick-off</w:t>
      </w:r>
      <w:r w:rsidR="00C05D22" w:rsidRPr="00A61669">
        <w:rPr>
          <w:rFonts w:asciiTheme="majorHAnsi" w:hAnsiTheme="majorHAnsi" w:cstheme="majorHAnsi"/>
        </w:rPr>
        <w:t xml:space="preserve"> around three business drivers. Everything in this report ties back to these.</w:t>
      </w:r>
    </w:p>
    <w:p w14:paraId="3C73446B" w14:textId="720DEEB5" w:rsidR="00EC163B" w:rsidRPr="00A61669" w:rsidRDefault="00EC163B" w:rsidP="00E40261">
      <w:pPr>
        <w:jc w:val="both"/>
        <w:rPr>
          <w:rFonts w:asciiTheme="majorHAnsi" w:hAnsiTheme="majorHAnsi" w:cstheme="majorHAnsi"/>
        </w:rPr>
      </w:pPr>
      <w:r w:rsidRPr="00A61669">
        <w:rPr>
          <w:rFonts w:asciiTheme="majorHAnsi" w:hAnsiTheme="majorHAnsi" w:cstheme="majorHAnsi"/>
        </w:rPr>
        <w:t>Enhanced security and data or AI analytical insights are an expected outcome of this transformation, not a standalone driver. DMG Media’s early-stage AI work (Genie, AI Insights Agents) will benefit from a cloud platform but is not driving the migration timeline.</w:t>
      </w:r>
    </w:p>
    <w:p w14:paraId="0000009F" w14:textId="000000A0" w:rsidR="000B0F63" w:rsidRPr="00A61669" w:rsidRDefault="1BAB210A" w:rsidP="00E40261">
      <w:pPr>
        <w:pStyle w:val="Heading3"/>
        <w:jc w:val="both"/>
        <w:rPr>
          <w:rFonts w:asciiTheme="majorHAnsi" w:hAnsiTheme="majorHAnsi" w:cstheme="majorHAnsi"/>
        </w:rPr>
      </w:pPr>
      <w:bookmarkStart w:id="40" w:name="_Toc122"/>
      <w:bookmarkStart w:id="41" w:name="_Toc227770903"/>
      <w:r w:rsidRPr="00A61669">
        <w:rPr>
          <w:rFonts w:asciiTheme="majorHAnsi" w:hAnsiTheme="majorHAnsi" w:cstheme="majorHAnsi"/>
        </w:rPr>
        <w:t>1. Standardisation and Simplification</w:t>
      </w:r>
      <w:bookmarkEnd w:id="40"/>
      <w:bookmarkEnd w:id="41"/>
    </w:p>
    <w:p w14:paraId="000000A1" w14:textId="3E83A97C" w:rsidR="000B0F63" w:rsidRPr="00A61669" w:rsidRDefault="007415CD" w:rsidP="00E40261">
      <w:pPr>
        <w:jc w:val="both"/>
        <w:rPr>
          <w:rFonts w:asciiTheme="majorHAnsi" w:hAnsiTheme="majorHAnsi" w:cstheme="majorHAnsi"/>
        </w:rPr>
      </w:pPr>
      <w:r w:rsidRPr="00A61669">
        <w:rPr>
          <w:rFonts w:asciiTheme="majorHAnsi" w:hAnsiTheme="majorHAnsi" w:cstheme="majorHAnsi"/>
        </w:rPr>
        <w:t>DMG Media</w:t>
      </w:r>
      <w:r w:rsidR="00C05D22" w:rsidRPr="00A61669">
        <w:rPr>
          <w:rFonts w:asciiTheme="majorHAnsi" w:hAnsiTheme="majorHAnsi" w:cstheme="majorHAnsi"/>
        </w:rPr>
        <w:t xml:space="preserve"> operate across multiple brands with approximately 170 technology staff distributed across seven areas. Each area operates with its own tooling, processes, and standards. </w:t>
      </w:r>
      <w:r w:rsidR="00650531" w:rsidRPr="00A61669">
        <w:rPr>
          <w:rFonts w:asciiTheme="majorHAnsi" w:hAnsiTheme="majorHAnsi" w:cstheme="majorHAnsi"/>
        </w:rPr>
        <w:t xml:space="preserve">At </w:t>
      </w:r>
      <w:r w:rsidR="00BA3083" w:rsidRPr="00A61669">
        <w:rPr>
          <w:rFonts w:asciiTheme="majorHAnsi" w:hAnsiTheme="majorHAnsi" w:cstheme="majorHAnsi"/>
        </w:rPr>
        <w:t>kick-off</w:t>
      </w:r>
      <w:r w:rsidR="00650531" w:rsidRPr="00A61669">
        <w:rPr>
          <w:rFonts w:asciiTheme="majorHAnsi" w:hAnsiTheme="majorHAnsi" w:cstheme="majorHAnsi"/>
        </w:rPr>
        <w:t>, DMG Media’s technology leadership identified inconsistent delivery processes during projects across business areas as a significant operational constraint</w:t>
      </w:r>
      <w:r w:rsidR="00C05D22" w:rsidRPr="00A61669">
        <w:rPr>
          <w:rFonts w:asciiTheme="majorHAnsi" w:hAnsiTheme="majorHAnsi" w:cstheme="majorHAnsi"/>
        </w:rPr>
        <w:t>. The cost of this fragmentation is slower delivery, higher operational risk, and harder co-ordination on changes that span brands.</w:t>
      </w:r>
    </w:p>
    <w:p w14:paraId="000000A3" w14:textId="4E049CB4" w:rsidR="000B0F63" w:rsidRPr="00A61669" w:rsidRDefault="007415CD" w:rsidP="00E40261">
      <w:pPr>
        <w:jc w:val="both"/>
        <w:rPr>
          <w:rFonts w:asciiTheme="majorHAnsi" w:hAnsiTheme="majorHAnsi" w:cstheme="majorHAnsi"/>
        </w:rPr>
      </w:pPr>
      <w:r w:rsidRPr="00A61669">
        <w:rPr>
          <w:rFonts w:asciiTheme="majorHAnsi" w:hAnsiTheme="majorHAnsi" w:cstheme="majorHAnsi"/>
        </w:rPr>
        <w:t>DMG Media’s</w:t>
      </w:r>
      <w:r w:rsidR="00C05D22" w:rsidRPr="00A61669">
        <w:rPr>
          <w:rFonts w:asciiTheme="majorHAnsi" w:hAnsiTheme="majorHAnsi" w:cstheme="majorHAnsi"/>
        </w:rPr>
        <w:t xml:space="preserve"> goal is to converge on a limited set of approved platforms and patterns, eliminate shadow IT, and establish a standardised technology foundation that supports growth without adding proportional complexity.</w:t>
      </w:r>
    </w:p>
    <w:p w14:paraId="000000A5" w14:textId="000000A6" w:rsidR="000B0F63" w:rsidRPr="00A61669" w:rsidRDefault="1BAB210A" w:rsidP="00E40261">
      <w:pPr>
        <w:pStyle w:val="Heading3"/>
        <w:jc w:val="both"/>
        <w:rPr>
          <w:rFonts w:asciiTheme="majorHAnsi" w:hAnsiTheme="majorHAnsi" w:cstheme="majorHAnsi"/>
        </w:rPr>
      </w:pPr>
      <w:bookmarkStart w:id="42" w:name="_Toc123"/>
      <w:bookmarkStart w:id="43" w:name="_Toc227770904"/>
      <w:r w:rsidRPr="00A61669">
        <w:rPr>
          <w:rFonts w:asciiTheme="majorHAnsi" w:hAnsiTheme="majorHAnsi" w:cstheme="majorHAnsi"/>
        </w:rPr>
        <w:t>2. Productivity and Cost Optimisation</w:t>
      </w:r>
      <w:bookmarkEnd w:id="42"/>
      <w:bookmarkEnd w:id="43"/>
    </w:p>
    <w:p w14:paraId="000000A7" w14:textId="7E26D46A" w:rsidR="000B0F63" w:rsidRPr="00A61669" w:rsidRDefault="007415CD" w:rsidP="00E40261">
      <w:pPr>
        <w:jc w:val="both"/>
        <w:rPr>
          <w:rFonts w:asciiTheme="majorHAnsi" w:hAnsiTheme="majorHAnsi" w:cstheme="majorHAnsi"/>
        </w:rPr>
      </w:pPr>
      <w:r w:rsidRPr="00A61669">
        <w:rPr>
          <w:rFonts w:asciiTheme="majorHAnsi" w:hAnsiTheme="majorHAnsi" w:cstheme="majorHAnsi"/>
        </w:rPr>
        <w:t>DMG Media</w:t>
      </w:r>
      <w:r w:rsidR="00C05D22" w:rsidRPr="00A61669">
        <w:rPr>
          <w:rFonts w:asciiTheme="majorHAnsi" w:hAnsiTheme="majorHAnsi" w:cstheme="majorHAnsi"/>
        </w:rPr>
        <w:t xml:space="preserve"> have set a target of reducing </w:t>
      </w:r>
      <w:r w:rsidR="006F78E6" w:rsidRPr="00A61669">
        <w:rPr>
          <w:rFonts w:asciiTheme="majorHAnsi" w:hAnsiTheme="majorHAnsi" w:cstheme="majorHAnsi"/>
        </w:rPr>
        <w:t>total cost of ownership while improving delivery velocity</w:t>
      </w:r>
      <w:r w:rsidR="00AD6B7C" w:rsidRPr="00A61669">
        <w:rPr>
          <w:rFonts w:asciiTheme="majorHAnsi" w:hAnsiTheme="majorHAnsi" w:cstheme="majorHAnsi"/>
        </w:rPr>
        <w:t>.</w:t>
      </w:r>
      <w:r w:rsidR="00C05D22" w:rsidRPr="00A61669">
        <w:rPr>
          <w:rFonts w:asciiTheme="majorHAnsi" w:hAnsiTheme="majorHAnsi" w:cstheme="majorHAnsi"/>
        </w:rPr>
        <w:t xml:space="preserve"> This requires shifting from fixed, capacity-based cost models to demand-aligned consumption, removing custom systems that provide low value, and replacing bespoke workflows with pre-approved blueprints.</w:t>
      </w:r>
    </w:p>
    <w:p w14:paraId="000000A9" w14:textId="000000AA" w:rsidR="000B0F63" w:rsidRPr="00A61669" w:rsidRDefault="00C05D22" w:rsidP="00E40261">
      <w:pPr>
        <w:jc w:val="both"/>
        <w:rPr>
          <w:rFonts w:asciiTheme="majorHAnsi" w:hAnsiTheme="majorHAnsi" w:cstheme="majorHAnsi"/>
        </w:rPr>
      </w:pPr>
      <w:r w:rsidRPr="00A61669">
        <w:rPr>
          <w:rFonts w:asciiTheme="majorHAnsi" w:hAnsiTheme="majorHAnsi" w:cstheme="majorHAnsi"/>
        </w:rPr>
        <w:t>The commercial test is whether cloud adoption translates to financial performance. It only does if cost discipline is embedded from day one, through FinOps practice and clear visibility of spend by platform, product, and environment.</w:t>
      </w:r>
    </w:p>
    <w:p w14:paraId="000000AB" w14:textId="000000AC" w:rsidR="000B0F63" w:rsidRPr="00A61669" w:rsidRDefault="1BAB210A" w:rsidP="00E40261">
      <w:pPr>
        <w:pStyle w:val="Heading3"/>
        <w:jc w:val="both"/>
        <w:rPr>
          <w:rFonts w:asciiTheme="majorHAnsi" w:hAnsiTheme="majorHAnsi" w:cstheme="majorHAnsi"/>
        </w:rPr>
      </w:pPr>
      <w:bookmarkStart w:id="44" w:name="_Toc124"/>
      <w:bookmarkStart w:id="45" w:name="_Toc227770905"/>
      <w:r w:rsidRPr="00A61669">
        <w:rPr>
          <w:rFonts w:asciiTheme="majorHAnsi" w:hAnsiTheme="majorHAnsi" w:cstheme="majorHAnsi"/>
        </w:rPr>
        <w:t>3. Automation and Workflow Optimisation</w:t>
      </w:r>
      <w:bookmarkEnd w:id="44"/>
      <w:bookmarkEnd w:id="45"/>
    </w:p>
    <w:p w14:paraId="000000AD" w14:textId="0CFFF499"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Manual processes limit growth and degrade customer experience. </w:t>
      </w:r>
      <w:r w:rsidR="007415CD" w:rsidRPr="00A61669">
        <w:rPr>
          <w:rFonts w:asciiTheme="majorHAnsi" w:hAnsiTheme="majorHAnsi" w:cstheme="majorHAnsi"/>
        </w:rPr>
        <w:t>DMG Media</w:t>
      </w:r>
      <w:r w:rsidRPr="00A61669">
        <w:rPr>
          <w:rFonts w:asciiTheme="majorHAnsi" w:hAnsiTheme="majorHAnsi" w:cstheme="majorHAnsi"/>
        </w:rPr>
        <w:t xml:space="preserve"> have identified automation of repeatable, high-volume operational workflows as essential for enterprise-scale operations. The outcome is reduced operational and key-person risk, the ability to scale revenue without linear cost growth, and business teams focused on value creation rather than administration.</w:t>
      </w:r>
    </w:p>
    <w:p w14:paraId="000000B1" w14:textId="348522A6" w:rsidR="000B0F63" w:rsidRPr="00A61669" w:rsidRDefault="1BAB210A" w:rsidP="00E40261">
      <w:pPr>
        <w:pStyle w:val="Heading2"/>
        <w:jc w:val="both"/>
        <w:rPr>
          <w:rFonts w:asciiTheme="majorHAnsi" w:hAnsiTheme="majorHAnsi"/>
        </w:rPr>
      </w:pPr>
      <w:bookmarkStart w:id="46" w:name="_Toc125"/>
      <w:bookmarkStart w:id="47" w:name="_Toc227770906"/>
      <w:r w:rsidRPr="1FFCA984">
        <w:rPr>
          <w:rFonts w:asciiTheme="majorHAnsi" w:hAnsiTheme="majorHAnsi"/>
        </w:rPr>
        <w:t xml:space="preserve">The Case </w:t>
      </w:r>
      <w:r w:rsidR="11661C86" w:rsidRPr="1FFCA984">
        <w:rPr>
          <w:rFonts w:asciiTheme="majorHAnsi" w:hAnsiTheme="majorHAnsi"/>
        </w:rPr>
        <w:t>for</w:t>
      </w:r>
      <w:r w:rsidRPr="1FFCA984">
        <w:rPr>
          <w:rFonts w:asciiTheme="majorHAnsi" w:hAnsiTheme="majorHAnsi"/>
        </w:rPr>
        <w:t xml:space="preserve"> Acting Now</w:t>
      </w:r>
      <w:bookmarkEnd w:id="46"/>
      <w:bookmarkEnd w:id="47"/>
    </w:p>
    <w:p w14:paraId="000000B3" w14:textId="42042BF2"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What would happen if </w:t>
      </w:r>
      <w:r w:rsidR="007415CD" w:rsidRPr="00A61669">
        <w:rPr>
          <w:rFonts w:asciiTheme="majorHAnsi" w:hAnsiTheme="majorHAnsi" w:cstheme="majorHAnsi"/>
        </w:rPr>
        <w:t>DMG Media</w:t>
      </w:r>
      <w:r w:rsidRPr="00A61669">
        <w:rPr>
          <w:rFonts w:asciiTheme="majorHAnsi" w:hAnsiTheme="majorHAnsi" w:cstheme="majorHAnsi"/>
        </w:rPr>
        <w:t xml:space="preserve"> did nothing? </w:t>
      </w:r>
      <w:r w:rsidR="00FA4CB7" w:rsidRPr="00A61669">
        <w:rPr>
          <w:rFonts w:asciiTheme="majorHAnsi" w:hAnsiTheme="majorHAnsi" w:cstheme="majorHAnsi"/>
        </w:rPr>
        <w:t>Six contracts expire or require renewal within the next two years. Renewing any of them independently re-locks capital into on</w:t>
      </w:r>
      <w:r w:rsidR="48180195" w:rsidRPr="5EBC0209">
        <w:rPr>
          <w:rFonts w:asciiTheme="majorHAnsi" w:hAnsiTheme="majorHAnsi" w:cstheme="majorBidi"/>
        </w:rPr>
        <w:t xml:space="preserve"> </w:t>
      </w:r>
      <w:r w:rsidR="00FA4CB7" w:rsidRPr="00A61669">
        <w:rPr>
          <w:rFonts w:asciiTheme="majorHAnsi" w:hAnsiTheme="majorHAnsi" w:cstheme="majorHAnsi"/>
        </w:rPr>
        <w:t>premises for another cycle</w:t>
      </w:r>
    </w:p>
    <w:p w14:paraId="000000B5" w14:textId="000000B6" w:rsidR="000B0F63" w:rsidRPr="00A61669" w:rsidRDefault="1BAB210A" w:rsidP="00E40261">
      <w:pPr>
        <w:pStyle w:val="Heading3"/>
        <w:jc w:val="both"/>
        <w:rPr>
          <w:rFonts w:asciiTheme="majorHAnsi" w:hAnsiTheme="majorHAnsi" w:cstheme="majorHAnsi"/>
        </w:rPr>
      </w:pPr>
      <w:bookmarkStart w:id="48" w:name="_Toc126"/>
      <w:bookmarkStart w:id="49" w:name="_Toc227770907"/>
      <w:r w:rsidRPr="00A61669">
        <w:rPr>
          <w:rFonts w:asciiTheme="majorHAnsi" w:hAnsiTheme="majorHAnsi" w:cstheme="majorHAnsi"/>
        </w:rPr>
        <w:lastRenderedPageBreak/>
        <w:t>Converging contracts</w:t>
      </w:r>
      <w:bookmarkEnd w:id="48"/>
      <w:bookmarkEnd w:id="49"/>
    </w:p>
    <w:tbl>
      <w:tblPr>
        <w:tblStyle w:val="PlainTable5"/>
        <w:tblW w:w="9929" w:type="dxa"/>
        <w:tblLook w:val="04A0" w:firstRow="1" w:lastRow="0" w:firstColumn="1" w:lastColumn="0" w:noHBand="0" w:noVBand="1"/>
      </w:tblPr>
      <w:tblGrid>
        <w:gridCol w:w="2572"/>
        <w:gridCol w:w="1964"/>
        <w:gridCol w:w="3157"/>
        <w:gridCol w:w="2236"/>
      </w:tblGrid>
      <w:tr w:rsidR="007E4C3F" w14:paraId="03EF7075" w14:textId="006CE989" w:rsidTr="00890744">
        <w:trPr>
          <w:cnfStyle w:val="100000000000" w:firstRow="1" w:lastRow="0" w:firstColumn="0" w:lastColumn="0" w:oddVBand="0" w:evenVBand="0" w:oddHBand="0" w:evenHBand="0" w:firstRowFirstColumn="0" w:firstRowLastColumn="0" w:lastRowFirstColumn="0" w:lastRowLastColumn="0"/>
          <w:trHeight w:val="250"/>
        </w:trPr>
        <w:tc>
          <w:tcPr>
            <w:cnfStyle w:val="001000000100" w:firstRow="0" w:lastRow="0" w:firstColumn="1" w:lastColumn="0" w:oddVBand="0" w:evenVBand="0" w:oddHBand="0" w:evenHBand="0" w:firstRowFirstColumn="1" w:firstRowLastColumn="0" w:lastRowFirstColumn="0" w:lastRowLastColumn="0"/>
            <w:tcW w:w="2572" w:type="dxa"/>
          </w:tcPr>
          <w:p w14:paraId="000000B7" w14:textId="000000B8" w:rsidR="000B0F63" w:rsidRPr="00A61669" w:rsidRDefault="00C05D22" w:rsidP="00E40261">
            <w:pPr>
              <w:pStyle w:val="TableHeader"/>
              <w:jc w:val="both"/>
              <w:rPr>
                <w:rFonts w:cstheme="majorHAnsi"/>
              </w:rPr>
            </w:pPr>
            <w:r w:rsidRPr="00A61669">
              <w:rPr>
                <w:rFonts w:cstheme="majorHAnsi"/>
              </w:rPr>
              <w:t>Contract</w:t>
            </w:r>
          </w:p>
        </w:tc>
        <w:tc>
          <w:tcPr>
            <w:tcW w:w="1964" w:type="dxa"/>
          </w:tcPr>
          <w:p w14:paraId="000000B9" w14:textId="000000BA" w:rsidR="000B0F63" w:rsidRPr="00A61669" w:rsidRDefault="00C05D22" w:rsidP="00E40261">
            <w:pPr>
              <w:pStyle w:val="TableHeader"/>
              <w:jc w:val="both"/>
              <w:cnfStyle w:val="100000000000" w:firstRow="1" w:lastRow="0" w:firstColumn="0" w:lastColumn="0" w:oddVBand="0" w:evenVBand="0" w:oddHBand="0" w:evenHBand="0" w:firstRowFirstColumn="0" w:firstRowLastColumn="0" w:lastRowFirstColumn="0" w:lastRowLastColumn="0"/>
              <w:rPr>
                <w:rFonts w:cstheme="majorHAnsi"/>
              </w:rPr>
            </w:pPr>
            <w:r w:rsidRPr="00A61669">
              <w:rPr>
                <w:rFonts w:cstheme="majorHAnsi"/>
              </w:rPr>
              <w:t>End date</w:t>
            </w:r>
          </w:p>
        </w:tc>
        <w:tc>
          <w:tcPr>
            <w:tcW w:w="3157" w:type="dxa"/>
          </w:tcPr>
          <w:p w14:paraId="000000BB" w14:textId="000000BC" w:rsidR="000B0F63" w:rsidRPr="00A61669" w:rsidRDefault="00C05D22" w:rsidP="00E40261">
            <w:pPr>
              <w:pStyle w:val="TableHeader"/>
              <w:jc w:val="both"/>
              <w:cnfStyle w:val="100000000000" w:firstRow="1" w:lastRow="0" w:firstColumn="0" w:lastColumn="0" w:oddVBand="0" w:evenVBand="0" w:oddHBand="0" w:evenHBand="0" w:firstRowFirstColumn="0" w:firstRowLastColumn="0" w:lastRowFirstColumn="0" w:lastRowLastColumn="0"/>
              <w:rPr>
                <w:rFonts w:cstheme="majorHAnsi"/>
              </w:rPr>
            </w:pPr>
            <w:r w:rsidRPr="00A61669">
              <w:rPr>
                <w:rFonts w:cstheme="majorHAnsi"/>
              </w:rPr>
              <w:t>What happens at expiry</w:t>
            </w:r>
          </w:p>
        </w:tc>
        <w:tc>
          <w:tcPr>
            <w:tcW w:w="2236" w:type="dxa"/>
          </w:tcPr>
          <w:p w14:paraId="0179634F" w14:textId="44C14BDC" w:rsidR="00780FF9" w:rsidRPr="00A61669" w:rsidRDefault="00780FF9" w:rsidP="00780FF9">
            <w:pPr>
              <w:pStyle w:val="TableHeader"/>
              <w:jc w:val="both"/>
              <w:cnfStyle w:val="100000000000" w:firstRow="1" w:lastRow="0" w:firstColumn="0" w:lastColumn="0" w:oddVBand="0" w:evenVBand="0" w:oddHBand="0" w:evenHBand="0" w:firstRowFirstColumn="0" w:firstRowLastColumn="0" w:lastRowFirstColumn="0" w:lastRowLastColumn="0"/>
              <w:rPr>
                <w:rFonts w:cstheme="majorHAnsi"/>
              </w:rPr>
            </w:pPr>
            <w:r w:rsidRPr="00A61669">
              <w:rPr>
                <w:rFonts w:cstheme="majorHAnsi"/>
              </w:rPr>
              <w:t>Cost</w:t>
            </w:r>
            <w:r w:rsidR="00890744" w:rsidRPr="00A61669">
              <w:rPr>
                <w:rFonts w:cstheme="majorHAnsi"/>
              </w:rPr>
              <w:t xml:space="preserve"> (Annual)</w:t>
            </w:r>
          </w:p>
        </w:tc>
      </w:tr>
      <w:tr w:rsidR="009909BC" w14:paraId="684B9DEA" w14:textId="11A17759" w:rsidTr="00890744">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2572" w:type="dxa"/>
          </w:tcPr>
          <w:p w14:paraId="000000BD" w14:textId="000000BE" w:rsidR="000B0F63" w:rsidRPr="00A61669" w:rsidRDefault="00C05D22" w:rsidP="00890744">
            <w:pPr>
              <w:pStyle w:val="TableInfo"/>
              <w:jc w:val="left"/>
              <w:rPr>
                <w:rFonts w:asciiTheme="majorHAnsi" w:hAnsiTheme="majorHAnsi" w:cstheme="majorHAnsi"/>
              </w:rPr>
            </w:pPr>
            <w:r w:rsidRPr="00A61669">
              <w:rPr>
                <w:rFonts w:asciiTheme="majorHAnsi" w:hAnsiTheme="majorHAnsi" w:cstheme="majorHAnsi"/>
              </w:rPr>
              <w:t>Reading datacentre (Centre Square)</w:t>
            </w:r>
          </w:p>
        </w:tc>
        <w:tc>
          <w:tcPr>
            <w:tcW w:w="1964" w:type="dxa"/>
          </w:tcPr>
          <w:p w14:paraId="000000BF" w14:textId="000000C0" w:rsidR="000B0F63" w:rsidRPr="00A61669" w:rsidRDefault="00C05D22" w:rsidP="00890744">
            <w:pPr>
              <w:pStyle w:val="TableInf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61669">
              <w:rPr>
                <w:rFonts w:asciiTheme="majorHAnsi" w:hAnsiTheme="majorHAnsi" w:cstheme="majorHAnsi"/>
              </w:rPr>
              <w:t>30 Nov 2027</w:t>
            </w:r>
          </w:p>
        </w:tc>
        <w:tc>
          <w:tcPr>
            <w:tcW w:w="3157" w:type="dxa"/>
          </w:tcPr>
          <w:p w14:paraId="000000C1" w14:textId="2F12EFF0" w:rsidR="000B0F63" w:rsidRPr="00A61669" w:rsidRDefault="00C05D22" w:rsidP="00890744">
            <w:pPr>
              <w:pStyle w:val="TableInf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61669">
              <w:rPr>
                <w:rFonts w:asciiTheme="majorHAnsi" w:hAnsiTheme="majorHAnsi" w:cstheme="majorHAnsi"/>
              </w:rPr>
              <w:t>Renegotiation or exit.</w:t>
            </w:r>
          </w:p>
        </w:tc>
        <w:tc>
          <w:tcPr>
            <w:tcW w:w="2236" w:type="dxa"/>
          </w:tcPr>
          <w:p w14:paraId="18D62754" w14:textId="0BDEC233" w:rsidR="00780FF9" w:rsidRPr="00A61669" w:rsidRDefault="00780FF9" w:rsidP="00890744">
            <w:pPr>
              <w:pStyle w:val="TableInf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61669">
              <w:rPr>
                <w:rFonts w:asciiTheme="majorHAnsi" w:hAnsiTheme="majorHAnsi" w:cstheme="majorHAnsi"/>
              </w:rPr>
              <w:t>£386K</w:t>
            </w:r>
          </w:p>
        </w:tc>
      </w:tr>
      <w:tr w:rsidR="009909BC" w14:paraId="7EEE1632" w14:textId="06900631" w:rsidTr="00890744">
        <w:trPr>
          <w:trHeight w:val="393"/>
        </w:trPr>
        <w:tc>
          <w:tcPr>
            <w:cnfStyle w:val="001000000000" w:firstRow="0" w:lastRow="0" w:firstColumn="1" w:lastColumn="0" w:oddVBand="0" w:evenVBand="0" w:oddHBand="0" w:evenHBand="0" w:firstRowFirstColumn="0" w:firstRowLastColumn="0" w:lastRowFirstColumn="0" w:lastRowLastColumn="0"/>
            <w:tcW w:w="2572" w:type="dxa"/>
          </w:tcPr>
          <w:p w14:paraId="000000C3" w14:textId="000000C4" w:rsidR="000B0F63" w:rsidRPr="00A61669" w:rsidRDefault="00C05D22" w:rsidP="00890744">
            <w:pPr>
              <w:pStyle w:val="TableInfo"/>
              <w:jc w:val="left"/>
              <w:rPr>
                <w:rFonts w:asciiTheme="majorHAnsi" w:hAnsiTheme="majorHAnsi" w:cstheme="majorHAnsi"/>
              </w:rPr>
            </w:pPr>
            <w:r w:rsidRPr="00A61669">
              <w:rPr>
                <w:rFonts w:asciiTheme="majorHAnsi" w:hAnsiTheme="majorHAnsi" w:cstheme="majorHAnsi"/>
              </w:rPr>
              <w:t>Slough datacentre (Digital Realty)</w:t>
            </w:r>
          </w:p>
        </w:tc>
        <w:tc>
          <w:tcPr>
            <w:tcW w:w="1964" w:type="dxa"/>
          </w:tcPr>
          <w:p w14:paraId="000000C5" w14:textId="000000C6" w:rsidR="000B0F63" w:rsidRPr="00A61669" w:rsidRDefault="00C05D22" w:rsidP="00890744">
            <w:pPr>
              <w:pStyle w:val="TableInf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61669">
              <w:rPr>
                <w:rFonts w:asciiTheme="majorHAnsi" w:hAnsiTheme="majorHAnsi" w:cstheme="majorHAnsi"/>
              </w:rPr>
              <w:t>30 Nov 2027</w:t>
            </w:r>
          </w:p>
        </w:tc>
        <w:tc>
          <w:tcPr>
            <w:tcW w:w="3157" w:type="dxa"/>
          </w:tcPr>
          <w:p w14:paraId="000000C7" w14:textId="7B6B5A5C" w:rsidR="000B0F63" w:rsidRPr="00A61669" w:rsidRDefault="00C05D22" w:rsidP="00890744">
            <w:pPr>
              <w:pStyle w:val="TableInf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61669">
              <w:rPr>
                <w:rFonts w:asciiTheme="majorHAnsi" w:hAnsiTheme="majorHAnsi" w:cstheme="majorHAnsi"/>
              </w:rPr>
              <w:t>Renegotiation or exit.</w:t>
            </w:r>
          </w:p>
        </w:tc>
        <w:tc>
          <w:tcPr>
            <w:tcW w:w="2236" w:type="dxa"/>
          </w:tcPr>
          <w:p w14:paraId="4DC25428" w14:textId="5D547379" w:rsidR="00780FF9" w:rsidRPr="00A61669" w:rsidRDefault="00780FF9" w:rsidP="00890744">
            <w:pPr>
              <w:pStyle w:val="TableInf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61669">
              <w:rPr>
                <w:rFonts w:asciiTheme="majorHAnsi" w:hAnsiTheme="majorHAnsi" w:cstheme="majorHAnsi"/>
              </w:rPr>
              <w:t>£338K</w:t>
            </w:r>
          </w:p>
        </w:tc>
      </w:tr>
      <w:tr w:rsidR="009909BC" w14:paraId="51D686BD" w14:textId="68961F1D" w:rsidTr="00890744">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2572" w:type="dxa"/>
          </w:tcPr>
          <w:p w14:paraId="000000C9" w14:textId="000000CA" w:rsidR="000B0F63" w:rsidRPr="00A61669" w:rsidRDefault="00C05D22" w:rsidP="00890744">
            <w:pPr>
              <w:pStyle w:val="TableInfo"/>
              <w:jc w:val="left"/>
              <w:rPr>
                <w:rFonts w:asciiTheme="majorHAnsi" w:hAnsiTheme="majorHAnsi" w:cstheme="majorHAnsi"/>
              </w:rPr>
            </w:pPr>
            <w:r w:rsidRPr="00A61669">
              <w:rPr>
                <w:rFonts w:asciiTheme="majorHAnsi" w:hAnsiTheme="majorHAnsi" w:cstheme="majorHAnsi"/>
              </w:rPr>
              <w:t>Sydney datacentre (Equinix)</w:t>
            </w:r>
          </w:p>
        </w:tc>
        <w:tc>
          <w:tcPr>
            <w:tcW w:w="1964" w:type="dxa"/>
          </w:tcPr>
          <w:p w14:paraId="000000CB" w14:textId="000000CC" w:rsidR="000B0F63" w:rsidRPr="00A61669" w:rsidRDefault="00C05D22" w:rsidP="00890744">
            <w:pPr>
              <w:pStyle w:val="TableInf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61669">
              <w:rPr>
                <w:rFonts w:asciiTheme="majorHAnsi" w:hAnsiTheme="majorHAnsi" w:cstheme="majorHAnsi"/>
              </w:rPr>
              <w:t>30 Jun 2028</w:t>
            </w:r>
          </w:p>
        </w:tc>
        <w:tc>
          <w:tcPr>
            <w:tcW w:w="3157" w:type="dxa"/>
          </w:tcPr>
          <w:p w14:paraId="000000CD" w14:textId="33361D54" w:rsidR="000B0F63" w:rsidRPr="00A61669" w:rsidRDefault="00C05D22" w:rsidP="00890744">
            <w:pPr>
              <w:pStyle w:val="TableInf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61669">
              <w:rPr>
                <w:rFonts w:asciiTheme="majorHAnsi" w:hAnsiTheme="majorHAnsi" w:cstheme="majorHAnsi"/>
              </w:rPr>
              <w:t>Renegotiation or exit. Flexible contract.</w:t>
            </w:r>
          </w:p>
        </w:tc>
        <w:tc>
          <w:tcPr>
            <w:tcW w:w="2236" w:type="dxa"/>
          </w:tcPr>
          <w:p w14:paraId="564FCE78" w14:textId="24DEC424" w:rsidR="00780FF9" w:rsidRPr="00A61669" w:rsidRDefault="00780FF9" w:rsidP="00890744">
            <w:pPr>
              <w:pStyle w:val="TableInf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61669">
              <w:rPr>
                <w:rFonts w:asciiTheme="majorHAnsi" w:hAnsiTheme="majorHAnsi" w:cstheme="majorHAnsi"/>
              </w:rPr>
              <w:t>£40K</w:t>
            </w:r>
          </w:p>
        </w:tc>
      </w:tr>
      <w:tr w:rsidR="009909BC" w14:paraId="65BF2F92" w14:textId="6E67E689" w:rsidTr="00890744">
        <w:trPr>
          <w:trHeight w:val="971"/>
        </w:trPr>
        <w:tc>
          <w:tcPr>
            <w:cnfStyle w:val="001000000000" w:firstRow="0" w:lastRow="0" w:firstColumn="1" w:lastColumn="0" w:oddVBand="0" w:evenVBand="0" w:oddHBand="0" w:evenHBand="0" w:firstRowFirstColumn="0" w:firstRowLastColumn="0" w:lastRowFirstColumn="0" w:lastRowLastColumn="0"/>
            <w:tcW w:w="2572" w:type="dxa"/>
          </w:tcPr>
          <w:p w14:paraId="000000CF" w14:textId="000000D0" w:rsidR="000B0F63" w:rsidRPr="00A61669" w:rsidRDefault="00C05D22" w:rsidP="00890744">
            <w:pPr>
              <w:pStyle w:val="TableInfo"/>
              <w:jc w:val="left"/>
              <w:rPr>
                <w:rFonts w:asciiTheme="majorHAnsi" w:hAnsiTheme="majorHAnsi" w:cstheme="majorHAnsi"/>
              </w:rPr>
            </w:pPr>
            <w:r w:rsidRPr="00A61669">
              <w:rPr>
                <w:rFonts w:asciiTheme="majorHAnsi" w:hAnsiTheme="majorHAnsi" w:cstheme="majorHAnsi"/>
              </w:rPr>
              <w:t>Oracle 24x7 support</w:t>
            </w:r>
          </w:p>
        </w:tc>
        <w:tc>
          <w:tcPr>
            <w:tcW w:w="1964" w:type="dxa"/>
          </w:tcPr>
          <w:p w14:paraId="000000D1" w14:textId="000000D2" w:rsidR="000B0F63" w:rsidRPr="00A61669" w:rsidRDefault="00C05D22" w:rsidP="00890744">
            <w:pPr>
              <w:pStyle w:val="TableInf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61669">
              <w:rPr>
                <w:rFonts w:asciiTheme="majorHAnsi" w:hAnsiTheme="majorHAnsi" w:cstheme="majorHAnsi"/>
              </w:rPr>
              <w:t>Ongoing, perpetual</w:t>
            </w:r>
          </w:p>
        </w:tc>
        <w:tc>
          <w:tcPr>
            <w:tcW w:w="3157" w:type="dxa"/>
          </w:tcPr>
          <w:p w14:paraId="000000D3" w14:textId="000000D4" w:rsidR="000B0F63" w:rsidRPr="00A61669" w:rsidRDefault="00C05D22" w:rsidP="00890744">
            <w:pPr>
              <w:pStyle w:val="TableInf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61669">
              <w:rPr>
                <w:rFonts w:asciiTheme="majorHAnsi" w:hAnsiTheme="majorHAnsi" w:cstheme="majorHAnsi"/>
              </w:rPr>
              <w:t>Near one-way: reinstatement after drop costs 150% plus back-support for lapsed period.</w:t>
            </w:r>
          </w:p>
        </w:tc>
        <w:tc>
          <w:tcPr>
            <w:tcW w:w="2236" w:type="dxa"/>
          </w:tcPr>
          <w:p w14:paraId="52B76ACC" w14:textId="3E0FE905" w:rsidR="00780FF9" w:rsidRPr="00A61669" w:rsidRDefault="00780FF9" w:rsidP="00890744">
            <w:pPr>
              <w:pStyle w:val="TableInf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909BC" w14:paraId="552D7C3C" w14:textId="132AD55A" w:rsidTr="00890744">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2572" w:type="dxa"/>
          </w:tcPr>
          <w:p w14:paraId="000000D5" w14:textId="000000D6" w:rsidR="000B0F63" w:rsidRPr="00A61669" w:rsidRDefault="00C05D22" w:rsidP="00890744">
            <w:pPr>
              <w:pStyle w:val="TableInfo"/>
              <w:jc w:val="left"/>
              <w:rPr>
                <w:rFonts w:asciiTheme="majorHAnsi" w:hAnsiTheme="majorHAnsi" w:cstheme="majorHAnsi"/>
              </w:rPr>
            </w:pPr>
            <w:r w:rsidRPr="00A61669">
              <w:rPr>
                <w:rFonts w:asciiTheme="majorHAnsi" w:hAnsiTheme="majorHAnsi" w:cstheme="majorHAnsi"/>
              </w:rPr>
              <w:t>Microsoft Enterprise Agreement</w:t>
            </w:r>
          </w:p>
        </w:tc>
        <w:tc>
          <w:tcPr>
            <w:tcW w:w="1964" w:type="dxa"/>
          </w:tcPr>
          <w:p w14:paraId="000000D7" w14:textId="000000D8" w:rsidR="000B0F63" w:rsidRPr="00A61669" w:rsidRDefault="00C05D22" w:rsidP="00890744">
            <w:pPr>
              <w:pStyle w:val="TableInf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61669">
              <w:rPr>
                <w:rFonts w:asciiTheme="majorHAnsi" w:hAnsiTheme="majorHAnsi" w:cstheme="majorHAnsi"/>
              </w:rPr>
              <w:t>31 May 2027</w:t>
            </w:r>
          </w:p>
        </w:tc>
        <w:tc>
          <w:tcPr>
            <w:tcW w:w="3157" w:type="dxa"/>
          </w:tcPr>
          <w:p w14:paraId="000000D9" w14:textId="2E5350E7" w:rsidR="000B0F63" w:rsidRPr="00A61669" w:rsidRDefault="00C05D22" w:rsidP="00890744">
            <w:pPr>
              <w:pStyle w:val="TableInf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61669">
              <w:rPr>
                <w:rFonts w:asciiTheme="majorHAnsi" w:hAnsiTheme="majorHAnsi" w:cstheme="majorHAnsi"/>
              </w:rPr>
              <w:t>Renewal or move to MCA.</w:t>
            </w:r>
          </w:p>
        </w:tc>
        <w:tc>
          <w:tcPr>
            <w:tcW w:w="2236" w:type="dxa"/>
          </w:tcPr>
          <w:p w14:paraId="7697C763" w14:textId="77777777" w:rsidR="00890744" w:rsidRPr="00A61669" w:rsidRDefault="00780FF9" w:rsidP="00890744">
            <w:pPr>
              <w:pStyle w:val="TableInf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61669">
              <w:rPr>
                <w:rFonts w:asciiTheme="majorHAnsi" w:hAnsiTheme="majorHAnsi" w:cstheme="majorHAnsi"/>
              </w:rPr>
              <w:t xml:space="preserve">£137K </w:t>
            </w:r>
            <w:r w:rsidR="00890744" w:rsidRPr="00A61669">
              <w:rPr>
                <w:rFonts w:asciiTheme="majorHAnsi" w:hAnsiTheme="majorHAnsi" w:cstheme="majorHAnsi"/>
              </w:rPr>
              <w:t>-</w:t>
            </w:r>
            <w:r w:rsidRPr="00A61669">
              <w:rPr>
                <w:rFonts w:asciiTheme="majorHAnsi" w:hAnsiTheme="majorHAnsi" w:cstheme="majorHAnsi"/>
              </w:rPr>
              <w:t xml:space="preserve"> Windows </w:t>
            </w:r>
          </w:p>
          <w:p w14:paraId="60BBD40E" w14:textId="12044FD5" w:rsidR="00780FF9" w:rsidRPr="00A61669" w:rsidRDefault="00780FF9" w:rsidP="00890744">
            <w:pPr>
              <w:pStyle w:val="TableInf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61669">
              <w:rPr>
                <w:rFonts w:asciiTheme="majorHAnsi" w:hAnsiTheme="majorHAnsi" w:cstheme="majorHAnsi"/>
              </w:rPr>
              <w:t xml:space="preserve">£119K </w:t>
            </w:r>
            <w:r w:rsidR="00890744" w:rsidRPr="00A61669">
              <w:rPr>
                <w:rFonts w:asciiTheme="majorHAnsi" w:hAnsiTheme="majorHAnsi" w:cstheme="majorHAnsi"/>
              </w:rPr>
              <w:t xml:space="preserve">- </w:t>
            </w:r>
            <w:r w:rsidRPr="00A61669">
              <w:rPr>
                <w:rFonts w:asciiTheme="majorHAnsi" w:hAnsiTheme="majorHAnsi" w:cstheme="majorHAnsi"/>
              </w:rPr>
              <w:t>SQL</w:t>
            </w:r>
          </w:p>
        </w:tc>
      </w:tr>
      <w:tr w:rsidR="009909BC" w14:paraId="34A230D1" w14:textId="0F15A0E0" w:rsidTr="00890744">
        <w:trPr>
          <w:trHeight w:val="393"/>
        </w:trPr>
        <w:tc>
          <w:tcPr>
            <w:cnfStyle w:val="001000000000" w:firstRow="0" w:lastRow="0" w:firstColumn="1" w:lastColumn="0" w:oddVBand="0" w:evenVBand="0" w:oddHBand="0" w:evenHBand="0" w:firstRowFirstColumn="0" w:firstRowLastColumn="0" w:lastRowFirstColumn="0" w:lastRowLastColumn="0"/>
            <w:tcW w:w="2572" w:type="dxa"/>
          </w:tcPr>
          <w:p w14:paraId="000000DB" w14:textId="000000DC" w:rsidR="000B0F63" w:rsidRPr="00A61669" w:rsidRDefault="00C05D22" w:rsidP="00890744">
            <w:pPr>
              <w:pStyle w:val="TableInfo"/>
              <w:jc w:val="left"/>
              <w:rPr>
                <w:rFonts w:asciiTheme="majorHAnsi" w:hAnsiTheme="majorHAnsi" w:cstheme="majorHAnsi"/>
              </w:rPr>
            </w:pPr>
            <w:r w:rsidRPr="00A61669">
              <w:rPr>
                <w:rFonts w:asciiTheme="majorHAnsi" w:hAnsiTheme="majorHAnsi" w:cstheme="majorHAnsi"/>
                <w:lang w:val="en-GB"/>
              </w:rPr>
              <w:t>Microsoft Bluesource support</w:t>
            </w:r>
          </w:p>
        </w:tc>
        <w:tc>
          <w:tcPr>
            <w:tcW w:w="1964" w:type="dxa"/>
          </w:tcPr>
          <w:p w14:paraId="000000DD" w14:textId="000000DE" w:rsidR="000B0F63" w:rsidRPr="00A61669" w:rsidRDefault="00C05D22" w:rsidP="00890744">
            <w:pPr>
              <w:pStyle w:val="TableInf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61669">
              <w:rPr>
                <w:rFonts w:asciiTheme="majorHAnsi" w:hAnsiTheme="majorHAnsi" w:cstheme="majorHAnsi"/>
              </w:rPr>
              <w:t>10 Oct 2027</w:t>
            </w:r>
          </w:p>
        </w:tc>
        <w:tc>
          <w:tcPr>
            <w:tcW w:w="3157" w:type="dxa"/>
          </w:tcPr>
          <w:p w14:paraId="000000DF" w14:textId="168C462C" w:rsidR="000B0F63" w:rsidRPr="00A61669" w:rsidRDefault="00C05D22" w:rsidP="00890744">
            <w:pPr>
              <w:pStyle w:val="TableInf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61669">
              <w:rPr>
                <w:rFonts w:asciiTheme="majorHAnsi" w:hAnsiTheme="majorHAnsi" w:cstheme="majorHAnsi"/>
              </w:rPr>
              <w:t>Renewal or replacement.</w:t>
            </w:r>
          </w:p>
        </w:tc>
        <w:tc>
          <w:tcPr>
            <w:tcW w:w="2236" w:type="dxa"/>
          </w:tcPr>
          <w:p w14:paraId="36ABC26A" w14:textId="4101D839" w:rsidR="00780FF9" w:rsidRPr="00A61669" w:rsidRDefault="00780FF9" w:rsidP="00890744">
            <w:pPr>
              <w:pStyle w:val="TableInf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61669">
              <w:rPr>
                <w:rFonts w:asciiTheme="majorHAnsi" w:hAnsiTheme="majorHAnsi" w:cstheme="majorHAnsi"/>
              </w:rPr>
              <w:t>£80</w:t>
            </w:r>
            <w:r w:rsidR="00890744" w:rsidRPr="00A61669">
              <w:rPr>
                <w:rFonts w:asciiTheme="majorHAnsi" w:hAnsiTheme="majorHAnsi" w:cstheme="majorHAnsi"/>
              </w:rPr>
              <w:t>K</w:t>
            </w:r>
          </w:p>
        </w:tc>
      </w:tr>
      <w:tr w:rsidR="009909BC" w14:paraId="5F5ADCBD" w14:textId="6EE896D4" w:rsidTr="00890744">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2572" w:type="dxa"/>
          </w:tcPr>
          <w:p w14:paraId="000000E1" w14:textId="000000E2" w:rsidR="000B0F63" w:rsidRPr="00A61669" w:rsidRDefault="00C05D22" w:rsidP="00890744">
            <w:pPr>
              <w:pStyle w:val="TableInfo"/>
              <w:jc w:val="left"/>
              <w:rPr>
                <w:rFonts w:asciiTheme="majorHAnsi" w:hAnsiTheme="majorHAnsi" w:cstheme="majorHAnsi"/>
              </w:rPr>
            </w:pPr>
            <w:r w:rsidRPr="00A61669">
              <w:rPr>
                <w:rFonts w:asciiTheme="majorHAnsi" w:hAnsiTheme="majorHAnsi" w:cstheme="majorHAnsi"/>
              </w:rPr>
              <w:t>Broadcom VMware support and subscription</w:t>
            </w:r>
          </w:p>
        </w:tc>
        <w:tc>
          <w:tcPr>
            <w:tcW w:w="1964" w:type="dxa"/>
          </w:tcPr>
          <w:p w14:paraId="000000E3" w14:textId="000000E4" w:rsidR="000B0F63" w:rsidRPr="00A61669" w:rsidRDefault="00C05D22" w:rsidP="00890744">
            <w:pPr>
              <w:pStyle w:val="TableInf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61669">
              <w:rPr>
                <w:rFonts w:asciiTheme="majorHAnsi" w:hAnsiTheme="majorHAnsi" w:cstheme="majorHAnsi"/>
              </w:rPr>
              <w:t>Expired / expiring</w:t>
            </w:r>
          </w:p>
        </w:tc>
        <w:tc>
          <w:tcPr>
            <w:tcW w:w="3157" w:type="dxa"/>
          </w:tcPr>
          <w:p w14:paraId="000000E5" w14:textId="000000E6" w:rsidR="000B0F63" w:rsidRPr="00A61669" w:rsidRDefault="00C05D22" w:rsidP="00890744">
            <w:pPr>
              <w:pStyle w:val="TableInf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61669">
              <w:rPr>
                <w:rFonts w:asciiTheme="majorHAnsi" w:hAnsiTheme="majorHAnsi" w:cstheme="majorHAnsi"/>
              </w:rPr>
              <w:t>See Broadcom position below.</w:t>
            </w:r>
          </w:p>
        </w:tc>
        <w:tc>
          <w:tcPr>
            <w:tcW w:w="2236" w:type="dxa"/>
          </w:tcPr>
          <w:p w14:paraId="61275607" w14:textId="40BA2A9E" w:rsidR="00780FF9" w:rsidRPr="00A61669" w:rsidRDefault="00780FF9" w:rsidP="00890744">
            <w:pPr>
              <w:pStyle w:val="TableInf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bl>
    <w:p w14:paraId="4C1DDB31" w14:textId="77777777" w:rsidR="00354D99" w:rsidRPr="00A61669" w:rsidRDefault="00354D99" w:rsidP="00E40261">
      <w:pPr>
        <w:jc w:val="both"/>
        <w:rPr>
          <w:rFonts w:asciiTheme="majorHAnsi" w:hAnsiTheme="majorHAnsi" w:cstheme="majorHAnsi"/>
        </w:rPr>
      </w:pPr>
    </w:p>
    <w:p w14:paraId="000000E7" w14:textId="64C11718" w:rsidR="000B0F63" w:rsidRPr="00A61669" w:rsidRDefault="00C05D22" w:rsidP="00E40261">
      <w:pPr>
        <w:jc w:val="both"/>
        <w:rPr>
          <w:rFonts w:asciiTheme="majorHAnsi" w:hAnsiTheme="majorHAnsi" w:cstheme="majorHAnsi"/>
        </w:rPr>
      </w:pPr>
      <w:r w:rsidRPr="00A61669">
        <w:rPr>
          <w:rFonts w:asciiTheme="majorHAnsi" w:hAnsiTheme="majorHAnsi" w:cstheme="majorHAnsi"/>
        </w:rPr>
        <w:t>Every contract in this table renews or expires within a two-year window. Extending any of them independently re-locks capital for another period. Co-ordinating exit reduces compounding sunk cost commitments and preserves the option value of a cloud migration.</w:t>
      </w:r>
    </w:p>
    <w:p w14:paraId="000000E9" w14:textId="000000EA" w:rsidR="000B0F63" w:rsidRPr="00A61669" w:rsidRDefault="1BAB210A" w:rsidP="00E40261">
      <w:pPr>
        <w:pStyle w:val="Heading3"/>
        <w:jc w:val="both"/>
        <w:rPr>
          <w:rFonts w:asciiTheme="majorHAnsi" w:hAnsiTheme="majorHAnsi" w:cstheme="majorHAnsi"/>
        </w:rPr>
      </w:pPr>
      <w:bookmarkStart w:id="50" w:name="_Toc127"/>
      <w:bookmarkStart w:id="51" w:name="_Toc227770908"/>
      <w:r w:rsidRPr="00A61669">
        <w:rPr>
          <w:rFonts w:asciiTheme="majorHAnsi" w:hAnsiTheme="majorHAnsi" w:cstheme="majorHAnsi"/>
        </w:rPr>
        <w:t>Broadcom VMware perpetual licence position (KB Article 429208)</w:t>
      </w:r>
      <w:bookmarkEnd w:id="50"/>
      <w:bookmarkEnd w:id="51"/>
    </w:p>
    <w:p w14:paraId="30AEE3EB" w14:textId="236422DE" w:rsidR="00134D2B" w:rsidRPr="00A61669" w:rsidRDefault="00C05D22" w:rsidP="00E40261">
      <w:pPr>
        <w:jc w:val="both"/>
        <w:rPr>
          <w:rFonts w:asciiTheme="majorHAnsi" w:hAnsiTheme="majorHAnsi" w:cstheme="majorHAnsi"/>
        </w:rPr>
      </w:pPr>
      <w:r w:rsidRPr="00A61669">
        <w:rPr>
          <w:rFonts w:asciiTheme="majorHAnsi" w:hAnsiTheme="majorHAnsi" w:cstheme="majorHAnsi"/>
        </w:rPr>
        <w:t xml:space="preserve">Since Broadcom acquired VMware, the licensing model has changed. </w:t>
      </w:r>
      <w:r w:rsidR="007415CD" w:rsidRPr="00A61669">
        <w:rPr>
          <w:rFonts w:asciiTheme="majorHAnsi" w:hAnsiTheme="majorHAnsi" w:cstheme="majorHAnsi"/>
        </w:rPr>
        <w:t>DMG Media</w:t>
      </w:r>
      <w:r w:rsidRPr="00A61669">
        <w:rPr>
          <w:rFonts w:asciiTheme="majorHAnsi" w:hAnsiTheme="majorHAnsi" w:cstheme="majorHAnsi"/>
        </w:rPr>
        <w:t xml:space="preserve"> hold perpetual VMware licences with Support and Subscription (SnS) that has expired or is expiring. </w:t>
      </w:r>
    </w:p>
    <w:p w14:paraId="000000EB" w14:textId="321026D7" w:rsidR="000B0F63" w:rsidRPr="00A61669" w:rsidRDefault="00C05D22" w:rsidP="00E40261">
      <w:pPr>
        <w:jc w:val="both"/>
        <w:rPr>
          <w:rFonts w:asciiTheme="majorHAnsi" w:hAnsiTheme="majorHAnsi" w:cstheme="majorHAnsi"/>
        </w:rPr>
      </w:pPr>
      <w:r w:rsidRPr="00A61669">
        <w:rPr>
          <w:rFonts w:asciiTheme="majorHAnsi" w:hAnsiTheme="majorHAnsi" w:cstheme="majorHAnsi"/>
        </w:rPr>
        <w:t>This creates a specific risk profile:</w:t>
      </w:r>
    </w:p>
    <w:p w14:paraId="000000ED" w14:textId="000000EE" w:rsidR="000B0F63" w:rsidRPr="00A61669" w:rsidRDefault="1BAB210A" w:rsidP="00E40261">
      <w:pPr>
        <w:pStyle w:val="Heading4"/>
        <w:jc w:val="both"/>
        <w:rPr>
          <w:rFonts w:asciiTheme="majorHAnsi" w:hAnsiTheme="majorHAnsi" w:cstheme="majorHAnsi"/>
        </w:rPr>
      </w:pPr>
      <w:bookmarkStart w:id="52" w:name="_Toc227770909"/>
      <w:r w:rsidRPr="00A61669">
        <w:rPr>
          <w:rFonts w:asciiTheme="majorHAnsi" w:hAnsiTheme="majorHAnsi" w:cstheme="majorHAnsi"/>
        </w:rPr>
        <w:t>What continues to work</w:t>
      </w:r>
      <w:bookmarkEnd w:id="52"/>
    </w:p>
    <w:p w14:paraId="000000EF" w14:textId="000000F0" w:rsidR="000B0F63" w:rsidRPr="00A61669" w:rsidRDefault="00C05D22" w:rsidP="00EC2FA3">
      <w:pPr>
        <w:pStyle w:val="ListBullet"/>
        <w:numPr>
          <w:ilvl w:val="0"/>
          <w:numId w:val="6"/>
        </w:numPr>
        <w:spacing w:after="0"/>
        <w:jc w:val="both"/>
        <w:rPr>
          <w:rFonts w:asciiTheme="majorHAnsi" w:hAnsiTheme="majorHAnsi" w:cstheme="majorHAnsi"/>
        </w:rPr>
      </w:pPr>
      <w:r w:rsidRPr="00A61669">
        <w:rPr>
          <w:rFonts w:asciiTheme="majorHAnsi" w:hAnsiTheme="majorHAnsi" w:cstheme="majorHAnsi"/>
        </w:rPr>
        <w:t>ESXi hosts and vCenter continue to operate normally</w:t>
      </w:r>
    </w:p>
    <w:p w14:paraId="000000F1" w14:textId="000000F2" w:rsidR="000B0F63" w:rsidRPr="00A61669" w:rsidRDefault="00C05D22" w:rsidP="00EC2FA3">
      <w:pPr>
        <w:pStyle w:val="ListBullet"/>
        <w:numPr>
          <w:ilvl w:val="0"/>
          <w:numId w:val="6"/>
        </w:numPr>
        <w:spacing w:after="0"/>
        <w:jc w:val="both"/>
        <w:rPr>
          <w:rFonts w:asciiTheme="majorHAnsi" w:hAnsiTheme="majorHAnsi" w:cstheme="majorHAnsi"/>
        </w:rPr>
      </w:pPr>
      <w:r w:rsidRPr="00A61669">
        <w:rPr>
          <w:rFonts w:asciiTheme="majorHAnsi" w:hAnsiTheme="majorHAnsi" w:cstheme="majorHAnsi"/>
        </w:rPr>
        <w:t>No automated shutdown, all virtual machines remain powered on</w:t>
      </w:r>
    </w:p>
    <w:p w14:paraId="000000F3" w14:textId="3C7FEC89" w:rsidR="000B0F63" w:rsidRPr="00A61669" w:rsidRDefault="00C05D22" w:rsidP="00EC2FA3">
      <w:pPr>
        <w:pStyle w:val="ListBullet"/>
        <w:numPr>
          <w:ilvl w:val="0"/>
          <w:numId w:val="6"/>
        </w:numPr>
        <w:spacing w:after="0"/>
        <w:jc w:val="both"/>
        <w:rPr>
          <w:rFonts w:asciiTheme="majorHAnsi" w:hAnsiTheme="majorHAnsi" w:cstheme="majorHAnsi"/>
        </w:rPr>
      </w:pPr>
      <w:r w:rsidRPr="00A61669">
        <w:rPr>
          <w:rFonts w:asciiTheme="majorHAnsi" w:hAnsiTheme="majorHAnsi" w:cstheme="majorHAnsi"/>
        </w:rPr>
        <w:t xml:space="preserve">All management tasks </w:t>
      </w:r>
      <w:r w:rsidR="00AE0A3D" w:rsidRPr="00A61669">
        <w:rPr>
          <w:rFonts w:asciiTheme="majorHAnsi" w:hAnsiTheme="majorHAnsi" w:cstheme="majorHAnsi"/>
        </w:rPr>
        <w:t xml:space="preserve">are </w:t>
      </w:r>
      <w:r w:rsidRPr="00A61669">
        <w:rPr>
          <w:rFonts w:asciiTheme="majorHAnsi" w:hAnsiTheme="majorHAnsi" w:cstheme="majorHAnsi"/>
        </w:rPr>
        <w:t>functional</w:t>
      </w:r>
    </w:p>
    <w:p w14:paraId="000000F5" w14:textId="000000F6" w:rsidR="00134D2B" w:rsidRPr="00A61669" w:rsidRDefault="00C05D22" w:rsidP="00EC2FA3">
      <w:pPr>
        <w:pStyle w:val="ListBullet"/>
        <w:numPr>
          <w:ilvl w:val="0"/>
          <w:numId w:val="6"/>
        </w:numPr>
        <w:jc w:val="both"/>
        <w:rPr>
          <w:rFonts w:asciiTheme="majorHAnsi" w:hAnsiTheme="majorHAnsi" w:cstheme="majorHAnsi"/>
        </w:rPr>
      </w:pPr>
      <w:r w:rsidRPr="00A61669">
        <w:rPr>
          <w:rFonts w:asciiTheme="majorHAnsi" w:hAnsiTheme="majorHAnsi" w:cstheme="majorHAnsi"/>
        </w:rPr>
        <w:t>All features entitled by the current licence edition remain unlocked</w:t>
      </w:r>
    </w:p>
    <w:p w14:paraId="000000F7" w14:textId="000000F8" w:rsidR="000B0F63" w:rsidRPr="00A61669" w:rsidRDefault="1BAB210A" w:rsidP="00E40261">
      <w:pPr>
        <w:pStyle w:val="Heading4"/>
        <w:jc w:val="both"/>
        <w:rPr>
          <w:rFonts w:asciiTheme="majorHAnsi" w:hAnsiTheme="majorHAnsi" w:cstheme="majorHAnsi"/>
        </w:rPr>
      </w:pPr>
      <w:bookmarkStart w:id="53" w:name="_Toc227770910"/>
      <w:r w:rsidRPr="00A61669">
        <w:rPr>
          <w:rFonts w:asciiTheme="majorHAnsi" w:hAnsiTheme="majorHAnsi" w:cstheme="majorHAnsi"/>
        </w:rPr>
        <w:t>What stops working</w:t>
      </w:r>
      <w:bookmarkEnd w:id="53"/>
    </w:p>
    <w:p w14:paraId="000000F9" w14:textId="000000FA" w:rsidR="000B0F63" w:rsidRPr="00A61669" w:rsidRDefault="00C05D22" w:rsidP="00EC2FA3">
      <w:pPr>
        <w:pStyle w:val="ListBullet"/>
        <w:numPr>
          <w:ilvl w:val="0"/>
          <w:numId w:val="7"/>
        </w:numPr>
        <w:spacing w:after="0"/>
        <w:jc w:val="both"/>
        <w:rPr>
          <w:rFonts w:asciiTheme="majorHAnsi" w:hAnsiTheme="majorHAnsi" w:cstheme="majorHAnsi"/>
        </w:rPr>
      </w:pPr>
      <w:r w:rsidRPr="00A61669">
        <w:rPr>
          <w:rFonts w:asciiTheme="majorHAnsi" w:hAnsiTheme="majorHAnsi" w:cstheme="majorHAnsi"/>
        </w:rPr>
        <w:t>No access to the Broadcom Support Portal for patches, security updates, or version releases</w:t>
      </w:r>
    </w:p>
    <w:p w14:paraId="000000FB" w14:textId="000000FC" w:rsidR="000B0F63" w:rsidRPr="00A61669" w:rsidRDefault="00C05D22" w:rsidP="00EC2FA3">
      <w:pPr>
        <w:pStyle w:val="ListBullet"/>
        <w:numPr>
          <w:ilvl w:val="0"/>
          <w:numId w:val="7"/>
        </w:numPr>
        <w:spacing w:after="0"/>
        <w:jc w:val="both"/>
        <w:rPr>
          <w:rFonts w:asciiTheme="majorHAnsi" w:hAnsiTheme="majorHAnsi" w:cstheme="majorHAnsi"/>
        </w:rPr>
      </w:pPr>
      <w:r w:rsidRPr="00A61669">
        <w:rPr>
          <w:rFonts w:asciiTheme="majorHAnsi" w:hAnsiTheme="majorHAnsi" w:cstheme="majorHAnsi"/>
        </w:rPr>
        <w:t>No ability to open support requests</w:t>
      </w:r>
    </w:p>
    <w:p w14:paraId="000000FD" w14:textId="56767A8A" w:rsidR="000B0F63" w:rsidRPr="00A61669" w:rsidRDefault="00C05D22" w:rsidP="00EC2FA3">
      <w:pPr>
        <w:pStyle w:val="ListBullet"/>
        <w:numPr>
          <w:ilvl w:val="0"/>
          <w:numId w:val="7"/>
        </w:numPr>
        <w:spacing w:after="0"/>
        <w:jc w:val="both"/>
        <w:rPr>
          <w:rFonts w:asciiTheme="majorHAnsi" w:hAnsiTheme="majorHAnsi" w:cstheme="majorHAnsi"/>
        </w:rPr>
      </w:pPr>
      <w:r w:rsidRPr="00A61669">
        <w:rPr>
          <w:rFonts w:asciiTheme="majorHAnsi" w:hAnsiTheme="majorHAnsi" w:cstheme="majorHAnsi"/>
        </w:rPr>
        <w:t>Security posture degrades over time because patches cannot be retrieved. Multiple actively</w:t>
      </w:r>
      <w:r w:rsidR="00AE0A3D" w:rsidRPr="00A61669">
        <w:rPr>
          <w:rFonts w:asciiTheme="majorHAnsi" w:hAnsiTheme="majorHAnsi" w:cstheme="majorHAnsi"/>
        </w:rPr>
        <w:t xml:space="preserve"> </w:t>
      </w:r>
      <w:r w:rsidRPr="00A61669">
        <w:rPr>
          <w:rFonts w:asciiTheme="majorHAnsi" w:hAnsiTheme="majorHAnsi" w:cstheme="majorHAnsi"/>
        </w:rPr>
        <w:t>exploited zero-day vulnerabilities in VMware ESXi and Workstation have been disclosed in 2025 (CVE-2025-22224, CVE-2025-22225, CVE-2025-22226). DMG Media's ability to patch against newly</w:t>
      </w:r>
      <w:r w:rsidR="00FE6DBA" w:rsidRPr="00A61669">
        <w:rPr>
          <w:rFonts w:asciiTheme="majorHAnsi" w:hAnsiTheme="majorHAnsi" w:cstheme="majorHAnsi"/>
        </w:rPr>
        <w:t xml:space="preserve"> </w:t>
      </w:r>
      <w:r w:rsidRPr="00A61669">
        <w:rPr>
          <w:rFonts w:asciiTheme="majorHAnsi" w:hAnsiTheme="majorHAnsi" w:cstheme="majorHAnsi"/>
        </w:rPr>
        <w:t>disclosed VMware CVEs depends on an active SnS contract, which is not currently in place.</w:t>
      </w:r>
    </w:p>
    <w:p w14:paraId="000000FF" w14:textId="00000100" w:rsidR="000B0F63" w:rsidRPr="00A61669" w:rsidRDefault="00C05D22" w:rsidP="00EC2FA3">
      <w:pPr>
        <w:pStyle w:val="ListBullet"/>
        <w:numPr>
          <w:ilvl w:val="0"/>
          <w:numId w:val="7"/>
        </w:numPr>
        <w:spacing w:after="0"/>
        <w:jc w:val="both"/>
        <w:rPr>
          <w:rFonts w:asciiTheme="majorHAnsi" w:hAnsiTheme="majorHAnsi" w:cstheme="majorHAnsi"/>
        </w:rPr>
      </w:pPr>
      <w:r w:rsidRPr="00A61669">
        <w:rPr>
          <w:rFonts w:asciiTheme="majorHAnsi" w:hAnsiTheme="majorHAnsi" w:cstheme="majorHAnsi"/>
        </w:rPr>
        <w:t>No new ESXi hosts can be added to the environment</w:t>
      </w:r>
    </w:p>
    <w:p w14:paraId="00000101" w14:textId="00000102" w:rsidR="000B0F63" w:rsidRPr="00A61669" w:rsidRDefault="00C05D22" w:rsidP="00EC2FA3">
      <w:pPr>
        <w:pStyle w:val="ListBullet"/>
        <w:numPr>
          <w:ilvl w:val="0"/>
          <w:numId w:val="7"/>
        </w:numPr>
        <w:spacing w:after="0"/>
        <w:jc w:val="both"/>
        <w:rPr>
          <w:rFonts w:asciiTheme="majorHAnsi" w:hAnsiTheme="majorHAnsi" w:cstheme="majorHAnsi"/>
        </w:rPr>
      </w:pPr>
      <w:r w:rsidRPr="00A61669">
        <w:rPr>
          <w:rFonts w:asciiTheme="majorHAnsi" w:hAnsiTheme="majorHAnsi" w:cstheme="majorHAnsi"/>
        </w:rPr>
        <w:t>No major version upgrades without active SnS</w:t>
      </w:r>
    </w:p>
    <w:p w14:paraId="00000103" w14:textId="677A8BAD" w:rsidR="000B0F63" w:rsidRPr="00A61669" w:rsidRDefault="00C05D22" w:rsidP="00EC2FA3">
      <w:pPr>
        <w:pStyle w:val="ListParagraph"/>
        <w:numPr>
          <w:ilvl w:val="0"/>
          <w:numId w:val="7"/>
        </w:numPr>
        <w:spacing w:after="0"/>
        <w:jc w:val="both"/>
        <w:rPr>
          <w:rFonts w:asciiTheme="majorHAnsi" w:hAnsiTheme="majorHAnsi" w:cstheme="majorHAnsi"/>
        </w:rPr>
      </w:pPr>
      <w:r w:rsidRPr="00A61669">
        <w:rPr>
          <w:rFonts w:asciiTheme="majorHAnsi" w:hAnsiTheme="majorHAnsi" w:cstheme="majorHAnsi"/>
        </w:rPr>
        <w:lastRenderedPageBreak/>
        <w:t xml:space="preserve">Broadcom has ended perpetual licensing for new purchases. If </w:t>
      </w:r>
      <w:r w:rsidR="007415CD" w:rsidRPr="00A61669">
        <w:rPr>
          <w:rFonts w:asciiTheme="majorHAnsi" w:hAnsiTheme="majorHAnsi" w:cstheme="majorHAnsi"/>
        </w:rPr>
        <w:t>DMG Media</w:t>
      </w:r>
      <w:r w:rsidRPr="00A61669">
        <w:rPr>
          <w:rFonts w:asciiTheme="majorHAnsi" w:hAnsiTheme="majorHAnsi" w:cstheme="majorHAnsi"/>
        </w:rPr>
        <w:t xml:space="preserve"> ever need to expand or upgrade, the only path is VCF subscription licensing. This is not a scare tactic; it is a factual description of where the VMware estate sits today.</w:t>
      </w:r>
    </w:p>
    <w:p w14:paraId="10D2A28E" w14:textId="5E0EC275" w:rsidR="00F5444F" w:rsidRPr="00A61669" w:rsidRDefault="00F5444F" w:rsidP="00F5444F">
      <w:pPr>
        <w:pStyle w:val="InsetText"/>
        <w:numPr>
          <w:ilvl w:val="0"/>
          <w:numId w:val="7"/>
        </w:numPr>
        <w:jc w:val="both"/>
        <w:rPr>
          <w:rFonts w:asciiTheme="majorHAnsi" w:hAnsiTheme="majorHAnsi" w:cstheme="majorHAnsi"/>
        </w:rPr>
      </w:pPr>
      <w:r w:rsidRPr="00A61669">
        <w:rPr>
          <w:rFonts w:asciiTheme="majorHAnsi" w:hAnsiTheme="majorHAnsi" w:cstheme="majorHAnsi"/>
        </w:rPr>
        <w:t>DMG should consider i</w:t>
      </w:r>
      <w:r w:rsidR="00C05D22" w:rsidRPr="00A61669">
        <w:rPr>
          <w:rFonts w:asciiTheme="majorHAnsi" w:hAnsiTheme="majorHAnsi" w:cstheme="majorHAnsi"/>
        </w:rPr>
        <w:t xml:space="preserve">ndicative VCF subscription pricing </w:t>
      </w:r>
      <w:r w:rsidRPr="00A61669">
        <w:rPr>
          <w:rFonts w:asciiTheme="majorHAnsi" w:hAnsiTheme="majorHAnsi" w:cstheme="majorHAnsi"/>
        </w:rPr>
        <w:t xml:space="preserve">- Without this figure, the on-premises baseline is understated. The true cost of staying includes a VCF subscription that is not yet quantified, or costs to migrate to ProxMox or other similar solution. </w:t>
      </w:r>
    </w:p>
    <w:p w14:paraId="00000107" w14:textId="00000108" w:rsidR="000B0F63" w:rsidRPr="00A61669" w:rsidRDefault="1BAB210A" w:rsidP="00E40261">
      <w:pPr>
        <w:pStyle w:val="Heading3"/>
        <w:jc w:val="both"/>
        <w:rPr>
          <w:rFonts w:asciiTheme="majorHAnsi" w:hAnsiTheme="majorHAnsi" w:cstheme="majorHAnsi"/>
        </w:rPr>
      </w:pPr>
      <w:bookmarkStart w:id="54" w:name="_Toc128"/>
      <w:bookmarkStart w:id="55" w:name="_Toc227770911"/>
      <w:r w:rsidRPr="00A61669">
        <w:rPr>
          <w:rFonts w:asciiTheme="majorHAnsi" w:hAnsiTheme="majorHAnsi" w:cstheme="majorHAnsi"/>
        </w:rPr>
        <w:t>Operational fragmentation</w:t>
      </w:r>
      <w:bookmarkEnd w:id="54"/>
      <w:bookmarkEnd w:id="55"/>
    </w:p>
    <w:p w14:paraId="00000109" w14:textId="13D7DECC" w:rsidR="000B0F63" w:rsidRPr="00A61669" w:rsidRDefault="00C05D22" w:rsidP="00E40261">
      <w:pPr>
        <w:jc w:val="both"/>
        <w:rPr>
          <w:rFonts w:asciiTheme="majorHAnsi" w:hAnsiTheme="majorHAnsi" w:cstheme="majorHAnsi"/>
        </w:rPr>
      </w:pPr>
      <w:r w:rsidRPr="00A61669">
        <w:rPr>
          <w:rFonts w:asciiTheme="majorHAnsi" w:hAnsiTheme="majorHAnsi" w:cstheme="majorHAnsi"/>
        </w:rPr>
        <w:t>170 technology staff across seven operating areas, running different tooling, processes, and standards</w:t>
      </w:r>
      <w:r w:rsidR="00450E54" w:rsidRPr="00A61669">
        <w:rPr>
          <w:rFonts w:asciiTheme="majorHAnsi" w:hAnsiTheme="majorHAnsi" w:cstheme="majorHAnsi"/>
        </w:rPr>
        <w:t xml:space="preserve"> </w:t>
      </w:r>
      <w:r w:rsidRPr="00A61669">
        <w:rPr>
          <w:rFonts w:asciiTheme="majorHAnsi" w:hAnsiTheme="majorHAnsi" w:cstheme="majorHAnsi"/>
        </w:rPr>
        <w:t xml:space="preserve">actively limits what can be done operationally. </w:t>
      </w:r>
      <w:r w:rsidR="0085486B" w:rsidRPr="00A61669">
        <w:rPr>
          <w:rFonts w:asciiTheme="majorHAnsi" w:hAnsiTheme="majorHAnsi" w:cstheme="majorHAnsi"/>
        </w:rPr>
        <w:t>During discovery, we observed distinct access patterns across business areas: different credential stores (</w:t>
      </w:r>
      <w:r w:rsidR="00CF1BB2" w:rsidRPr="00A61669">
        <w:rPr>
          <w:rFonts w:asciiTheme="majorHAnsi" w:hAnsiTheme="majorHAnsi" w:cstheme="majorHAnsi"/>
        </w:rPr>
        <w:t>eg:</w:t>
      </w:r>
      <w:r w:rsidR="0085486B" w:rsidRPr="00A61669">
        <w:rPr>
          <w:rFonts w:asciiTheme="majorHAnsi" w:hAnsiTheme="majorHAnsi" w:cstheme="majorHAnsi"/>
        </w:rPr>
        <w:t xml:space="preserve">, </w:t>
      </w:r>
      <w:r w:rsidR="00CF1BB2" w:rsidRPr="00A61669">
        <w:rPr>
          <w:rFonts w:asciiTheme="majorHAnsi" w:hAnsiTheme="majorHAnsi" w:cstheme="majorHAnsi"/>
        </w:rPr>
        <w:t>‘</w:t>
      </w:r>
      <w:r w:rsidR="00390F14" w:rsidRPr="00A61669">
        <w:rPr>
          <w:rFonts w:asciiTheme="majorHAnsi" w:hAnsiTheme="majorHAnsi" w:cstheme="majorHAnsi"/>
        </w:rPr>
        <w:t>molsupport</w:t>
      </w:r>
      <w:r w:rsidR="00CF1BB2" w:rsidRPr="00A61669">
        <w:rPr>
          <w:rFonts w:asciiTheme="majorHAnsi" w:hAnsiTheme="majorHAnsi" w:cstheme="majorHAnsi"/>
        </w:rPr>
        <w:t>’</w:t>
      </w:r>
      <w:r w:rsidR="0085486B" w:rsidRPr="00A61669">
        <w:rPr>
          <w:rFonts w:asciiTheme="majorHAnsi" w:hAnsiTheme="majorHAnsi" w:cstheme="majorHAnsi"/>
        </w:rPr>
        <w:t xml:space="preserve"> and </w:t>
      </w:r>
      <w:r w:rsidR="00CF1BB2" w:rsidRPr="00A61669">
        <w:rPr>
          <w:rFonts w:asciiTheme="majorHAnsi" w:hAnsiTheme="majorHAnsi" w:cstheme="majorHAnsi"/>
        </w:rPr>
        <w:t>‘</w:t>
      </w:r>
      <w:r w:rsidR="0085486B" w:rsidRPr="00A61669">
        <w:rPr>
          <w:rFonts w:asciiTheme="majorHAnsi" w:hAnsiTheme="majorHAnsi" w:cstheme="majorHAnsi"/>
        </w:rPr>
        <w:t>funcacct</w:t>
      </w:r>
      <w:r w:rsidR="00CF1BB2" w:rsidRPr="00A61669">
        <w:rPr>
          <w:rFonts w:asciiTheme="majorHAnsi" w:hAnsiTheme="majorHAnsi" w:cstheme="majorHAnsi"/>
        </w:rPr>
        <w:t>’</w:t>
      </w:r>
      <w:r w:rsidR="0085486B" w:rsidRPr="00A61669">
        <w:rPr>
          <w:rFonts w:asciiTheme="majorHAnsi" w:hAnsiTheme="majorHAnsi" w:cstheme="majorHAnsi"/>
        </w:rPr>
        <w:t xml:space="preserve"> use separate authentication paths), different approval chains, and varying levels of documentation maturity.</w:t>
      </w:r>
      <w:r w:rsidRPr="00A61669">
        <w:rPr>
          <w:rFonts w:asciiTheme="majorHAnsi" w:hAnsiTheme="majorHAnsi" w:cstheme="majorHAnsi"/>
        </w:rPr>
        <w:t xml:space="preserve"> Without a consistent control plane, the cost of any change is amplified across brands.</w:t>
      </w:r>
    </w:p>
    <w:p w14:paraId="0000010B" w14:textId="292643B4"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Public cloud gives </w:t>
      </w:r>
      <w:r w:rsidR="007415CD" w:rsidRPr="00A61669">
        <w:rPr>
          <w:rFonts w:asciiTheme="majorHAnsi" w:hAnsiTheme="majorHAnsi" w:cstheme="majorHAnsi"/>
        </w:rPr>
        <w:t>DMG Media</w:t>
      </w:r>
      <w:r w:rsidRPr="00A61669">
        <w:rPr>
          <w:rFonts w:asciiTheme="majorHAnsi" w:hAnsiTheme="majorHAnsi" w:cstheme="majorHAnsi"/>
        </w:rPr>
        <w:t xml:space="preserve"> a single control plane by default. That is the platform condition for the standardisation, automation, and cost discipline DMG Media's business drivers require.</w:t>
      </w:r>
    </w:p>
    <w:p w14:paraId="0000010D" w14:textId="0000010E" w:rsidR="000B0F63" w:rsidRPr="00A61669" w:rsidRDefault="1BAB210A" w:rsidP="00E40261">
      <w:pPr>
        <w:pStyle w:val="Heading2"/>
        <w:jc w:val="both"/>
        <w:rPr>
          <w:rFonts w:asciiTheme="majorHAnsi" w:hAnsiTheme="majorHAnsi" w:cstheme="majorHAnsi"/>
        </w:rPr>
      </w:pPr>
      <w:bookmarkStart w:id="56" w:name="_Toc129"/>
      <w:bookmarkStart w:id="57" w:name="_Toc227770912"/>
      <w:r w:rsidRPr="00A61669">
        <w:rPr>
          <w:rFonts w:asciiTheme="majorHAnsi" w:hAnsiTheme="majorHAnsi" w:cstheme="majorHAnsi"/>
        </w:rPr>
        <w:t>The Financial Case</w:t>
      </w:r>
      <w:bookmarkEnd w:id="56"/>
      <w:bookmarkEnd w:id="57"/>
    </w:p>
    <w:p w14:paraId="62B952C2" w14:textId="77777777" w:rsidR="00A3328E" w:rsidRPr="00A61669" w:rsidRDefault="00C05D22" w:rsidP="00E40261">
      <w:pPr>
        <w:jc w:val="both"/>
        <w:rPr>
          <w:rFonts w:asciiTheme="majorHAnsi" w:hAnsiTheme="majorHAnsi" w:cstheme="majorHAnsi"/>
        </w:rPr>
      </w:pPr>
      <w:r w:rsidRPr="00A61669">
        <w:rPr>
          <w:rFonts w:asciiTheme="majorHAnsi" w:hAnsiTheme="majorHAnsi" w:cstheme="majorHAnsi"/>
        </w:rPr>
        <w:t xml:space="preserve">The on-premises estate runs on capital expenditure. Hardware is bought, depreciated, and refreshed on a cycle. </w:t>
      </w:r>
    </w:p>
    <w:p w14:paraId="0000010F" w14:textId="5CE52964" w:rsidR="000B0F63" w:rsidRPr="00A61669" w:rsidRDefault="00C05D22" w:rsidP="00E40261">
      <w:pPr>
        <w:jc w:val="both"/>
        <w:rPr>
          <w:rFonts w:asciiTheme="majorHAnsi" w:hAnsiTheme="majorHAnsi" w:cstheme="majorHAnsi"/>
        </w:rPr>
      </w:pPr>
      <w:r w:rsidRPr="00A61669">
        <w:rPr>
          <w:rFonts w:asciiTheme="majorHAnsi" w:hAnsiTheme="majorHAnsi" w:cstheme="majorHAnsi"/>
        </w:rPr>
        <w:t>Cloud runs on operational expenditure: payment follows consumption, month</w:t>
      </w:r>
      <w:r w:rsidR="00505B74" w:rsidRPr="00A61669">
        <w:rPr>
          <w:rFonts w:asciiTheme="majorHAnsi" w:hAnsiTheme="majorHAnsi" w:cstheme="majorHAnsi"/>
        </w:rPr>
        <w:t>-</w:t>
      </w:r>
      <w:r w:rsidRPr="00A61669">
        <w:rPr>
          <w:rFonts w:asciiTheme="majorHAnsi" w:hAnsiTheme="majorHAnsi" w:cstheme="majorHAnsi"/>
        </w:rPr>
        <w:t>by</w:t>
      </w:r>
      <w:r w:rsidR="00505B74" w:rsidRPr="00A61669">
        <w:rPr>
          <w:rFonts w:asciiTheme="majorHAnsi" w:hAnsiTheme="majorHAnsi" w:cstheme="majorHAnsi"/>
        </w:rPr>
        <w:t>-</w:t>
      </w:r>
      <w:r w:rsidRPr="00A61669">
        <w:rPr>
          <w:rFonts w:asciiTheme="majorHAnsi" w:hAnsiTheme="majorHAnsi" w:cstheme="majorHAnsi"/>
        </w:rPr>
        <w:t>month.</w:t>
      </w:r>
    </w:p>
    <w:p w14:paraId="1E778E86" w14:textId="77777777" w:rsidR="00AE0F02" w:rsidRPr="00A61669" w:rsidRDefault="00372D6D" w:rsidP="00AE0F02">
      <w:pPr>
        <w:jc w:val="both"/>
        <w:rPr>
          <w:rFonts w:asciiTheme="majorHAnsi" w:hAnsiTheme="majorHAnsi" w:cstheme="majorHAnsi"/>
        </w:rPr>
      </w:pPr>
      <w:r w:rsidRPr="00A61669">
        <w:rPr>
          <w:rFonts w:asciiTheme="majorHAnsi" w:hAnsiTheme="majorHAnsi" w:cstheme="majorHAnsi"/>
        </w:rPr>
        <w:t>For a business targeting cost reduction, the timing advantage of operational expenditure matters: it is fully deductible in the period incurred, rather than recovered over asset life. And every pound not committed to the next hardware refresh is capital free to invest in content and subscriber growth</w:t>
      </w:r>
      <w:bookmarkStart w:id="58" w:name="_Toc130"/>
      <w:bookmarkStart w:id="59" w:name="_Toc227770913"/>
    </w:p>
    <w:p w14:paraId="00000113" w14:textId="0A7AA779" w:rsidR="000B0F63" w:rsidRPr="00A61669" w:rsidRDefault="1BAB210A" w:rsidP="00AE0F02">
      <w:pPr>
        <w:pStyle w:val="Heading2"/>
        <w:jc w:val="both"/>
        <w:rPr>
          <w:rFonts w:asciiTheme="majorHAnsi" w:hAnsiTheme="majorHAnsi" w:cstheme="majorHAnsi"/>
        </w:rPr>
      </w:pPr>
      <w:r w:rsidRPr="00A61669">
        <w:rPr>
          <w:rFonts w:asciiTheme="majorHAnsi" w:hAnsiTheme="majorHAnsi" w:cstheme="majorHAnsi"/>
        </w:rPr>
        <w:t xml:space="preserve">The </w:t>
      </w:r>
      <w:r w:rsidR="00384721" w:rsidRPr="00A61669">
        <w:rPr>
          <w:rFonts w:asciiTheme="majorHAnsi" w:hAnsiTheme="majorHAnsi" w:cstheme="majorHAnsi"/>
        </w:rPr>
        <w:t xml:space="preserve">1M </w:t>
      </w:r>
      <w:r w:rsidRPr="00A61669">
        <w:rPr>
          <w:rFonts w:asciiTheme="majorHAnsi" w:hAnsiTheme="majorHAnsi" w:cstheme="majorHAnsi"/>
        </w:rPr>
        <w:t>Subscriber Ambition</w:t>
      </w:r>
      <w:bookmarkEnd w:id="58"/>
      <w:bookmarkEnd w:id="59"/>
    </w:p>
    <w:p w14:paraId="00000115" w14:textId="27DFEBAD" w:rsidR="000B0F63" w:rsidRPr="00A61669" w:rsidRDefault="007415CD" w:rsidP="00E40261">
      <w:pPr>
        <w:jc w:val="both"/>
        <w:rPr>
          <w:rFonts w:asciiTheme="majorHAnsi" w:hAnsiTheme="majorHAnsi" w:cstheme="majorHAnsi"/>
        </w:rPr>
      </w:pPr>
      <w:r w:rsidRPr="00A61669">
        <w:rPr>
          <w:rFonts w:asciiTheme="majorHAnsi" w:hAnsiTheme="majorHAnsi" w:cstheme="majorHAnsi"/>
        </w:rPr>
        <w:t>DMG Media’s</w:t>
      </w:r>
      <w:r w:rsidR="00C05D22" w:rsidRPr="00A61669">
        <w:rPr>
          <w:rFonts w:asciiTheme="majorHAnsi" w:hAnsiTheme="majorHAnsi" w:cstheme="majorHAnsi"/>
        </w:rPr>
        <w:t xml:space="preserve"> </w:t>
      </w:r>
      <w:r w:rsidR="00DF165C" w:rsidRPr="00A61669">
        <w:rPr>
          <w:rFonts w:asciiTheme="majorHAnsi" w:hAnsiTheme="majorHAnsi" w:cstheme="majorHAnsi"/>
        </w:rPr>
        <w:t xml:space="preserve">target of one million </w:t>
      </w:r>
      <w:r w:rsidR="0088745F" w:rsidRPr="00A61669">
        <w:rPr>
          <w:rFonts w:asciiTheme="majorHAnsi" w:hAnsiTheme="majorHAnsi" w:cstheme="majorHAnsi"/>
        </w:rPr>
        <w:t>Mail Online</w:t>
      </w:r>
      <w:r w:rsidR="00DF165C" w:rsidRPr="00A61669">
        <w:rPr>
          <w:rFonts w:asciiTheme="majorHAnsi" w:hAnsiTheme="majorHAnsi" w:cstheme="majorHAnsi"/>
        </w:rPr>
        <w:t xml:space="preserve"> subscribers requires infrastructure that can absorb growth in content volume, concurrent sessions, and data processing without proportional increases in capital spend or headcount. The current on-premises estate is sized for today's subscriber base. Scaling it means buying more hardware, more rack space, and more operational staff. Cloud removes the capital constraint: capacity follows demand. The operating model changes in Section 8 address the staffing constraint.</w:t>
      </w:r>
    </w:p>
    <w:p w14:paraId="00000117" w14:textId="00000118" w:rsidR="000B0F63" w:rsidRPr="00A61669" w:rsidRDefault="00C05D22" w:rsidP="00E40261">
      <w:pPr>
        <w:jc w:val="both"/>
        <w:rPr>
          <w:rFonts w:asciiTheme="majorHAnsi" w:hAnsiTheme="majorHAnsi" w:cstheme="majorHAnsi"/>
        </w:rPr>
      </w:pPr>
      <w:r w:rsidRPr="00A61669">
        <w:rPr>
          <w:rFonts w:asciiTheme="majorHAnsi" w:hAnsiTheme="majorHAnsi" w:cstheme="majorHAnsi"/>
        </w:rPr>
        <w:br w:type="page"/>
      </w:r>
    </w:p>
    <w:p w14:paraId="00000119" w14:textId="41F3D898" w:rsidR="000B0F63" w:rsidRPr="00A61669" w:rsidRDefault="1BAB210A" w:rsidP="00E40261">
      <w:pPr>
        <w:pStyle w:val="Heading1"/>
        <w:jc w:val="both"/>
        <w:rPr>
          <w:rFonts w:asciiTheme="majorHAnsi" w:hAnsiTheme="majorHAnsi" w:cstheme="majorHAnsi"/>
        </w:rPr>
      </w:pPr>
      <w:bookmarkStart w:id="60" w:name="_Toc131"/>
      <w:bookmarkStart w:id="61" w:name="_Toc227770914"/>
      <w:bookmarkStart w:id="62" w:name="_Toc228549356"/>
      <w:r w:rsidRPr="00A61669">
        <w:rPr>
          <w:rFonts w:asciiTheme="majorHAnsi" w:hAnsiTheme="majorHAnsi" w:cstheme="majorHAnsi"/>
        </w:rPr>
        <w:lastRenderedPageBreak/>
        <w:t xml:space="preserve">Section 4: </w:t>
      </w:r>
      <w:r w:rsidR="007415CD" w:rsidRPr="00A61669">
        <w:rPr>
          <w:rFonts w:asciiTheme="majorHAnsi" w:hAnsiTheme="majorHAnsi" w:cstheme="majorHAnsi"/>
        </w:rPr>
        <w:t>DMG Media’s</w:t>
      </w:r>
      <w:r w:rsidRPr="00A61669">
        <w:rPr>
          <w:rFonts w:asciiTheme="majorHAnsi" w:hAnsiTheme="majorHAnsi" w:cstheme="majorHAnsi"/>
        </w:rPr>
        <w:t xml:space="preserve"> Estate</w:t>
      </w:r>
      <w:bookmarkEnd w:id="60"/>
      <w:bookmarkEnd w:id="61"/>
      <w:bookmarkEnd w:id="62"/>
    </w:p>
    <w:p w14:paraId="0000011B" w14:textId="1A54D6DC" w:rsidR="000B0F63" w:rsidRPr="00A61669" w:rsidRDefault="00E436A1" w:rsidP="00E40261">
      <w:pPr>
        <w:pStyle w:val="Heading2"/>
        <w:jc w:val="both"/>
        <w:rPr>
          <w:rFonts w:asciiTheme="majorHAnsi" w:hAnsiTheme="majorHAnsi" w:cstheme="majorHAnsi"/>
        </w:rPr>
      </w:pPr>
      <w:r w:rsidRPr="00A61669">
        <w:rPr>
          <w:rFonts w:asciiTheme="majorHAnsi" w:hAnsiTheme="majorHAnsi" w:cstheme="majorHAnsi"/>
        </w:rPr>
        <w:t>What was found</w:t>
      </w:r>
    </w:p>
    <w:p w14:paraId="0000011D" w14:textId="6449AB8B"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This section plays back the discovery so </w:t>
      </w:r>
      <w:r w:rsidR="007415CD" w:rsidRPr="00A61669">
        <w:rPr>
          <w:rFonts w:asciiTheme="majorHAnsi" w:hAnsiTheme="majorHAnsi" w:cstheme="majorHAnsi"/>
        </w:rPr>
        <w:t>DMG Media</w:t>
      </w:r>
      <w:r w:rsidRPr="00A61669">
        <w:rPr>
          <w:rFonts w:asciiTheme="majorHAnsi" w:hAnsiTheme="majorHAnsi" w:cstheme="majorHAnsi"/>
        </w:rPr>
        <w:t xml:space="preserve"> can recognise </w:t>
      </w:r>
      <w:r w:rsidR="007415CD" w:rsidRPr="00A61669">
        <w:rPr>
          <w:rFonts w:asciiTheme="majorHAnsi" w:hAnsiTheme="majorHAnsi" w:cstheme="majorHAnsi"/>
        </w:rPr>
        <w:t>DMG Media’s</w:t>
      </w:r>
      <w:r w:rsidRPr="00A61669">
        <w:rPr>
          <w:rFonts w:asciiTheme="majorHAnsi" w:hAnsiTheme="majorHAnsi" w:cstheme="majorHAnsi"/>
        </w:rPr>
        <w:t xml:space="preserve"> own estate in this report. Where </w:t>
      </w:r>
      <w:r w:rsidR="00E436A1" w:rsidRPr="00A61669">
        <w:rPr>
          <w:rFonts w:asciiTheme="majorHAnsi" w:hAnsiTheme="majorHAnsi" w:cstheme="majorHAnsi"/>
        </w:rPr>
        <w:t>Rackspace have found surprise</w:t>
      </w:r>
      <w:r w:rsidRPr="00A61669">
        <w:rPr>
          <w:rFonts w:asciiTheme="majorHAnsi" w:hAnsiTheme="majorHAnsi" w:cstheme="majorHAnsi"/>
        </w:rPr>
        <w:t xml:space="preserve">s or gaps, </w:t>
      </w:r>
      <w:r w:rsidR="00E436A1" w:rsidRPr="00A61669">
        <w:rPr>
          <w:rFonts w:asciiTheme="majorHAnsi" w:hAnsiTheme="majorHAnsi" w:cstheme="majorHAnsi"/>
        </w:rPr>
        <w:t>they are</w:t>
      </w:r>
      <w:r w:rsidRPr="00A61669">
        <w:rPr>
          <w:rFonts w:asciiTheme="majorHAnsi" w:hAnsiTheme="majorHAnsi" w:cstheme="majorHAnsi"/>
        </w:rPr>
        <w:t xml:space="preserve"> flag</w:t>
      </w:r>
      <w:r w:rsidR="00E436A1" w:rsidRPr="00A61669">
        <w:rPr>
          <w:rFonts w:asciiTheme="majorHAnsi" w:hAnsiTheme="majorHAnsi" w:cstheme="majorHAnsi"/>
        </w:rPr>
        <w:t>ged</w:t>
      </w:r>
      <w:r w:rsidRPr="00A61669">
        <w:rPr>
          <w:rFonts w:asciiTheme="majorHAnsi" w:hAnsiTheme="majorHAnsi" w:cstheme="majorHAnsi"/>
        </w:rPr>
        <w:t xml:space="preserve"> here.</w:t>
      </w:r>
    </w:p>
    <w:p w14:paraId="0000011F" w14:textId="00000120" w:rsidR="000B0F63" w:rsidRPr="00A61669" w:rsidRDefault="1BAB210A" w:rsidP="00E40261">
      <w:pPr>
        <w:pStyle w:val="Heading2"/>
        <w:jc w:val="both"/>
        <w:rPr>
          <w:rFonts w:asciiTheme="majorHAnsi" w:hAnsiTheme="majorHAnsi" w:cstheme="majorHAnsi"/>
        </w:rPr>
      </w:pPr>
      <w:bookmarkStart w:id="63" w:name="_Toc133"/>
      <w:bookmarkStart w:id="64" w:name="_Toc227770916"/>
      <w:r w:rsidRPr="00A61669">
        <w:rPr>
          <w:rFonts w:asciiTheme="majorHAnsi" w:hAnsiTheme="majorHAnsi" w:cstheme="majorHAnsi"/>
        </w:rPr>
        <w:t>Headline Numbers</w:t>
      </w:r>
      <w:bookmarkEnd w:id="63"/>
      <w:bookmarkEnd w:id="64"/>
    </w:p>
    <w:tbl>
      <w:tblPr>
        <w:tblW w:w="9720" w:type="dxa"/>
        <w:tblCellMar>
          <w:top w:w="100" w:type="dxa"/>
          <w:left w:w="100" w:type="dxa"/>
          <w:bottom w:w="100" w:type="dxa"/>
          <w:right w:w="100" w:type="dxa"/>
        </w:tblCellMar>
        <w:tblLook w:val="04A0" w:firstRow="1" w:lastRow="0" w:firstColumn="1" w:lastColumn="0" w:noHBand="0" w:noVBand="1"/>
      </w:tblPr>
      <w:tblGrid>
        <w:gridCol w:w="3240"/>
        <w:gridCol w:w="2142"/>
        <w:gridCol w:w="4338"/>
      </w:tblGrid>
      <w:tr w:rsidR="00302E2E" w14:paraId="17AE70A8" w14:textId="77777777" w:rsidTr="1524DEBB">
        <w:tc>
          <w:tcPr>
            <w:tcW w:w="3240" w:type="dxa"/>
            <w:shd w:val="clear" w:color="auto" w:fill="D9D9D9" w:themeFill="background1" w:themeFillShade="D9"/>
            <w:tcMar>
              <w:top w:w="100" w:type="dxa"/>
              <w:left w:w="100" w:type="dxa"/>
              <w:bottom w:w="100" w:type="dxa"/>
              <w:right w:w="100" w:type="dxa"/>
            </w:tcMar>
            <w:vAlign w:val="center"/>
          </w:tcPr>
          <w:p w14:paraId="00000121" w14:textId="00000122" w:rsidR="000B0F63" w:rsidRPr="00A61669" w:rsidRDefault="00C05D22" w:rsidP="00460958">
            <w:pPr>
              <w:pStyle w:val="TableHeader"/>
              <w:jc w:val="center"/>
              <w:rPr>
                <w:rFonts w:asciiTheme="majorHAnsi" w:hAnsiTheme="majorHAnsi" w:cstheme="majorHAnsi"/>
              </w:rPr>
            </w:pPr>
            <w:r w:rsidRPr="00A61669">
              <w:rPr>
                <w:rFonts w:asciiTheme="majorHAnsi" w:hAnsiTheme="majorHAnsi" w:cstheme="majorHAnsi"/>
              </w:rPr>
              <w:t>Dimension</w:t>
            </w:r>
          </w:p>
        </w:tc>
        <w:tc>
          <w:tcPr>
            <w:tcW w:w="2142" w:type="dxa"/>
            <w:shd w:val="clear" w:color="auto" w:fill="D9D9D9" w:themeFill="background1" w:themeFillShade="D9"/>
            <w:tcMar>
              <w:top w:w="100" w:type="dxa"/>
              <w:left w:w="100" w:type="dxa"/>
              <w:bottom w:w="100" w:type="dxa"/>
              <w:right w:w="100" w:type="dxa"/>
            </w:tcMar>
            <w:vAlign w:val="center"/>
          </w:tcPr>
          <w:p w14:paraId="00000123" w14:textId="00000124" w:rsidR="000B0F63" w:rsidRPr="00A61669" w:rsidRDefault="00C05D22" w:rsidP="00460958">
            <w:pPr>
              <w:pStyle w:val="TableHeader"/>
              <w:jc w:val="center"/>
              <w:rPr>
                <w:rFonts w:asciiTheme="majorHAnsi" w:hAnsiTheme="majorHAnsi" w:cstheme="majorHAnsi"/>
              </w:rPr>
            </w:pPr>
            <w:r w:rsidRPr="00A61669">
              <w:rPr>
                <w:rFonts w:asciiTheme="majorHAnsi" w:hAnsiTheme="majorHAnsi" w:cstheme="majorHAnsi"/>
              </w:rPr>
              <w:t>Value</w:t>
            </w:r>
          </w:p>
        </w:tc>
        <w:tc>
          <w:tcPr>
            <w:tcW w:w="4338" w:type="dxa"/>
            <w:shd w:val="clear" w:color="auto" w:fill="D9D9D9" w:themeFill="background1" w:themeFillShade="D9"/>
            <w:tcMar>
              <w:top w:w="100" w:type="dxa"/>
              <w:left w:w="100" w:type="dxa"/>
              <w:bottom w:w="100" w:type="dxa"/>
              <w:right w:w="100" w:type="dxa"/>
            </w:tcMar>
            <w:vAlign w:val="center"/>
          </w:tcPr>
          <w:p w14:paraId="00000125" w14:textId="00000126" w:rsidR="000B0F63" w:rsidRPr="00A61669" w:rsidRDefault="00C05D22" w:rsidP="00460958">
            <w:pPr>
              <w:pStyle w:val="TableHeader"/>
              <w:jc w:val="center"/>
              <w:rPr>
                <w:rFonts w:asciiTheme="majorHAnsi" w:hAnsiTheme="majorHAnsi" w:cstheme="majorHAnsi"/>
              </w:rPr>
            </w:pPr>
            <w:r w:rsidRPr="00A61669">
              <w:rPr>
                <w:rFonts w:asciiTheme="majorHAnsi" w:hAnsiTheme="majorHAnsi" w:cstheme="majorHAnsi"/>
              </w:rPr>
              <w:t>Note</w:t>
            </w:r>
          </w:p>
        </w:tc>
      </w:tr>
      <w:tr w:rsidR="00723435" w14:paraId="2D90B83B" w14:textId="77777777" w:rsidTr="1524DEBB">
        <w:tc>
          <w:tcPr>
            <w:tcW w:w="3240" w:type="dxa"/>
            <w:tcMar>
              <w:top w:w="100" w:type="dxa"/>
              <w:left w:w="100" w:type="dxa"/>
              <w:bottom w:w="100" w:type="dxa"/>
              <w:right w:w="100" w:type="dxa"/>
            </w:tcMar>
            <w:vAlign w:val="center"/>
          </w:tcPr>
          <w:p w14:paraId="00000127" w14:textId="00000128"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Servers discovered (full estate)</w:t>
            </w:r>
          </w:p>
        </w:tc>
        <w:tc>
          <w:tcPr>
            <w:tcW w:w="2142" w:type="dxa"/>
            <w:tcMar>
              <w:top w:w="100" w:type="dxa"/>
              <w:left w:w="100" w:type="dxa"/>
              <w:bottom w:w="100" w:type="dxa"/>
              <w:right w:w="100" w:type="dxa"/>
            </w:tcMar>
            <w:vAlign w:val="center"/>
          </w:tcPr>
          <w:p w14:paraId="00000129" w14:textId="0000012A"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4,500+</w:t>
            </w:r>
          </w:p>
        </w:tc>
        <w:tc>
          <w:tcPr>
            <w:tcW w:w="4338" w:type="dxa"/>
            <w:tcMar>
              <w:top w:w="100" w:type="dxa"/>
              <w:left w:w="100" w:type="dxa"/>
              <w:bottom w:w="100" w:type="dxa"/>
              <w:right w:w="100" w:type="dxa"/>
            </w:tcMar>
            <w:vAlign w:val="center"/>
          </w:tcPr>
          <w:p w14:paraId="0000012B" w14:textId="0000012C" w:rsidR="000B0F63" w:rsidRPr="00A61669" w:rsidRDefault="00C05D22" w:rsidP="00460958">
            <w:pPr>
              <w:pStyle w:val="TableInfo"/>
              <w:rPr>
                <w:rFonts w:asciiTheme="majorHAnsi" w:hAnsiTheme="majorHAnsi" w:cstheme="majorHAnsi"/>
              </w:rPr>
            </w:pPr>
            <w:r w:rsidRPr="00A61669">
              <w:rPr>
                <w:rFonts w:asciiTheme="majorHAnsi" w:hAnsiTheme="majorHAnsi" w:cstheme="majorHAnsi"/>
              </w:rPr>
              <w:t>Across five infrastructure types</w:t>
            </w:r>
          </w:p>
        </w:tc>
      </w:tr>
      <w:tr w:rsidR="00723435" w14:paraId="4F9A9B6B" w14:textId="77777777" w:rsidTr="1524DEBB">
        <w:tc>
          <w:tcPr>
            <w:tcW w:w="3240" w:type="dxa"/>
            <w:tcMar>
              <w:top w:w="100" w:type="dxa"/>
              <w:left w:w="100" w:type="dxa"/>
              <w:bottom w:w="100" w:type="dxa"/>
              <w:right w:w="100" w:type="dxa"/>
            </w:tcMar>
            <w:vAlign w:val="center"/>
          </w:tcPr>
          <w:p w14:paraId="0000012D" w14:textId="4EE8B008"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 xml:space="preserve">Servers in scope for </w:t>
            </w:r>
            <w:r w:rsidR="00100959" w:rsidRPr="00A61669">
              <w:rPr>
                <w:rFonts w:asciiTheme="majorHAnsi" w:hAnsiTheme="majorHAnsi" w:cstheme="majorHAnsi"/>
              </w:rPr>
              <w:t>Part 1</w:t>
            </w:r>
          </w:p>
        </w:tc>
        <w:tc>
          <w:tcPr>
            <w:tcW w:w="2142" w:type="dxa"/>
            <w:tcMar>
              <w:top w:w="100" w:type="dxa"/>
              <w:left w:w="100" w:type="dxa"/>
              <w:bottom w:w="100" w:type="dxa"/>
              <w:right w:w="100" w:type="dxa"/>
            </w:tcMar>
            <w:vAlign w:val="center"/>
          </w:tcPr>
          <w:p w14:paraId="0000012F" w14:textId="00000130"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3,038</w:t>
            </w:r>
          </w:p>
        </w:tc>
        <w:tc>
          <w:tcPr>
            <w:tcW w:w="4338" w:type="dxa"/>
            <w:tcMar>
              <w:top w:w="100" w:type="dxa"/>
              <w:left w:w="100" w:type="dxa"/>
              <w:bottom w:w="100" w:type="dxa"/>
              <w:right w:w="100" w:type="dxa"/>
            </w:tcMar>
            <w:vAlign w:val="center"/>
          </w:tcPr>
          <w:p w14:paraId="00000131" w14:textId="00000132" w:rsidR="000B0F63" w:rsidRPr="00A61669" w:rsidRDefault="00C05D22" w:rsidP="00460958">
            <w:pPr>
              <w:pStyle w:val="TableInfo"/>
              <w:rPr>
                <w:rFonts w:asciiTheme="majorHAnsi" w:hAnsiTheme="majorHAnsi" w:cstheme="majorHAnsi"/>
              </w:rPr>
            </w:pPr>
            <w:r w:rsidRPr="00A61669">
              <w:rPr>
                <w:rFonts w:asciiTheme="majorHAnsi" w:hAnsiTheme="majorHAnsi" w:cstheme="majorHAnsi"/>
              </w:rPr>
              <w:t>Priced and assessed</w:t>
            </w:r>
          </w:p>
        </w:tc>
      </w:tr>
      <w:tr w:rsidR="00723435" w14:paraId="0ABEF67C" w14:textId="77777777" w:rsidTr="1524DEBB">
        <w:tc>
          <w:tcPr>
            <w:tcW w:w="3240" w:type="dxa"/>
            <w:tcMar>
              <w:top w:w="100" w:type="dxa"/>
              <w:left w:w="100" w:type="dxa"/>
              <w:bottom w:w="100" w:type="dxa"/>
              <w:right w:w="100" w:type="dxa"/>
            </w:tcMar>
            <w:vAlign w:val="center"/>
          </w:tcPr>
          <w:p w14:paraId="00000133" w14:textId="00000134"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Applications</w:t>
            </w:r>
          </w:p>
        </w:tc>
        <w:tc>
          <w:tcPr>
            <w:tcW w:w="2142" w:type="dxa"/>
            <w:tcMar>
              <w:top w:w="100" w:type="dxa"/>
              <w:left w:w="100" w:type="dxa"/>
              <w:bottom w:w="100" w:type="dxa"/>
              <w:right w:w="100" w:type="dxa"/>
            </w:tcMar>
            <w:vAlign w:val="center"/>
          </w:tcPr>
          <w:p w14:paraId="00000135" w14:textId="00000136"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39</w:t>
            </w:r>
          </w:p>
        </w:tc>
        <w:tc>
          <w:tcPr>
            <w:tcW w:w="4338" w:type="dxa"/>
            <w:tcMar>
              <w:top w:w="100" w:type="dxa"/>
              <w:left w:w="100" w:type="dxa"/>
              <w:bottom w:w="100" w:type="dxa"/>
              <w:right w:w="100" w:type="dxa"/>
            </w:tcMar>
            <w:vAlign w:val="center"/>
          </w:tcPr>
          <w:p w14:paraId="00000137" w14:textId="0C27F673" w:rsidR="000B0F63" w:rsidRPr="00A61669" w:rsidRDefault="00C05D22" w:rsidP="00460958">
            <w:pPr>
              <w:pStyle w:val="TableInfo"/>
              <w:rPr>
                <w:rFonts w:asciiTheme="majorHAnsi" w:hAnsiTheme="majorHAnsi" w:cstheme="majorHAnsi"/>
              </w:rPr>
            </w:pPr>
            <w:r w:rsidRPr="00A61669">
              <w:rPr>
                <w:rFonts w:asciiTheme="majorHAnsi" w:hAnsiTheme="majorHAnsi" w:cstheme="majorHAnsi"/>
              </w:rPr>
              <w:t xml:space="preserve">Plus 91 </w:t>
            </w:r>
            <w:r w:rsidR="00490323" w:rsidRPr="00A61669">
              <w:rPr>
                <w:rFonts w:asciiTheme="majorHAnsi" w:hAnsiTheme="majorHAnsi" w:cstheme="majorHAnsi"/>
              </w:rPr>
              <w:t>Mail Online</w:t>
            </w:r>
            <w:r w:rsidRPr="00A61669">
              <w:rPr>
                <w:rFonts w:asciiTheme="majorHAnsi" w:hAnsiTheme="majorHAnsi" w:cstheme="majorHAnsi"/>
              </w:rPr>
              <w:t xml:space="preserve"> sub-components as migration-planning units within </w:t>
            </w:r>
            <w:r w:rsidR="0088745F" w:rsidRPr="00A61669">
              <w:rPr>
                <w:rFonts w:asciiTheme="majorHAnsi" w:hAnsiTheme="majorHAnsi" w:cstheme="majorHAnsi"/>
              </w:rPr>
              <w:t>Mail Online</w:t>
            </w:r>
          </w:p>
        </w:tc>
      </w:tr>
      <w:tr w:rsidR="00723435" w14:paraId="2F318796" w14:textId="77777777" w:rsidTr="1524DEBB">
        <w:tc>
          <w:tcPr>
            <w:tcW w:w="3240" w:type="dxa"/>
            <w:tcMar>
              <w:top w:w="100" w:type="dxa"/>
              <w:left w:w="100" w:type="dxa"/>
              <w:bottom w:w="100" w:type="dxa"/>
              <w:right w:w="100" w:type="dxa"/>
            </w:tcMar>
            <w:vAlign w:val="center"/>
          </w:tcPr>
          <w:p w14:paraId="00000139" w14:textId="0000013A"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Infrastructure types</w:t>
            </w:r>
          </w:p>
        </w:tc>
        <w:tc>
          <w:tcPr>
            <w:tcW w:w="2142" w:type="dxa"/>
            <w:tcMar>
              <w:top w:w="100" w:type="dxa"/>
              <w:left w:w="100" w:type="dxa"/>
              <w:bottom w:w="100" w:type="dxa"/>
              <w:right w:w="100" w:type="dxa"/>
            </w:tcMar>
            <w:vAlign w:val="center"/>
          </w:tcPr>
          <w:p w14:paraId="0000013B" w14:textId="0000013C"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5</w:t>
            </w:r>
          </w:p>
        </w:tc>
        <w:tc>
          <w:tcPr>
            <w:tcW w:w="4338" w:type="dxa"/>
            <w:tcMar>
              <w:top w:w="100" w:type="dxa"/>
              <w:left w:w="100" w:type="dxa"/>
              <w:bottom w:w="100" w:type="dxa"/>
              <w:right w:w="100" w:type="dxa"/>
            </w:tcMar>
            <w:vAlign w:val="center"/>
          </w:tcPr>
          <w:p w14:paraId="0000013D" w14:textId="0000013E" w:rsidR="000B0F63" w:rsidRPr="00A61669" w:rsidRDefault="1BAB210A" w:rsidP="00460958">
            <w:pPr>
              <w:pStyle w:val="TableInfo"/>
              <w:rPr>
                <w:rFonts w:asciiTheme="majorHAnsi" w:hAnsiTheme="majorHAnsi" w:cstheme="majorHAnsi"/>
              </w:rPr>
            </w:pPr>
            <w:r w:rsidRPr="00A61669">
              <w:rPr>
                <w:rFonts w:asciiTheme="majorHAnsi" w:hAnsiTheme="majorHAnsi" w:cstheme="majorHAnsi"/>
                <w:lang w:val="en-GB"/>
              </w:rPr>
              <w:t>VMware, Proxmox, physical, appliance, cloud</w:t>
            </w:r>
          </w:p>
        </w:tc>
      </w:tr>
      <w:tr w:rsidR="00723435" w14:paraId="58BA591C" w14:textId="77777777" w:rsidTr="1524DEBB">
        <w:tc>
          <w:tcPr>
            <w:tcW w:w="3240" w:type="dxa"/>
            <w:tcMar>
              <w:top w:w="100" w:type="dxa"/>
              <w:left w:w="100" w:type="dxa"/>
              <w:bottom w:w="100" w:type="dxa"/>
              <w:right w:w="100" w:type="dxa"/>
            </w:tcMar>
            <w:vAlign w:val="center"/>
          </w:tcPr>
          <w:p w14:paraId="0000013F" w14:textId="00000140"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UK datacentres</w:t>
            </w:r>
          </w:p>
        </w:tc>
        <w:tc>
          <w:tcPr>
            <w:tcW w:w="2142" w:type="dxa"/>
            <w:tcMar>
              <w:top w:w="100" w:type="dxa"/>
              <w:left w:w="100" w:type="dxa"/>
              <w:bottom w:w="100" w:type="dxa"/>
              <w:right w:w="100" w:type="dxa"/>
            </w:tcMar>
            <w:vAlign w:val="center"/>
          </w:tcPr>
          <w:p w14:paraId="00000141" w14:textId="00000142"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2</w:t>
            </w:r>
          </w:p>
        </w:tc>
        <w:tc>
          <w:tcPr>
            <w:tcW w:w="4338" w:type="dxa"/>
            <w:tcMar>
              <w:top w:w="100" w:type="dxa"/>
              <w:left w:w="100" w:type="dxa"/>
              <w:bottom w:w="100" w:type="dxa"/>
              <w:right w:w="100" w:type="dxa"/>
            </w:tcMar>
            <w:vAlign w:val="center"/>
          </w:tcPr>
          <w:p w14:paraId="00000143" w14:textId="00000144" w:rsidR="000B0F63" w:rsidRPr="00A61669" w:rsidRDefault="00C05D22" w:rsidP="00460958">
            <w:pPr>
              <w:pStyle w:val="TableInfo"/>
              <w:rPr>
                <w:rFonts w:asciiTheme="majorHAnsi" w:hAnsiTheme="majorHAnsi" w:cstheme="majorHAnsi"/>
              </w:rPr>
            </w:pPr>
            <w:r w:rsidRPr="00A61669">
              <w:rPr>
                <w:rFonts w:asciiTheme="majorHAnsi" w:hAnsiTheme="majorHAnsi" w:cstheme="majorHAnsi"/>
              </w:rPr>
              <w:t>Reading (Centre Square), Slough (Digital Realty)</w:t>
            </w:r>
          </w:p>
        </w:tc>
      </w:tr>
      <w:tr w:rsidR="00723435" w14:paraId="35EF358D" w14:textId="77777777" w:rsidTr="1524DEBB">
        <w:tc>
          <w:tcPr>
            <w:tcW w:w="3240" w:type="dxa"/>
            <w:tcMar>
              <w:top w:w="100" w:type="dxa"/>
              <w:left w:w="100" w:type="dxa"/>
              <w:bottom w:w="100" w:type="dxa"/>
              <w:right w:w="100" w:type="dxa"/>
            </w:tcMar>
            <w:vAlign w:val="center"/>
          </w:tcPr>
          <w:p w14:paraId="00000145" w14:textId="00000146"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Overseas datacentre</w:t>
            </w:r>
          </w:p>
        </w:tc>
        <w:tc>
          <w:tcPr>
            <w:tcW w:w="2142" w:type="dxa"/>
            <w:tcMar>
              <w:top w:w="100" w:type="dxa"/>
              <w:left w:w="100" w:type="dxa"/>
              <w:bottom w:w="100" w:type="dxa"/>
              <w:right w:w="100" w:type="dxa"/>
            </w:tcMar>
            <w:vAlign w:val="center"/>
          </w:tcPr>
          <w:p w14:paraId="00000147" w14:textId="00000148"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1</w:t>
            </w:r>
          </w:p>
        </w:tc>
        <w:tc>
          <w:tcPr>
            <w:tcW w:w="4338" w:type="dxa"/>
            <w:tcMar>
              <w:top w:w="100" w:type="dxa"/>
              <w:left w:w="100" w:type="dxa"/>
              <w:bottom w:w="100" w:type="dxa"/>
              <w:right w:w="100" w:type="dxa"/>
            </w:tcMar>
            <w:vAlign w:val="center"/>
          </w:tcPr>
          <w:p w14:paraId="00000149" w14:textId="0000014A" w:rsidR="000B0F63" w:rsidRPr="00A61669" w:rsidRDefault="00C05D22" w:rsidP="00460958">
            <w:pPr>
              <w:pStyle w:val="TableInfo"/>
              <w:rPr>
                <w:rFonts w:asciiTheme="majorHAnsi" w:hAnsiTheme="majorHAnsi" w:cstheme="majorHAnsi"/>
              </w:rPr>
            </w:pPr>
            <w:r w:rsidRPr="00A61669">
              <w:rPr>
                <w:rFonts w:asciiTheme="majorHAnsi" w:hAnsiTheme="majorHAnsi" w:cstheme="majorHAnsi"/>
              </w:rPr>
              <w:t>Sydney (Equinix), flexible contract</w:t>
            </w:r>
          </w:p>
        </w:tc>
      </w:tr>
      <w:tr w:rsidR="00723435" w14:paraId="2BD2EAD3" w14:textId="77777777" w:rsidTr="1524DEBB">
        <w:tc>
          <w:tcPr>
            <w:tcW w:w="3240" w:type="dxa"/>
            <w:tcMar>
              <w:top w:w="100" w:type="dxa"/>
              <w:left w:w="100" w:type="dxa"/>
              <w:bottom w:w="100" w:type="dxa"/>
              <w:right w:w="100" w:type="dxa"/>
            </w:tcMar>
            <w:vAlign w:val="center"/>
          </w:tcPr>
          <w:p w14:paraId="0000014B" w14:textId="0000014C"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Discovery coverage</w:t>
            </w:r>
          </w:p>
        </w:tc>
        <w:tc>
          <w:tcPr>
            <w:tcW w:w="2142" w:type="dxa"/>
            <w:tcMar>
              <w:top w:w="100" w:type="dxa"/>
              <w:left w:w="100" w:type="dxa"/>
              <w:bottom w:w="100" w:type="dxa"/>
              <w:right w:w="100" w:type="dxa"/>
            </w:tcMar>
            <w:vAlign w:val="center"/>
          </w:tcPr>
          <w:p w14:paraId="0000014D" w14:textId="0000014E"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100% of in-scope</w:t>
            </w:r>
          </w:p>
        </w:tc>
        <w:tc>
          <w:tcPr>
            <w:tcW w:w="4338" w:type="dxa"/>
            <w:tcMar>
              <w:top w:w="100" w:type="dxa"/>
              <w:left w:w="100" w:type="dxa"/>
              <w:bottom w:w="100" w:type="dxa"/>
              <w:right w:w="100" w:type="dxa"/>
            </w:tcMar>
            <w:vAlign w:val="center"/>
          </w:tcPr>
          <w:p w14:paraId="0000014F" w14:textId="00000150" w:rsidR="000B0F63" w:rsidRPr="00A61669" w:rsidRDefault="1BAB210A" w:rsidP="00460958">
            <w:pPr>
              <w:pStyle w:val="TableInfo"/>
              <w:rPr>
                <w:rFonts w:asciiTheme="majorHAnsi" w:hAnsiTheme="majorHAnsi" w:cstheme="majorHAnsi"/>
              </w:rPr>
            </w:pPr>
            <w:r w:rsidRPr="00A61669">
              <w:rPr>
                <w:rFonts w:asciiTheme="majorHAnsi" w:hAnsiTheme="majorHAnsi" w:cstheme="majorHAnsi"/>
                <w:lang w:val="en-GB"/>
              </w:rPr>
              <w:t>3,038 of 3,038 via Migration Center plus manual collection</w:t>
            </w:r>
          </w:p>
        </w:tc>
      </w:tr>
      <w:tr w:rsidR="00723435" w14:paraId="58A0D079" w14:textId="77777777" w:rsidTr="1524DEBB">
        <w:tc>
          <w:tcPr>
            <w:tcW w:w="3240" w:type="dxa"/>
            <w:tcMar>
              <w:top w:w="100" w:type="dxa"/>
              <w:left w:w="100" w:type="dxa"/>
              <w:bottom w:w="100" w:type="dxa"/>
              <w:right w:w="100" w:type="dxa"/>
            </w:tcMar>
            <w:vAlign w:val="center"/>
          </w:tcPr>
          <w:p w14:paraId="00000151" w14:textId="00000152"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TCO data captured</w:t>
            </w:r>
          </w:p>
        </w:tc>
        <w:tc>
          <w:tcPr>
            <w:tcW w:w="2142" w:type="dxa"/>
            <w:tcMar>
              <w:top w:w="100" w:type="dxa"/>
              <w:left w:w="100" w:type="dxa"/>
              <w:bottom w:w="100" w:type="dxa"/>
              <w:right w:w="100" w:type="dxa"/>
            </w:tcMar>
            <w:vAlign w:val="center"/>
          </w:tcPr>
          <w:p w14:paraId="00000153" w14:textId="00000154"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97.0%</w:t>
            </w:r>
          </w:p>
        </w:tc>
        <w:tc>
          <w:tcPr>
            <w:tcW w:w="4338" w:type="dxa"/>
            <w:tcMar>
              <w:top w:w="100" w:type="dxa"/>
              <w:left w:w="100" w:type="dxa"/>
              <w:bottom w:w="100" w:type="dxa"/>
              <w:right w:w="100" w:type="dxa"/>
            </w:tcMar>
            <w:vAlign w:val="center"/>
          </w:tcPr>
          <w:p w14:paraId="00000155" w14:textId="00000156" w:rsidR="000B0F63" w:rsidRPr="00A61669" w:rsidRDefault="00C05D22" w:rsidP="00460958">
            <w:pPr>
              <w:pStyle w:val="TableInfo"/>
              <w:rPr>
                <w:rFonts w:asciiTheme="majorHAnsi" w:hAnsiTheme="majorHAnsi" w:cstheme="majorHAnsi"/>
              </w:rPr>
            </w:pPr>
            <w:r w:rsidRPr="00A61669">
              <w:rPr>
                <w:rFonts w:asciiTheme="majorHAnsi" w:hAnsiTheme="majorHAnsi" w:cstheme="majorHAnsi"/>
              </w:rPr>
              <w:t>Strong. Sufficient for pricing.</w:t>
            </w:r>
          </w:p>
        </w:tc>
      </w:tr>
      <w:tr w:rsidR="00723435" w14:paraId="18DBF224" w14:textId="77777777" w:rsidTr="1524DEBB">
        <w:tc>
          <w:tcPr>
            <w:tcW w:w="3240" w:type="dxa"/>
            <w:tcMar>
              <w:top w:w="100" w:type="dxa"/>
              <w:left w:w="100" w:type="dxa"/>
              <w:bottom w:w="100" w:type="dxa"/>
              <w:right w:w="100" w:type="dxa"/>
            </w:tcMar>
            <w:vAlign w:val="center"/>
          </w:tcPr>
          <w:p w14:paraId="00000157" w14:textId="00000158"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Network dependency mapping</w:t>
            </w:r>
          </w:p>
        </w:tc>
        <w:tc>
          <w:tcPr>
            <w:tcW w:w="2142" w:type="dxa"/>
            <w:tcMar>
              <w:top w:w="100" w:type="dxa"/>
              <w:left w:w="100" w:type="dxa"/>
              <w:bottom w:w="100" w:type="dxa"/>
              <w:right w:w="100" w:type="dxa"/>
            </w:tcMar>
            <w:vAlign w:val="center"/>
          </w:tcPr>
          <w:p w14:paraId="00000159" w14:textId="0000015A"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27.7% coverage</w:t>
            </w:r>
          </w:p>
        </w:tc>
        <w:tc>
          <w:tcPr>
            <w:tcW w:w="4338" w:type="dxa"/>
            <w:tcMar>
              <w:top w:w="100" w:type="dxa"/>
              <w:left w:w="100" w:type="dxa"/>
              <w:bottom w:w="100" w:type="dxa"/>
              <w:right w:w="100" w:type="dxa"/>
            </w:tcMar>
            <w:vAlign w:val="center"/>
          </w:tcPr>
          <w:p w14:paraId="0000015B" w14:textId="0000015C" w:rsidR="000B0F63" w:rsidRPr="00A61669" w:rsidRDefault="00C05D22" w:rsidP="00460958">
            <w:pPr>
              <w:pStyle w:val="TableInfo"/>
              <w:rPr>
                <w:rFonts w:asciiTheme="majorHAnsi" w:hAnsiTheme="majorHAnsi" w:cstheme="majorHAnsi"/>
              </w:rPr>
            </w:pPr>
            <w:r w:rsidRPr="00A61669">
              <w:rPr>
                <w:rFonts w:asciiTheme="majorHAnsi" w:hAnsiTheme="majorHAnsi" w:cstheme="majorHAnsi"/>
              </w:rPr>
              <w:t>2M+ total connections captured across servers where guest-level collection was possible</w:t>
            </w:r>
          </w:p>
        </w:tc>
      </w:tr>
      <w:tr w:rsidR="00723435" w14:paraId="107E82EB" w14:textId="77777777" w:rsidTr="1524DEBB">
        <w:tc>
          <w:tcPr>
            <w:tcW w:w="3240" w:type="dxa"/>
            <w:tcMar>
              <w:top w:w="100" w:type="dxa"/>
              <w:left w:w="100" w:type="dxa"/>
              <w:bottom w:w="100" w:type="dxa"/>
              <w:right w:w="100" w:type="dxa"/>
            </w:tcMar>
            <w:vAlign w:val="center"/>
          </w:tcPr>
          <w:p w14:paraId="0000015D" w14:textId="0000015E"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Software inventory</w:t>
            </w:r>
          </w:p>
        </w:tc>
        <w:tc>
          <w:tcPr>
            <w:tcW w:w="2142" w:type="dxa"/>
            <w:tcMar>
              <w:top w:w="100" w:type="dxa"/>
              <w:left w:w="100" w:type="dxa"/>
              <w:bottom w:w="100" w:type="dxa"/>
              <w:right w:w="100" w:type="dxa"/>
            </w:tcMar>
            <w:vAlign w:val="center"/>
          </w:tcPr>
          <w:p w14:paraId="0000015F" w14:textId="00000160"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51.5% coverage</w:t>
            </w:r>
          </w:p>
        </w:tc>
        <w:tc>
          <w:tcPr>
            <w:tcW w:w="4338" w:type="dxa"/>
            <w:tcMar>
              <w:top w:w="100" w:type="dxa"/>
              <w:left w:w="100" w:type="dxa"/>
              <w:bottom w:w="100" w:type="dxa"/>
              <w:right w:w="100" w:type="dxa"/>
            </w:tcMar>
            <w:vAlign w:val="center"/>
          </w:tcPr>
          <w:p w14:paraId="00000161" w14:textId="00000162" w:rsidR="000B0F63" w:rsidRPr="00A61669" w:rsidRDefault="1BAB210A" w:rsidP="00460958">
            <w:pPr>
              <w:pStyle w:val="TableInfo"/>
              <w:rPr>
                <w:rFonts w:asciiTheme="majorHAnsi" w:hAnsiTheme="majorHAnsi" w:cstheme="majorHAnsi"/>
              </w:rPr>
            </w:pPr>
            <w:r w:rsidRPr="00A61669">
              <w:rPr>
                <w:rFonts w:asciiTheme="majorHAnsi" w:hAnsiTheme="majorHAnsi" w:cstheme="majorHAnsi"/>
                <w:lang w:val="en-GB"/>
              </w:rPr>
              <w:t>Identifies key software on half the estate</w:t>
            </w:r>
          </w:p>
        </w:tc>
      </w:tr>
      <w:tr w:rsidR="00723435" w14:paraId="5C9552B5" w14:textId="77777777" w:rsidTr="1524DEBB">
        <w:tc>
          <w:tcPr>
            <w:tcW w:w="3240" w:type="dxa"/>
            <w:tcMar>
              <w:top w:w="100" w:type="dxa"/>
              <w:left w:w="100" w:type="dxa"/>
              <w:bottom w:w="100" w:type="dxa"/>
              <w:right w:w="100" w:type="dxa"/>
            </w:tcMar>
            <w:vAlign w:val="center"/>
          </w:tcPr>
          <w:p w14:paraId="00000163" w14:textId="00000164"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Collection period</w:t>
            </w:r>
          </w:p>
        </w:tc>
        <w:tc>
          <w:tcPr>
            <w:tcW w:w="2142" w:type="dxa"/>
            <w:tcMar>
              <w:top w:w="100" w:type="dxa"/>
              <w:left w:w="100" w:type="dxa"/>
              <w:bottom w:w="100" w:type="dxa"/>
              <w:right w:w="100" w:type="dxa"/>
            </w:tcMar>
            <w:vAlign w:val="center"/>
          </w:tcPr>
          <w:p w14:paraId="00000165" w14:textId="00000166" w:rsidR="000B0F63" w:rsidRPr="00A61669" w:rsidRDefault="00C05D22" w:rsidP="00460958">
            <w:pPr>
              <w:pStyle w:val="TableInfo"/>
              <w:jc w:val="center"/>
              <w:rPr>
                <w:rFonts w:asciiTheme="majorHAnsi" w:hAnsiTheme="majorHAnsi" w:cstheme="majorHAnsi"/>
              </w:rPr>
            </w:pPr>
            <w:r w:rsidRPr="00A61669">
              <w:rPr>
                <w:rFonts w:asciiTheme="majorHAnsi" w:hAnsiTheme="majorHAnsi" w:cstheme="majorHAnsi"/>
              </w:rPr>
              <w:t>5 weeks</w:t>
            </w:r>
          </w:p>
        </w:tc>
        <w:tc>
          <w:tcPr>
            <w:tcW w:w="4338" w:type="dxa"/>
            <w:tcMar>
              <w:top w:w="100" w:type="dxa"/>
              <w:left w:w="100" w:type="dxa"/>
              <w:bottom w:w="100" w:type="dxa"/>
              <w:right w:w="100" w:type="dxa"/>
            </w:tcMar>
            <w:vAlign w:val="center"/>
          </w:tcPr>
          <w:p w14:paraId="00000167" w14:textId="00000168" w:rsidR="000B0F63" w:rsidRPr="00A61669" w:rsidRDefault="00C05D22" w:rsidP="00460958">
            <w:pPr>
              <w:pStyle w:val="TableInfo"/>
              <w:rPr>
                <w:rFonts w:asciiTheme="majorHAnsi" w:hAnsiTheme="majorHAnsi" w:cstheme="majorHAnsi"/>
              </w:rPr>
            </w:pPr>
            <w:r w:rsidRPr="00A61669">
              <w:rPr>
                <w:rFonts w:asciiTheme="majorHAnsi" w:hAnsiTheme="majorHAnsi" w:cstheme="majorHAnsi"/>
              </w:rPr>
              <w:t>19 February - 27 March 2026</w:t>
            </w:r>
          </w:p>
        </w:tc>
      </w:tr>
    </w:tbl>
    <w:p w14:paraId="1CB94B7B" w14:textId="4E54F023" w:rsidR="00460958" w:rsidRPr="00A61669" w:rsidRDefault="00845354" w:rsidP="00E40261">
      <w:pPr>
        <w:jc w:val="both"/>
        <w:rPr>
          <w:rFonts w:asciiTheme="majorHAnsi" w:hAnsiTheme="majorHAnsi" w:cstheme="majorHAnsi"/>
          <w:sz w:val="18"/>
          <w:szCs w:val="18"/>
        </w:rPr>
      </w:pPr>
      <w:r w:rsidRPr="00A61669">
        <w:rPr>
          <w:rFonts w:asciiTheme="majorHAnsi" w:hAnsiTheme="majorHAnsi" w:cstheme="majorHAnsi"/>
          <w:sz w:val="18"/>
          <w:szCs w:val="18"/>
        </w:rPr>
        <w:t>* Of the 3,038 in-scope servers, 280 were powered off or non-standard at the time of discovery (234 Windows, 31 appliances, 15 Solaris). These are priced at provisioned specifications.</w:t>
      </w:r>
    </w:p>
    <w:p w14:paraId="00000169" w14:textId="146E9466"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The coverage figures are a deliberate trade-off. </w:t>
      </w:r>
      <w:r w:rsidR="00100959" w:rsidRPr="00A61669">
        <w:rPr>
          <w:rFonts w:asciiTheme="majorHAnsi" w:hAnsiTheme="majorHAnsi" w:cstheme="majorHAnsi"/>
        </w:rPr>
        <w:t>Part 1</w:t>
      </w:r>
      <w:r w:rsidRPr="00A61669">
        <w:rPr>
          <w:rFonts w:asciiTheme="majorHAnsi" w:hAnsiTheme="majorHAnsi" w:cstheme="majorHAnsi"/>
        </w:rPr>
        <w:t xml:space="preserve"> achieved breadth (every in-scope server discovered) with moderate depth on software and network dependencies. The depth required for migration execution is a </w:t>
      </w:r>
      <w:r w:rsidR="00100959" w:rsidRPr="00A61669">
        <w:rPr>
          <w:rFonts w:asciiTheme="majorHAnsi" w:hAnsiTheme="majorHAnsi" w:cstheme="majorHAnsi"/>
        </w:rPr>
        <w:t>Part 2</w:t>
      </w:r>
      <w:r w:rsidRPr="00A61669">
        <w:rPr>
          <w:rFonts w:asciiTheme="majorHAnsi" w:hAnsiTheme="majorHAnsi" w:cstheme="majorHAnsi"/>
        </w:rPr>
        <w:t xml:space="preserve"> activity. </w:t>
      </w:r>
      <w:r w:rsidR="00E436A1" w:rsidRPr="00A61669">
        <w:rPr>
          <w:rFonts w:asciiTheme="majorHAnsi" w:hAnsiTheme="majorHAnsi" w:cstheme="majorHAnsi"/>
        </w:rPr>
        <w:t>Rackspace</w:t>
      </w:r>
      <w:r w:rsidRPr="00A61669">
        <w:rPr>
          <w:rFonts w:asciiTheme="majorHAnsi" w:hAnsiTheme="majorHAnsi" w:cstheme="majorHAnsi"/>
        </w:rPr>
        <w:t xml:space="preserve"> explain why in the discovery narrative below.</w:t>
      </w:r>
    </w:p>
    <w:p w14:paraId="0000016B" w14:textId="0000016C" w:rsidR="000B0F63" w:rsidRPr="00A61669" w:rsidRDefault="1BAB210A" w:rsidP="00E40261">
      <w:pPr>
        <w:pStyle w:val="Heading2"/>
        <w:jc w:val="both"/>
        <w:rPr>
          <w:rFonts w:asciiTheme="majorHAnsi" w:hAnsiTheme="majorHAnsi" w:cstheme="majorHAnsi"/>
        </w:rPr>
      </w:pPr>
      <w:bookmarkStart w:id="65" w:name="_Toc134"/>
      <w:bookmarkStart w:id="66" w:name="_Toc227770917"/>
      <w:r w:rsidRPr="00A61669">
        <w:rPr>
          <w:rFonts w:asciiTheme="majorHAnsi" w:hAnsiTheme="majorHAnsi" w:cstheme="majorHAnsi"/>
        </w:rPr>
        <w:t>Database Landscape</w:t>
      </w:r>
      <w:bookmarkEnd w:id="65"/>
      <w:bookmarkEnd w:id="66"/>
    </w:p>
    <w:p w14:paraId="0000016D" w14:textId="1E19FDAD"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The database estate drives a disproportionate share of complexity and cost. </w:t>
      </w:r>
      <w:r w:rsidR="007415CD" w:rsidRPr="00A61669">
        <w:rPr>
          <w:rFonts w:asciiTheme="majorHAnsi" w:hAnsiTheme="majorHAnsi" w:cstheme="majorHAnsi"/>
        </w:rPr>
        <w:t>DMG Media</w:t>
      </w:r>
      <w:r w:rsidRPr="00A61669">
        <w:rPr>
          <w:rFonts w:asciiTheme="majorHAnsi" w:hAnsiTheme="majorHAnsi" w:cstheme="majorHAnsi"/>
        </w:rPr>
        <w:t xml:space="preserve"> have:</w:t>
      </w:r>
    </w:p>
    <w:p w14:paraId="0000016F" w14:textId="392E24D8" w:rsidR="000B0F63" w:rsidRPr="00A61669" w:rsidRDefault="00C05D22" w:rsidP="00EC2FA3">
      <w:pPr>
        <w:pStyle w:val="ListBullet"/>
        <w:numPr>
          <w:ilvl w:val="0"/>
          <w:numId w:val="8"/>
        </w:numPr>
        <w:jc w:val="both"/>
        <w:rPr>
          <w:rFonts w:asciiTheme="majorHAnsi" w:hAnsiTheme="majorHAnsi" w:cstheme="majorBidi"/>
        </w:rPr>
      </w:pPr>
      <w:r w:rsidRPr="0C97889C">
        <w:rPr>
          <w:rFonts w:asciiTheme="majorHAnsi" w:hAnsiTheme="majorHAnsi" w:cstheme="majorBidi"/>
          <w:b/>
        </w:rPr>
        <w:t xml:space="preserve">Oracle: </w:t>
      </w:r>
      <w:r w:rsidR="005C71C9" w:rsidRPr="0C97889C">
        <w:rPr>
          <w:rFonts w:asciiTheme="majorHAnsi" w:hAnsiTheme="majorHAnsi" w:cstheme="majorBidi"/>
        </w:rPr>
        <w:t>6 physical RAC servers across 4 in-scope clusters (</w:t>
      </w:r>
      <w:r w:rsidR="00490323" w:rsidRPr="0C97889C">
        <w:rPr>
          <w:rFonts w:asciiTheme="majorHAnsi" w:hAnsiTheme="majorHAnsi" w:cstheme="majorBidi"/>
        </w:rPr>
        <w:t>Mail Online</w:t>
      </w:r>
      <w:r w:rsidR="005C71C9" w:rsidRPr="0C97889C">
        <w:rPr>
          <w:rFonts w:asciiTheme="majorHAnsi" w:hAnsiTheme="majorHAnsi" w:cstheme="majorBidi"/>
        </w:rPr>
        <w:t xml:space="preserve"> A, </w:t>
      </w:r>
      <w:r w:rsidR="00490323" w:rsidRPr="0C97889C">
        <w:rPr>
          <w:rFonts w:asciiTheme="majorHAnsi" w:hAnsiTheme="majorHAnsi" w:cstheme="majorBidi"/>
        </w:rPr>
        <w:t>Mail Online</w:t>
      </w:r>
      <w:r w:rsidR="005C71C9" w:rsidRPr="0C97889C">
        <w:rPr>
          <w:rFonts w:asciiTheme="majorHAnsi" w:hAnsiTheme="majorHAnsi" w:cstheme="majorBidi"/>
        </w:rPr>
        <w:t xml:space="preserve"> B, Atex, CHP). Additional Oracle clusters exist outside the </w:t>
      </w:r>
      <w:r w:rsidR="00100959" w:rsidRPr="0C97889C">
        <w:rPr>
          <w:rFonts w:asciiTheme="majorHAnsi" w:hAnsiTheme="majorHAnsi" w:cstheme="majorBidi"/>
        </w:rPr>
        <w:t>Part 1</w:t>
      </w:r>
      <w:r w:rsidR="005C71C9" w:rsidRPr="0C97889C">
        <w:rPr>
          <w:rFonts w:asciiTheme="majorHAnsi" w:hAnsiTheme="majorHAnsi" w:cstheme="majorBidi"/>
        </w:rPr>
        <w:t xml:space="preserve"> scope boundary and are catalogued for </w:t>
      </w:r>
      <w:r w:rsidR="00100959" w:rsidRPr="0C97889C">
        <w:rPr>
          <w:rFonts w:asciiTheme="majorHAnsi" w:hAnsiTheme="majorHAnsi" w:cstheme="majorBidi"/>
        </w:rPr>
        <w:t>Part 2</w:t>
      </w:r>
      <w:r w:rsidR="005C71C9" w:rsidRPr="0C97889C">
        <w:rPr>
          <w:rFonts w:asciiTheme="majorHAnsi" w:hAnsiTheme="majorHAnsi" w:cstheme="majorBidi"/>
        </w:rPr>
        <w:t xml:space="preserve">. </w:t>
      </w:r>
      <w:r w:rsidRPr="0C97889C">
        <w:rPr>
          <w:rFonts w:asciiTheme="majorHAnsi" w:hAnsiTheme="majorHAnsi" w:cstheme="majorBidi"/>
        </w:rPr>
        <w:t xml:space="preserve">24 processor </w:t>
      </w:r>
      <w:r w:rsidR="0D237E65" w:rsidRPr="0C97889C">
        <w:rPr>
          <w:rFonts w:asciiTheme="majorHAnsi" w:hAnsiTheme="majorHAnsi" w:cstheme="majorBidi"/>
        </w:rPr>
        <w:t>license's</w:t>
      </w:r>
      <w:r w:rsidRPr="0C97889C">
        <w:rPr>
          <w:rFonts w:asciiTheme="majorHAnsi" w:hAnsiTheme="majorHAnsi" w:cstheme="majorBidi"/>
        </w:rPr>
        <w:t xml:space="preserve"> (perpetual), annual support </w:t>
      </w:r>
      <w:r w:rsidR="7E649A29" w:rsidRPr="5C1C4832">
        <w:rPr>
          <w:rFonts w:asciiTheme="majorHAnsi" w:hAnsiTheme="majorHAnsi" w:cstheme="majorBidi"/>
        </w:rPr>
        <w:t>of</w:t>
      </w:r>
      <w:r w:rsidRPr="5C1C4832">
        <w:rPr>
          <w:rFonts w:asciiTheme="majorHAnsi" w:hAnsiTheme="majorHAnsi" w:cstheme="majorBidi"/>
        </w:rPr>
        <w:t xml:space="preserve"> </w:t>
      </w:r>
      <w:r w:rsidR="00312BB7" w:rsidRPr="0C97889C">
        <w:rPr>
          <w:rFonts w:asciiTheme="majorHAnsi" w:hAnsiTheme="majorHAnsi" w:cstheme="majorBidi"/>
        </w:rPr>
        <w:t>£</w:t>
      </w:r>
      <w:r w:rsidRPr="0C97889C">
        <w:rPr>
          <w:rFonts w:asciiTheme="majorHAnsi" w:hAnsiTheme="majorHAnsi" w:cstheme="majorBidi"/>
        </w:rPr>
        <w:t>650K. Combined raw Oracle storage is approximately 540 TB. Actual data per cluster inventory is approximately 176 TB (around 96 TB production, 80 TB standby replica). The remainder is ASM mirroring, redo and archive logs, and temp tablespaces.</w:t>
      </w:r>
      <w:r w:rsidR="00C16841" w:rsidRPr="0C97889C">
        <w:rPr>
          <w:rFonts w:asciiTheme="majorHAnsi" w:hAnsiTheme="majorHAnsi" w:cstheme="majorBidi"/>
        </w:rPr>
        <w:t xml:space="preserve"> The Oracle databases hold approximately 176 TB of actual data. The remaining storage is required by Oracle's internal architecture (mirroring, </w:t>
      </w:r>
      <w:r w:rsidR="00C16841" w:rsidRPr="0C97889C">
        <w:rPr>
          <w:rFonts w:asciiTheme="majorHAnsi" w:hAnsiTheme="majorHAnsi" w:cstheme="majorBidi"/>
        </w:rPr>
        <w:lastRenderedPageBreak/>
        <w:t>logs, and temporary working space). Cloud sizing is based on the 176 TB data figure, not the raw 540 TB.</w:t>
      </w:r>
    </w:p>
    <w:p w14:paraId="00000171" w14:textId="2D7F7FCC" w:rsidR="000B0F63" w:rsidRPr="00A61669" w:rsidRDefault="00C05D22" w:rsidP="00EC2FA3">
      <w:pPr>
        <w:pStyle w:val="ListBullet"/>
        <w:numPr>
          <w:ilvl w:val="0"/>
          <w:numId w:val="8"/>
        </w:numPr>
        <w:jc w:val="both"/>
        <w:rPr>
          <w:rFonts w:asciiTheme="majorHAnsi" w:hAnsiTheme="majorHAnsi" w:cstheme="majorHAnsi"/>
        </w:rPr>
      </w:pPr>
      <w:r w:rsidRPr="00A61669">
        <w:rPr>
          <w:rFonts w:asciiTheme="majorHAnsi" w:hAnsiTheme="majorHAnsi" w:cstheme="majorHAnsi"/>
          <w:b/>
        </w:rPr>
        <w:t xml:space="preserve">SQL Server: </w:t>
      </w:r>
      <w:r w:rsidRPr="00A61669">
        <w:rPr>
          <w:rFonts w:asciiTheme="majorHAnsi" w:hAnsiTheme="majorHAnsi" w:cstheme="majorHAnsi"/>
        </w:rPr>
        <w:t>49 instances across 29 hosts, 252 cores, 185 databases. 48 Enterprise Edition cores (Reading datacentre, Datacenter edition), 66 Standard Edition cores (Slough). Covered by Microsoft Enterprise Agreement with Software Assurance.</w:t>
      </w:r>
      <w:r w:rsidR="00DB3F34" w:rsidRPr="00A61669">
        <w:rPr>
          <w:rFonts w:asciiTheme="majorHAnsi" w:hAnsiTheme="majorHAnsi" w:cstheme="majorHAnsi"/>
        </w:rPr>
        <w:t xml:space="preserve"> (33 instances, BYOL E</w:t>
      </w:r>
      <w:r w:rsidR="006D26FB" w:rsidRPr="00A61669">
        <w:rPr>
          <w:rFonts w:asciiTheme="majorHAnsi" w:hAnsiTheme="majorHAnsi" w:cstheme="majorHAnsi"/>
        </w:rPr>
        <w:t>ligible</w:t>
      </w:r>
      <w:r w:rsidR="00DB3F34" w:rsidRPr="00A61669">
        <w:rPr>
          <w:rFonts w:asciiTheme="majorHAnsi" w:hAnsiTheme="majorHAnsi" w:cstheme="majorHAnsi"/>
        </w:rPr>
        <w:t>)</w:t>
      </w:r>
    </w:p>
    <w:p w14:paraId="00000173" w14:textId="53F8E363" w:rsidR="000B0F63" w:rsidRPr="00A61669" w:rsidRDefault="00C05D22" w:rsidP="00EC2FA3">
      <w:pPr>
        <w:pStyle w:val="ListBullet"/>
        <w:numPr>
          <w:ilvl w:val="0"/>
          <w:numId w:val="8"/>
        </w:numPr>
        <w:jc w:val="both"/>
        <w:rPr>
          <w:rFonts w:asciiTheme="majorHAnsi" w:hAnsiTheme="majorHAnsi" w:cstheme="majorHAnsi"/>
        </w:rPr>
      </w:pPr>
      <w:r w:rsidRPr="00A61669">
        <w:rPr>
          <w:rFonts w:asciiTheme="majorHAnsi" w:hAnsiTheme="majorHAnsi" w:cstheme="majorHAnsi"/>
          <w:b/>
        </w:rPr>
        <w:t xml:space="preserve">Other databases: </w:t>
      </w:r>
      <w:r w:rsidRPr="00A61669">
        <w:rPr>
          <w:rFonts w:asciiTheme="majorHAnsi" w:hAnsiTheme="majorHAnsi" w:cstheme="majorHAnsi"/>
        </w:rPr>
        <w:t xml:space="preserve">MongoDB, MySQL, PostgreSQL, Redis appear across the </w:t>
      </w:r>
      <w:r w:rsidR="00490323" w:rsidRPr="00A61669">
        <w:rPr>
          <w:rFonts w:asciiTheme="majorHAnsi" w:hAnsiTheme="majorHAnsi" w:cstheme="majorHAnsi"/>
        </w:rPr>
        <w:t>Mail Online</w:t>
      </w:r>
      <w:r w:rsidRPr="00A61669">
        <w:rPr>
          <w:rFonts w:asciiTheme="majorHAnsi" w:hAnsiTheme="majorHAnsi" w:cstheme="majorHAnsi"/>
        </w:rPr>
        <w:t xml:space="preserve"> estate, each in specific sub-services rather than as estate-wide platforms.</w:t>
      </w:r>
    </w:p>
    <w:p w14:paraId="00000175" w14:textId="54C628C6" w:rsidR="000B0F63" w:rsidRPr="00A61669" w:rsidRDefault="00C05D22" w:rsidP="00EC2FA3">
      <w:pPr>
        <w:pStyle w:val="ListBullet"/>
        <w:numPr>
          <w:ilvl w:val="0"/>
          <w:numId w:val="8"/>
        </w:numPr>
        <w:jc w:val="both"/>
        <w:rPr>
          <w:rFonts w:asciiTheme="majorHAnsi" w:hAnsiTheme="majorHAnsi" w:cstheme="majorHAnsi"/>
        </w:rPr>
      </w:pPr>
      <w:r w:rsidRPr="00A61669">
        <w:rPr>
          <w:rFonts w:asciiTheme="majorHAnsi" w:hAnsiTheme="majorHAnsi" w:cstheme="majorHAnsi"/>
          <w:b/>
        </w:rPr>
        <w:t xml:space="preserve">One critical gap: </w:t>
      </w:r>
      <w:r w:rsidR="00C7022F" w:rsidRPr="00A61669">
        <w:rPr>
          <w:rFonts w:asciiTheme="majorHAnsi" w:hAnsiTheme="majorHAnsi" w:cstheme="majorHAnsi"/>
        </w:rPr>
        <w:t xml:space="preserve">One critical gap: the </w:t>
      </w:r>
      <w:r w:rsidR="00490323" w:rsidRPr="00A61669">
        <w:rPr>
          <w:rFonts w:asciiTheme="majorHAnsi" w:hAnsiTheme="majorHAnsi" w:cstheme="majorHAnsi"/>
        </w:rPr>
        <w:t>Mail Online</w:t>
      </w:r>
      <w:r w:rsidR="00C7022F" w:rsidRPr="00A61669">
        <w:rPr>
          <w:rFonts w:asciiTheme="majorHAnsi" w:hAnsiTheme="majorHAnsi" w:cstheme="majorHAnsi"/>
        </w:rPr>
        <w:t xml:space="preserve"> B-cluster is the production primary Oracle database and has no DMA assessment data collected. Coordination constraints during </w:t>
      </w:r>
      <w:r w:rsidR="00100959" w:rsidRPr="00A61669">
        <w:rPr>
          <w:rFonts w:asciiTheme="majorHAnsi" w:hAnsiTheme="majorHAnsi" w:cstheme="majorHAnsi"/>
        </w:rPr>
        <w:t>Part 1</w:t>
      </w:r>
      <w:r w:rsidR="00C7022F" w:rsidRPr="00A61669">
        <w:rPr>
          <w:rFonts w:asciiTheme="majorHAnsi" w:hAnsiTheme="majorHAnsi" w:cstheme="majorHAnsi"/>
        </w:rPr>
        <w:t xml:space="preserve"> (access sequencing across infrastructure, database, and security teams) prevented collection within the data freeze window. DMA data was successfully collected for 11 database instances across 7 hosts, covering the </w:t>
      </w:r>
      <w:r w:rsidR="00490323" w:rsidRPr="00A61669">
        <w:rPr>
          <w:rFonts w:asciiTheme="majorHAnsi" w:hAnsiTheme="majorHAnsi" w:cstheme="majorHAnsi"/>
        </w:rPr>
        <w:t>Mail Online</w:t>
      </w:r>
      <w:r w:rsidR="00C7022F" w:rsidRPr="00A61669">
        <w:rPr>
          <w:rFonts w:asciiTheme="majorHAnsi" w:hAnsiTheme="majorHAnsi" w:cstheme="majorHAnsi"/>
        </w:rPr>
        <w:t xml:space="preserve"> A-cluster and other Oracle environments. The B-cluster Oracle cost estimates that follow are based on provisioned hardware specifications, not observed workload. Collecting DMA data on the B-cluster is the highest-priority action for </w:t>
      </w:r>
      <w:r w:rsidR="00100959" w:rsidRPr="00A61669">
        <w:rPr>
          <w:rFonts w:asciiTheme="majorHAnsi" w:hAnsiTheme="majorHAnsi" w:cstheme="majorHAnsi"/>
        </w:rPr>
        <w:t>Part 2</w:t>
      </w:r>
      <w:r w:rsidR="00C7022F" w:rsidRPr="00A61669">
        <w:rPr>
          <w:rFonts w:asciiTheme="majorHAnsi" w:hAnsiTheme="majorHAnsi" w:cstheme="majorHAnsi"/>
        </w:rPr>
        <w:t>.</w:t>
      </w:r>
    </w:p>
    <w:p w14:paraId="00000177" w14:textId="00000178" w:rsidR="000B0F63" w:rsidRPr="00A61669" w:rsidRDefault="1BAB210A" w:rsidP="00E40261">
      <w:pPr>
        <w:pStyle w:val="Heading2"/>
        <w:jc w:val="both"/>
        <w:rPr>
          <w:rFonts w:asciiTheme="majorHAnsi" w:hAnsiTheme="majorHAnsi" w:cstheme="majorHAnsi"/>
        </w:rPr>
      </w:pPr>
      <w:bookmarkStart w:id="67" w:name="_Toc135"/>
      <w:bookmarkStart w:id="68" w:name="_Toc227770918"/>
      <w:r w:rsidRPr="00A61669">
        <w:rPr>
          <w:rFonts w:asciiTheme="majorHAnsi" w:hAnsiTheme="majorHAnsi" w:cstheme="majorHAnsi"/>
        </w:rPr>
        <w:t>Applications</w:t>
      </w:r>
      <w:bookmarkEnd w:id="67"/>
      <w:bookmarkEnd w:id="68"/>
    </w:p>
    <w:p w14:paraId="00000179" w14:textId="6A4E89FA"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DMG Media </w:t>
      </w:r>
      <w:r w:rsidR="00127CE4" w:rsidRPr="00A61669">
        <w:rPr>
          <w:rFonts w:asciiTheme="majorHAnsi" w:hAnsiTheme="majorHAnsi" w:cstheme="majorHAnsi"/>
        </w:rPr>
        <w:t>has 39 in-scope applications documented across the assessed estate.</w:t>
      </w:r>
      <w:r w:rsidR="00C013EF" w:rsidRPr="00A61669">
        <w:rPr>
          <w:rFonts w:asciiTheme="majorHAnsi" w:hAnsiTheme="majorHAnsi" w:cstheme="majorHAnsi"/>
        </w:rPr>
        <w:t xml:space="preserve"> </w:t>
      </w:r>
      <w:r w:rsidRPr="00A61669">
        <w:rPr>
          <w:rFonts w:asciiTheme="majorHAnsi" w:hAnsiTheme="majorHAnsi" w:cstheme="majorHAnsi"/>
        </w:rPr>
        <w:t xml:space="preserve">The top </w:t>
      </w:r>
      <w:r w:rsidR="00400C13" w:rsidRPr="00A61669">
        <w:rPr>
          <w:rFonts w:asciiTheme="majorHAnsi" w:hAnsiTheme="majorHAnsi" w:cstheme="majorHAnsi"/>
        </w:rPr>
        <w:t xml:space="preserve">four </w:t>
      </w:r>
      <w:r w:rsidRPr="00A61669">
        <w:rPr>
          <w:rFonts w:asciiTheme="majorHAnsi" w:hAnsiTheme="majorHAnsi" w:cstheme="majorHAnsi"/>
        </w:rPr>
        <w:t xml:space="preserve">by server count account for more than </w:t>
      </w:r>
      <w:r w:rsidR="00400C13" w:rsidRPr="00A61669">
        <w:rPr>
          <w:rFonts w:asciiTheme="majorHAnsi" w:hAnsiTheme="majorHAnsi" w:cstheme="majorHAnsi"/>
        </w:rPr>
        <w:t xml:space="preserve">85 </w:t>
      </w:r>
      <w:r w:rsidRPr="00A61669">
        <w:rPr>
          <w:rFonts w:asciiTheme="majorHAnsi" w:hAnsiTheme="majorHAnsi" w:cstheme="majorHAnsi"/>
        </w:rPr>
        <w:t xml:space="preserve">percent of in-scope servers. The remaining </w:t>
      </w:r>
      <w:r w:rsidR="00400C13" w:rsidRPr="00A61669">
        <w:rPr>
          <w:rFonts w:asciiTheme="majorHAnsi" w:hAnsiTheme="majorHAnsi" w:cstheme="majorHAnsi"/>
        </w:rPr>
        <w:t>35</w:t>
      </w:r>
      <w:r w:rsidRPr="00A61669">
        <w:rPr>
          <w:rFonts w:asciiTheme="majorHAnsi" w:hAnsiTheme="majorHAnsi" w:cstheme="majorHAnsi"/>
        </w:rPr>
        <w:t xml:space="preserve"> applications are mostly single-server editorial tooling, shared services, and supporting infrastructure.</w:t>
      </w:r>
    </w:p>
    <w:p w14:paraId="0000017B" w14:textId="0000017C" w:rsidR="000B0F63" w:rsidRPr="00A61669" w:rsidRDefault="1BAB210A" w:rsidP="00E40261">
      <w:pPr>
        <w:pStyle w:val="Heading3"/>
        <w:jc w:val="both"/>
        <w:rPr>
          <w:rFonts w:asciiTheme="majorHAnsi" w:hAnsiTheme="majorHAnsi" w:cstheme="majorHAnsi"/>
        </w:rPr>
      </w:pPr>
      <w:bookmarkStart w:id="69" w:name="_Toc136"/>
      <w:bookmarkStart w:id="70" w:name="_Toc227770919"/>
      <w:r w:rsidRPr="00A61669">
        <w:rPr>
          <w:rFonts w:asciiTheme="majorHAnsi" w:hAnsiTheme="majorHAnsi" w:cstheme="majorHAnsi"/>
        </w:rPr>
        <w:t>Top ten applications by server count</w:t>
      </w:r>
      <w:bookmarkEnd w:id="69"/>
      <w:bookmarkEnd w:id="70"/>
    </w:p>
    <w:tbl>
      <w:tblPr>
        <w:tblW w:w="9720" w:type="dxa"/>
        <w:tblCellMar>
          <w:top w:w="100" w:type="dxa"/>
          <w:left w:w="100" w:type="dxa"/>
          <w:bottom w:w="100" w:type="dxa"/>
          <w:right w:w="100" w:type="dxa"/>
        </w:tblCellMar>
        <w:tblLook w:val="04A0" w:firstRow="1" w:lastRow="0" w:firstColumn="1" w:lastColumn="0" w:noHBand="0" w:noVBand="1"/>
      </w:tblPr>
      <w:tblGrid>
        <w:gridCol w:w="1838"/>
        <w:gridCol w:w="1134"/>
        <w:gridCol w:w="1418"/>
        <w:gridCol w:w="5330"/>
      </w:tblGrid>
      <w:tr w:rsidR="007E4C3F" w14:paraId="778EB40D" w14:textId="77777777" w:rsidTr="1524DEBB">
        <w:tc>
          <w:tcPr>
            <w:tcW w:w="1838" w:type="dxa"/>
            <w:shd w:val="clear" w:color="auto" w:fill="D9D9D9" w:themeFill="background1" w:themeFillShade="D9"/>
            <w:tcMar>
              <w:top w:w="100" w:type="dxa"/>
              <w:left w:w="100" w:type="dxa"/>
              <w:bottom w:w="100" w:type="dxa"/>
              <w:right w:w="100" w:type="dxa"/>
            </w:tcMar>
            <w:vAlign w:val="center"/>
          </w:tcPr>
          <w:p w14:paraId="0000017D" w14:textId="0000017E" w:rsidR="000B0F63" w:rsidRPr="00A61669" w:rsidRDefault="00C05D22" w:rsidP="003F3BDB">
            <w:pPr>
              <w:pStyle w:val="TableHeader"/>
              <w:jc w:val="center"/>
              <w:rPr>
                <w:rFonts w:asciiTheme="majorHAnsi" w:hAnsiTheme="majorHAnsi" w:cstheme="majorHAnsi"/>
              </w:rPr>
            </w:pPr>
            <w:r w:rsidRPr="00A61669">
              <w:rPr>
                <w:rFonts w:asciiTheme="majorHAnsi" w:hAnsiTheme="majorHAnsi" w:cstheme="majorHAnsi"/>
              </w:rPr>
              <w:t>Application</w:t>
            </w:r>
          </w:p>
        </w:tc>
        <w:tc>
          <w:tcPr>
            <w:tcW w:w="1134" w:type="dxa"/>
            <w:shd w:val="clear" w:color="auto" w:fill="D9D9D9" w:themeFill="background1" w:themeFillShade="D9"/>
            <w:tcMar>
              <w:top w:w="100" w:type="dxa"/>
              <w:left w:w="100" w:type="dxa"/>
              <w:bottom w:w="100" w:type="dxa"/>
              <w:right w:w="100" w:type="dxa"/>
            </w:tcMar>
            <w:vAlign w:val="center"/>
          </w:tcPr>
          <w:p w14:paraId="0000017F" w14:textId="00000180" w:rsidR="000B0F63" w:rsidRPr="00A61669" w:rsidRDefault="00C05D22" w:rsidP="003F3BDB">
            <w:pPr>
              <w:pStyle w:val="TableHeader"/>
              <w:jc w:val="center"/>
              <w:rPr>
                <w:rFonts w:asciiTheme="majorHAnsi" w:hAnsiTheme="majorHAnsi" w:cstheme="majorHAnsi"/>
              </w:rPr>
            </w:pPr>
            <w:r w:rsidRPr="00A61669">
              <w:rPr>
                <w:rFonts w:asciiTheme="majorHAnsi" w:hAnsiTheme="majorHAnsi" w:cstheme="majorHAnsi"/>
              </w:rPr>
              <w:t>Servers</w:t>
            </w:r>
          </w:p>
        </w:tc>
        <w:tc>
          <w:tcPr>
            <w:tcW w:w="1418" w:type="dxa"/>
            <w:shd w:val="clear" w:color="auto" w:fill="D9D9D9" w:themeFill="background1" w:themeFillShade="D9"/>
            <w:tcMar>
              <w:top w:w="100" w:type="dxa"/>
              <w:left w:w="100" w:type="dxa"/>
              <w:bottom w:w="100" w:type="dxa"/>
              <w:right w:w="100" w:type="dxa"/>
            </w:tcMar>
            <w:vAlign w:val="center"/>
          </w:tcPr>
          <w:p w14:paraId="00000181" w14:textId="00000182" w:rsidR="000B0F63" w:rsidRPr="00A61669" w:rsidRDefault="00C05D22" w:rsidP="003F3BDB">
            <w:pPr>
              <w:pStyle w:val="TableHeader"/>
              <w:jc w:val="center"/>
              <w:rPr>
                <w:rFonts w:asciiTheme="majorHAnsi" w:hAnsiTheme="majorHAnsi" w:cstheme="majorHAnsi"/>
              </w:rPr>
            </w:pPr>
            <w:r w:rsidRPr="00A61669">
              <w:rPr>
                <w:rFonts w:asciiTheme="majorHAnsi" w:hAnsiTheme="majorHAnsi" w:cstheme="majorHAnsi"/>
              </w:rPr>
              <w:t>% of in-scope</w:t>
            </w:r>
          </w:p>
        </w:tc>
        <w:tc>
          <w:tcPr>
            <w:tcW w:w="5330" w:type="dxa"/>
            <w:shd w:val="clear" w:color="auto" w:fill="D9D9D9" w:themeFill="background1" w:themeFillShade="D9"/>
            <w:tcMar>
              <w:top w:w="100" w:type="dxa"/>
              <w:left w:w="100" w:type="dxa"/>
              <w:bottom w:w="100" w:type="dxa"/>
              <w:right w:w="100" w:type="dxa"/>
            </w:tcMar>
            <w:vAlign w:val="center"/>
          </w:tcPr>
          <w:p w14:paraId="00000183" w14:textId="00000184" w:rsidR="000B0F63" w:rsidRPr="00A61669" w:rsidRDefault="00C05D22" w:rsidP="003F3BDB">
            <w:pPr>
              <w:pStyle w:val="TableHeader"/>
              <w:jc w:val="center"/>
              <w:rPr>
                <w:rFonts w:asciiTheme="majorHAnsi" w:hAnsiTheme="majorHAnsi" w:cstheme="majorHAnsi"/>
              </w:rPr>
            </w:pPr>
            <w:r w:rsidRPr="00A61669">
              <w:rPr>
                <w:rFonts w:asciiTheme="majorHAnsi" w:hAnsiTheme="majorHAnsi" w:cstheme="majorHAnsi"/>
              </w:rPr>
              <w:t>What it does</w:t>
            </w:r>
          </w:p>
        </w:tc>
      </w:tr>
      <w:tr w:rsidR="00906732" w14:paraId="118AA0D7" w14:textId="77777777" w:rsidTr="1524DEBB">
        <w:tc>
          <w:tcPr>
            <w:tcW w:w="1838" w:type="dxa"/>
            <w:tcMar>
              <w:top w:w="100" w:type="dxa"/>
              <w:left w:w="100" w:type="dxa"/>
              <w:bottom w:w="100" w:type="dxa"/>
              <w:right w:w="100" w:type="dxa"/>
            </w:tcMar>
            <w:vAlign w:val="center"/>
          </w:tcPr>
          <w:p w14:paraId="00000185" w14:textId="7FD38991" w:rsidR="000B0F63" w:rsidRPr="00A61669" w:rsidRDefault="00490323" w:rsidP="003F3BDB">
            <w:pPr>
              <w:pStyle w:val="TableInfo"/>
              <w:jc w:val="center"/>
              <w:rPr>
                <w:rFonts w:asciiTheme="majorHAnsi" w:hAnsiTheme="majorHAnsi" w:cstheme="majorHAnsi"/>
              </w:rPr>
            </w:pPr>
            <w:r w:rsidRPr="00A61669">
              <w:rPr>
                <w:rFonts w:asciiTheme="majorHAnsi" w:hAnsiTheme="majorHAnsi" w:cstheme="majorHAnsi"/>
              </w:rPr>
              <w:t>Mail Online</w:t>
            </w:r>
          </w:p>
        </w:tc>
        <w:tc>
          <w:tcPr>
            <w:tcW w:w="1134" w:type="dxa"/>
            <w:tcMar>
              <w:top w:w="100" w:type="dxa"/>
              <w:left w:w="100" w:type="dxa"/>
              <w:bottom w:w="100" w:type="dxa"/>
              <w:right w:w="100" w:type="dxa"/>
            </w:tcMar>
            <w:vAlign w:val="center"/>
          </w:tcPr>
          <w:p w14:paraId="00000187" w14:textId="00000188"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2,206</w:t>
            </w:r>
          </w:p>
        </w:tc>
        <w:tc>
          <w:tcPr>
            <w:tcW w:w="1418" w:type="dxa"/>
            <w:tcMar>
              <w:top w:w="100" w:type="dxa"/>
              <w:left w:w="100" w:type="dxa"/>
              <w:bottom w:w="100" w:type="dxa"/>
              <w:right w:w="100" w:type="dxa"/>
            </w:tcMar>
            <w:vAlign w:val="center"/>
          </w:tcPr>
          <w:p w14:paraId="00000189" w14:textId="0000018A"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72.6%</w:t>
            </w:r>
          </w:p>
        </w:tc>
        <w:tc>
          <w:tcPr>
            <w:tcW w:w="5330" w:type="dxa"/>
            <w:tcMar>
              <w:top w:w="100" w:type="dxa"/>
              <w:left w:w="100" w:type="dxa"/>
              <w:bottom w:w="100" w:type="dxa"/>
              <w:right w:w="100" w:type="dxa"/>
            </w:tcMar>
            <w:vAlign w:val="center"/>
          </w:tcPr>
          <w:p w14:paraId="0000018B" w14:textId="495F126C" w:rsidR="000B0F63" w:rsidRPr="00A61669" w:rsidRDefault="0088745F" w:rsidP="000A13B1">
            <w:pPr>
              <w:pStyle w:val="TableInfo"/>
              <w:rPr>
                <w:rFonts w:asciiTheme="majorHAnsi" w:hAnsiTheme="majorHAnsi" w:cstheme="majorHAnsi"/>
              </w:rPr>
            </w:pPr>
            <w:r w:rsidRPr="00A61669">
              <w:rPr>
                <w:rFonts w:asciiTheme="majorHAnsi" w:hAnsiTheme="majorHAnsi" w:cstheme="majorHAnsi"/>
                <w:lang w:val="en-GB"/>
              </w:rPr>
              <w:t>Mail Online</w:t>
            </w:r>
            <w:r w:rsidR="00C05D22" w:rsidRPr="00A61669">
              <w:rPr>
                <w:rFonts w:asciiTheme="majorHAnsi" w:hAnsiTheme="majorHAnsi" w:cstheme="majorHAnsi"/>
                <w:lang w:val="en-GB"/>
              </w:rPr>
              <w:t>: the digital platform. 91 identified sub-components including search, commenting, video processing, content creation, advertising, real-time analytics, and the Oracle data layer.</w:t>
            </w:r>
          </w:p>
        </w:tc>
      </w:tr>
      <w:tr w:rsidR="00906732" w14:paraId="36FEE8BB" w14:textId="77777777" w:rsidTr="1524DEBB">
        <w:tc>
          <w:tcPr>
            <w:tcW w:w="1838" w:type="dxa"/>
            <w:tcMar>
              <w:top w:w="100" w:type="dxa"/>
              <w:left w:w="100" w:type="dxa"/>
              <w:bottom w:w="100" w:type="dxa"/>
              <w:right w:w="100" w:type="dxa"/>
            </w:tcMar>
            <w:vAlign w:val="center"/>
          </w:tcPr>
          <w:p w14:paraId="0000018D" w14:textId="0000018E"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CHP</w:t>
            </w:r>
          </w:p>
        </w:tc>
        <w:tc>
          <w:tcPr>
            <w:tcW w:w="1134" w:type="dxa"/>
            <w:tcMar>
              <w:top w:w="100" w:type="dxa"/>
              <w:left w:w="100" w:type="dxa"/>
              <w:bottom w:w="100" w:type="dxa"/>
              <w:right w:w="100" w:type="dxa"/>
            </w:tcMar>
            <w:vAlign w:val="center"/>
          </w:tcPr>
          <w:p w14:paraId="0000018F" w14:textId="00000190"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146</w:t>
            </w:r>
          </w:p>
        </w:tc>
        <w:tc>
          <w:tcPr>
            <w:tcW w:w="1418" w:type="dxa"/>
            <w:tcMar>
              <w:top w:w="100" w:type="dxa"/>
              <w:left w:w="100" w:type="dxa"/>
              <w:bottom w:w="100" w:type="dxa"/>
              <w:right w:w="100" w:type="dxa"/>
            </w:tcMar>
            <w:vAlign w:val="center"/>
          </w:tcPr>
          <w:p w14:paraId="00000191" w14:textId="00000192"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4.8%</w:t>
            </w:r>
          </w:p>
        </w:tc>
        <w:tc>
          <w:tcPr>
            <w:tcW w:w="5330" w:type="dxa"/>
            <w:tcMar>
              <w:top w:w="100" w:type="dxa"/>
              <w:left w:w="100" w:type="dxa"/>
              <w:bottom w:w="100" w:type="dxa"/>
              <w:right w:w="100" w:type="dxa"/>
            </w:tcMar>
            <w:vAlign w:val="center"/>
          </w:tcPr>
          <w:p w14:paraId="00000193" w14:textId="00000194" w:rsidR="000B0F63" w:rsidRPr="00A61669" w:rsidRDefault="00C05D22" w:rsidP="000A13B1">
            <w:pPr>
              <w:pStyle w:val="TableInfo"/>
              <w:rPr>
                <w:rFonts w:asciiTheme="majorHAnsi" w:hAnsiTheme="majorHAnsi" w:cstheme="majorHAnsi"/>
              </w:rPr>
            </w:pPr>
            <w:r w:rsidRPr="00A61669">
              <w:rPr>
                <w:rFonts w:asciiTheme="majorHAnsi" w:hAnsiTheme="majorHAnsi" w:cstheme="majorHAnsi"/>
              </w:rPr>
              <w:t>Circulation Hub Platform. Oracle-backed, publishing operations. Runs across Reading, Slough, and Sydney.</w:t>
            </w:r>
          </w:p>
        </w:tc>
      </w:tr>
      <w:tr w:rsidR="00906732" w14:paraId="5BF2D24B" w14:textId="77777777" w:rsidTr="1524DEBB">
        <w:tc>
          <w:tcPr>
            <w:tcW w:w="1838" w:type="dxa"/>
            <w:tcMar>
              <w:top w:w="100" w:type="dxa"/>
              <w:left w:w="100" w:type="dxa"/>
              <w:bottom w:w="100" w:type="dxa"/>
              <w:right w:w="100" w:type="dxa"/>
            </w:tcMar>
            <w:vAlign w:val="center"/>
          </w:tcPr>
          <w:p w14:paraId="00000195" w14:textId="00000196"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WPS</w:t>
            </w:r>
          </w:p>
        </w:tc>
        <w:tc>
          <w:tcPr>
            <w:tcW w:w="1134" w:type="dxa"/>
            <w:tcMar>
              <w:top w:w="100" w:type="dxa"/>
              <w:left w:w="100" w:type="dxa"/>
              <w:bottom w:w="100" w:type="dxa"/>
              <w:right w:w="100" w:type="dxa"/>
            </w:tcMar>
            <w:vAlign w:val="center"/>
          </w:tcPr>
          <w:p w14:paraId="00000197" w14:textId="00000198"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136</w:t>
            </w:r>
          </w:p>
        </w:tc>
        <w:tc>
          <w:tcPr>
            <w:tcW w:w="1418" w:type="dxa"/>
            <w:tcMar>
              <w:top w:w="100" w:type="dxa"/>
              <w:left w:w="100" w:type="dxa"/>
              <w:bottom w:w="100" w:type="dxa"/>
              <w:right w:w="100" w:type="dxa"/>
            </w:tcMar>
            <w:vAlign w:val="center"/>
          </w:tcPr>
          <w:p w14:paraId="00000199" w14:textId="0000019A"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4.5%</w:t>
            </w:r>
          </w:p>
        </w:tc>
        <w:tc>
          <w:tcPr>
            <w:tcW w:w="5330" w:type="dxa"/>
            <w:tcMar>
              <w:top w:w="100" w:type="dxa"/>
              <w:left w:w="100" w:type="dxa"/>
              <w:bottom w:w="100" w:type="dxa"/>
              <w:right w:w="100" w:type="dxa"/>
            </w:tcMar>
            <w:vAlign w:val="center"/>
          </w:tcPr>
          <w:p w14:paraId="0000019B" w14:textId="4E296548" w:rsidR="000B0F63" w:rsidRPr="00A61669" w:rsidRDefault="00C05D22" w:rsidP="000A13B1">
            <w:pPr>
              <w:pStyle w:val="TableInfo"/>
              <w:rPr>
                <w:rFonts w:asciiTheme="majorHAnsi" w:hAnsiTheme="majorHAnsi" w:cstheme="majorHAnsi"/>
              </w:rPr>
            </w:pPr>
            <w:r w:rsidRPr="00A61669">
              <w:rPr>
                <w:rFonts w:asciiTheme="majorHAnsi" w:hAnsiTheme="majorHAnsi" w:cstheme="majorHAnsi"/>
                <w:lang w:val="en-GB"/>
              </w:rPr>
              <w:t xml:space="preserve">Web Publishing System. </w:t>
            </w:r>
            <w:r w:rsidR="00490323" w:rsidRPr="00A61669">
              <w:rPr>
                <w:rFonts w:asciiTheme="majorHAnsi" w:hAnsiTheme="majorHAnsi" w:cstheme="majorHAnsi"/>
                <w:lang w:val="en-GB"/>
              </w:rPr>
              <w:t>Mail Online</w:t>
            </w:r>
            <w:r w:rsidRPr="00A61669">
              <w:rPr>
                <w:rFonts w:asciiTheme="majorHAnsi" w:hAnsiTheme="majorHAnsi" w:cstheme="majorHAnsi"/>
                <w:lang w:val="en-GB"/>
              </w:rPr>
              <w:t xml:space="preserve">'s publishing pipeline. Tightly coupled to </w:t>
            </w:r>
            <w:r w:rsidR="00490323" w:rsidRPr="00A61669">
              <w:rPr>
                <w:rFonts w:asciiTheme="majorHAnsi" w:hAnsiTheme="majorHAnsi" w:cstheme="majorHAnsi"/>
                <w:lang w:val="en-GB"/>
              </w:rPr>
              <w:t>Mail Online</w:t>
            </w:r>
            <w:r w:rsidRPr="00A61669">
              <w:rPr>
                <w:rFonts w:asciiTheme="majorHAnsi" w:hAnsiTheme="majorHAnsi" w:cstheme="majorHAnsi"/>
                <w:lang w:val="en-GB"/>
              </w:rPr>
              <w:t xml:space="preserve"> Oracle B-cluster.</w:t>
            </w:r>
          </w:p>
        </w:tc>
      </w:tr>
      <w:tr w:rsidR="00906732" w14:paraId="56F0CAEC" w14:textId="77777777" w:rsidTr="1524DEBB">
        <w:tc>
          <w:tcPr>
            <w:tcW w:w="1838" w:type="dxa"/>
            <w:tcMar>
              <w:top w:w="100" w:type="dxa"/>
              <w:left w:w="100" w:type="dxa"/>
              <w:bottom w:w="100" w:type="dxa"/>
              <w:right w:w="100" w:type="dxa"/>
            </w:tcMar>
            <w:vAlign w:val="center"/>
          </w:tcPr>
          <w:p w14:paraId="0000019D" w14:textId="0000019E"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lang w:val="en-GB"/>
              </w:rPr>
              <w:t>Atex</w:t>
            </w:r>
          </w:p>
        </w:tc>
        <w:tc>
          <w:tcPr>
            <w:tcW w:w="1134" w:type="dxa"/>
            <w:tcMar>
              <w:top w:w="100" w:type="dxa"/>
              <w:left w:w="100" w:type="dxa"/>
              <w:bottom w:w="100" w:type="dxa"/>
              <w:right w:w="100" w:type="dxa"/>
            </w:tcMar>
            <w:vAlign w:val="center"/>
          </w:tcPr>
          <w:p w14:paraId="0000019F" w14:textId="000001A0"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109</w:t>
            </w:r>
          </w:p>
        </w:tc>
        <w:tc>
          <w:tcPr>
            <w:tcW w:w="1418" w:type="dxa"/>
            <w:tcMar>
              <w:top w:w="100" w:type="dxa"/>
              <w:left w:w="100" w:type="dxa"/>
              <w:bottom w:w="100" w:type="dxa"/>
              <w:right w:w="100" w:type="dxa"/>
            </w:tcMar>
            <w:vAlign w:val="center"/>
          </w:tcPr>
          <w:p w14:paraId="000001A1" w14:textId="000001A2"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3.6%</w:t>
            </w:r>
          </w:p>
        </w:tc>
        <w:tc>
          <w:tcPr>
            <w:tcW w:w="5330" w:type="dxa"/>
            <w:tcMar>
              <w:top w:w="100" w:type="dxa"/>
              <w:left w:w="100" w:type="dxa"/>
              <w:bottom w:w="100" w:type="dxa"/>
              <w:right w:w="100" w:type="dxa"/>
            </w:tcMar>
            <w:vAlign w:val="center"/>
          </w:tcPr>
          <w:p w14:paraId="000001A3" w14:textId="000001A4" w:rsidR="000B0F63" w:rsidRPr="00A61669" w:rsidRDefault="00C05D22" w:rsidP="000A13B1">
            <w:pPr>
              <w:pStyle w:val="TableInfo"/>
              <w:rPr>
                <w:rFonts w:asciiTheme="majorHAnsi" w:hAnsiTheme="majorHAnsi" w:cstheme="majorHAnsi"/>
              </w:rPr>
            </w:pPr>
            <w:r w:rsidRPr="00A61669">
              <w:rPr>
                <w:rFonts w:asciiTheme="majorHAnsi" w:hAnsiTheme="majorHAnsi" w:cstheme="majorHAnsi"/>
              </w:rPr>
              <w:t>Editorial content management for print and digital. Multicast-dependent for cluster discovery.</w:t>
            </w:r>
          </w:p>
        </w:tc>
      </w:tr>
      <w:tr w:rsidR="00906732" w14:paraId="15E08819" w14:textId="77777777" w:rsidTr="1524DEBB">
        <w:tc>
          <w:tcPr>
            <w:tcW w:w="1838" w:type="dxa"/>
            <w:tcMar>
              <w:top w:w="100" w:type="dxa"/>
              <w:left w:w="100" w:type="dxa"/>
              <w:bottom w:w="100" w:type="dxa"/>
              <w:right w:w="100" w:type="dxa"/>
            </w:tcMar>
            <w:vAlign w:val="center"/>
          </w:tcPr>
          <w:p w14:paraId="000001A5" w14:textId="000001A6"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RTA</w:t>
            </w:r>
          </w:p>
        </w:tc>
        <w:tc>
          <w:tcPr>
            <w:tcW w:w="1134" w:type="dxa"/>
            <w:tcMar>
              <w:top w:w="100" w:type="dxa"/>
              <w:left w:w="100" w:type="dxa"/>
              <w:bottom w:w="100" w:type="dxa"/>
              <w:right w:w="100" w:type="dxa"/>
            </w:tcMar>
            <w:vAlign w:val="center"/>
          </w:tcPr>
          <w:p w14:paraId="000001A7" w14:textId="000001A8"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41</w:t>
            </w:r>
          </w:p>
        </w:tc>
        <w:tc>
          <w:tcPr>
            <w:tcW w:w="1418" w:type="dxa"/>
            <w:tcMar>
              <w:top w:w="100" w:type="dxa"/>
              <w:left w:w="100" w:type="dxa"/>
              <w:bottom w:w="100" w:type="dxa"/>
              <w:right w:w="100" w:type="dxa"/>
            </w:tcMar>
            <w:vAlign w:val="center"/>
          </w:tcPr>
          <w:p w14:paraId="000001A9" w14:textId="000001AA"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1.3%</w:t>
            </w:r>
          </w:p>
        </w:tc>
        <w:tc>
          <w:tcPr>
            <w:tcW w:w="5330" w:type="dxa"/>
            <w:tcMar>
              <w:top w:w="100" w:type="dxa"/>
              <w:left w:w="100" w:type="dxa"/>
              <w:bottom w:w="100" w:type="dxa"/>
              <w:right w:w="100" w:type="dxa"/>
            </w:tcMar>
            <w:vAlign w:val="center"/>
          </w:tcPr>
          <w:p w14:paraId="000001AB" w14:textId="3C352185" w:rsidR="000B0F63" w:rsidRPr="00A61669" w:rsidRDefault="00C05D22" w:rsidP="000A13B1">
            <w:pPr>
              <w:pStyle w:val="TableInfo"/>
              <w:rPr>
                <w:rFonts w:asciiTheme="majorHAnsi" w:hAnsiTheme="majorHAnsi" w:cstheme="majorHAnsi"/>
              </w:rPr>
            </w:pPr>
            <w:r w:rsidRPr="00A61669">
              <w:rPr>
                <w:rFonts w:asciiTheme="majorHAnsi" w:hAnsiTheme="majorHAnsi" w:cstheme="majorHAnsi"/>
              </w:rPr>
              <w:t xml:space="preserve">Real-Time Analytics for </w:t>
            </w:r>
            <w:r w:rsidR="00490323" w:rsidRPr="00A61669">
              <w:rPr>
                <w:rFonts w:asciiTheme="majorHAnsi" w:hAnsiTheme="majorHAnsi" w:cstheme="majorHAnsi"/>
              </w:rPr>
              <w:t>Mail Online</w:t>
            </w:r>
            <w:r w:rsidRPr="00A61669">
              <w:rPr>
                <w:rFonts w:asciiTheme="majorHAnsi" w:hAnsiTheme="majorHAnsi" w:cstheme="majorHAnsi"/>
              </w:rPr>
              <w:t>. Many instances significantly overprovisioned.</w:t>
            </w:r>
          </w:p>
        </w:tc>
      </w:tr>
      <w:tr w:rsidR="00906732" w14:paraId="64272920" w14:textId="77777777" w:rsidTr="1524DEBB">
        <w:tc>
          <w:tcPr>
            <w:tcW w:w="1838" w:type="dxa"/>
            <w:tcMar>
              <w:top w:w="100" w:type="dxa"/>
              <w:left w:w="100" w:type="dxa"/>
              <w:bottom w:w="100" w:type="dxa"/>
              <w:right w:w="100" w:type="dxa"/>
            </w:tcMar>
            <w:vAlign w:val="center"/>
          </w:tcPr>
          <w:p w14:paraId="000001AD" w14:textId="000001AE" w:rsidR="000B0F63" w:rsidRPr="00A61669" w:rsidRDefault="1BAB210A" w:rsidP="003F3BDB">
            <w:pPr>
              <w:pStyle w:val="TableInfo"/>
              <w:jc w:val="center"/>
              <w:rPr>
                <w:rFonts w:asciiTheme="majorHAnsi" w:hAnsiTheme="majorHAnsi" w:cstheme="majorHAnsi"/>
              </w:rPr>
            </w:pPr>
            <w:r w:rsidRPr="00A61669">
              <w:rPr>
                <w:rFonts w:asciiTheme="majorHAnsi" w:hAnsiTheme="majorHAnsi" w:cstheme="majorHAnsi"/>
                <w:lang w:val="en-GB"/>
              </w:rPr>
              <w:t>OneVision Suite</w:t>
            </w:r>
          </w:p>
        </w:tc>
        <w:tc>
          <w:tcPr>
            <w:tcW w:w="1134" w:type="dxa"/>
            <w:tcMar>
              <w:top w:w="100" w:type="dxa"/>
              <w:left w:w="100" w:type="dxa"/>
              <w:bottom w:w="100" w:type="dxa"/>
              <w:right w:w="100" w:type="dxa"/>
            </w:tcMar>
            <w:vAlign w:val="center"/>
          </w:tcPr>
          <w:p w14:paraId="000001AF" w14:textId="000001B0"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36</w:t>
            </w:r>
          </w:p>
        </w:tc>
        <w:tc>
          <w:tcPr>
            <w:tcW w:w="1418" w:type="dxa"/>
            <w:tcMar>
              <w:top w:w="100" w:type="dxa"/>
              <w:left w:w="100" w:type="dxa"/>
              <w:bottom w:w="100" w:type="dxa"/>
              <w:right w:w="100" w:type="dxa"/>
            </w:tcMar>
            <w:vAlign w:val="center"/>
          </w:tcPr>
          <w:p w14:paraId="000001B1" w14:textId="000001B2"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1.2%</w:t>
            </w:r>
          </w:p>
        </w:tc>
        <w:tc>
          <w:tcPr>
            <w:tcW w:w="5330" w:type="dxa"/>
            <w:tcMar>
              <w:top w:w="100" w:type="dxa"/>
              <w:left w:w="100" w:type="dxa"/>
              <w:bottom w:w="100" w:type="dxa"/>
              <w:right w:w="100" w:type="dxa"/>
            </w:tcMar>
            <w:vAlign w:val="center"/>
          </w:tcPr>
          <w:p w14:paraId="000001B3" w14:textId="000001B4" w:rsidR="000B0F63" w:rsidRPr="00A61669" w:rsidRDefault="00C05D22" w:rsidP="000A13B1">
            <w:pPr>
              <w:pStyle w:val="TableInfo"/>
              <w:rPr>
                <w:rFonts w:asciiTheme="majorHAnsi" w:hAnsiTheme="majorHAnsi" w:cstheme="majorHAnsi"/>
              </w:rPr>
            </w:pPr>
            <w:r w:rsidRPr="00A61669">
              <w:rPr>
                <w:rFonts w:asciiTheme="majorHAnsi" w:hAnsiTheme="majorHAnsi" w:cstheme="majorHAnsi"/>
              </w:rPr>
              <w:t>Advertising traffic management. Coupled to ECO3 via SMB.</w:t>
            </w:r>
          </w:p>
        </w:tc>
      </w:tr>
      <w:tr w:rsidR="00906732" w14:paraId="5188DF6F" w14:textId="77777777" w:rsidTr="1524DEBB">
        <w:tc>
          <w:tcPr>
            <w:tcW w:w="1838" w:type="dxa"/>
            <w:tcMar>
              <w:top w:w="100" w:type="dxa"/>
              <w:left w:w="100" w:type="dxa"/>
              <w:bottom w:w="100" w:type="dxa"/>
              <w:right w:w="100" w:type="dxa"/>
            </w:tcMar>
            <w:vAlign w:val="center"/>
          </w:tcPr>
          <w:p w14:paraId="000001B5" w14:textId="000001B6" w:rsidR="000B0F63" w:rsidRPr="00A61669" w:rsidRDefault="1BAB210A" w:rsidP="003F3BDB">
            <w:pPr>
              <w:pStyle w:val="TableInfo"/>
              <w:jc w:val="center"/>
              <w:rPr>
                <w:rFonts w:asciiTheme="majorHAnsi" w:hAnsiTheme="majorHAnsi" w:cstheme="majorHAnsi"/>
              </w:rPr>
            </w:pPr>
            <w:r w:rsidRPr="00A61669">
              <w:rPr>
                <w:rFonts w:asciiTheme="majorHAnsi" w:hAnsiTheme="majorHAnsi" w:cstheme="majorHAnsi"/>
                <w:lang w:val="en-GB"/>
              </w:rPr>
              <w:t>Teamcity</w:t>
            </w:r>
          </w:p>
        </w:tc>
        <w:tc>
          <w:tcPr>
            <w:tcW w:w="1134" w:type="dxa"/>
            <w:tcMar>
              <w:top w:w="100" w:type="dxa"/>
              <w:left w:w="100" w:type="dxa"/>
              <w:bottom w:w="100" w:type="dxa"/>
              <w:right w:w="100" w:type="dxa"/>
            </w:tcMar>
            <w:vAlign w:val="center"/>
          </w:tcPr>
          <w:p w14:paraId="000001B7" w14:textId="000001B8"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33</w:t>
            </w:r>
          </w:p>
        </w:tc>
        <w:tc>
          <w:tcPr>
            <w:tcW w:w="1418" w:type="dxa"/>
            <w:tcMar>
              <w:top w:w="100" w:type="dxa"/>
              <w:left w:w="100" w:type="dxa"/>
              <w:bottom w:w="100" w:type="dxa"/>
              <w:right w:w="100" w:type="dxa"/>
            </w:tcMar>
            <w:vAlign w:val="center"/>
          </w:tcPr>
          <w:p w14:paraId="000001B9" w14:textId="000001BA"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1.1%</w:t>
            </w:r>
          </w:p>
        </w:tc>
        <w:tc>
          <w:tcPr>
            <w:tcW w:w="5330" w:type="dxa"/>
            <w:tcMar>
              <w:top w:w="100" w:type="dxa"/>
              <w:left w:w="100" w:type="dxa"/>
              <w:bottom w:w="100" w:type="dxa"/>
              <w:right w:w="100" w:type="dxa"/>
            </w:tcMar>
            <w:vAlign w:val="center"/>
          </w:tcPr>
          <w:p w14:paraId="000001BB" w14:textId="000001BC" w:rsidR="000B0F63" w:rsidRPr="00A61669" w:rsidRDefault="00C05D22" w:rsidP="000A13B1">
            <w:pPr>
              <w:pStyle w:val="TableInfo"/>
              <w:rPr>
                <w:rFonts w:asciiTheme="majorHAnsi" w:hAnsiTheme="majorHAnsi" w:cstheme="majorHAnsi"/>
              </w:rPr>
            </w:pPr>
            <w:r w:rsidRPr="00A61669">
              <w:rPr>
                <w:rFonts w:asciiTheme="majorHAnsi" w:hAnsiTheme="majorHAnsi" w:cstheme="majorHAnsi"/>
              </w:rPr>
              <w:t>Build and CI tooling.</w:t>
            </w:r>
          </w:p>
        </w:tc>
      </w:tr>
      <w:tr w:rsidR="00906732" w14:paraId="19225701" w14:textId="77777777" w:rsidTr="1524DEBB">
        <w:tc>
          <w:tcPr>
            <w:tcW w:w="1838" w:type="dxa"/>
            <w:tcMar>
              <w:top w:w="100" w:type="dxa"/>
              <w:left w:w="100" w:type="dxa"/>
              <w:bottom w:w="100" w:type="dxa"/>
              <w:right w:w="100" w:type="dxa"/>
            </w:tcMar>
            <w:vAlign w:val="center"/>
          </w:tcPr>
          <w:p w14:paraId="000001BD" w14:textId="000001BE"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Zabbix</w:t>
            </w:r>
          </w:p>
        </w:tc>
        <w:tc>
          <w:tcPr>
            <w:tcW w:w="1134" w:type="dxa"/>
            <w:tcMar>
              <w:top w:w="100" w:type="dxa"/>
              <w:left w:w="100" w:type="dxa"/>
              <w:bottom w:w="100" w:type="dxa"/>
              <w:right w:w="100" w:type="dxa"/>
            </w:tcMar>
            <w:vAlign w:val="center"/>
          </w:tcPr>
          <w:p w14:paraId="000001BF" w14:textId="000001C0"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33</w:t>
            </w:r>
          </w:p>
        </w:tc>
        <w:tc>
          <w:tcPr>
            <w:tcW w:w="1418" w:type="dxa"/>
            <w:tcMar>
              <w:top w:w="100" w:type="dxa"/>
              <w:left w:w="100" w:type="dxa"/>
              <w:bottom w:w="100" w:type="dxa"/>
              <w:right w:w="100" w:type="dxa"/>
            </w:tcMar>
            <w:vAlign w:val="center"/>
          </w:tcPr>
          <w:p w14:paraId="000001C1" w14:textId="000001C2"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1.1%</w:t>
            </w:r>
          </w:p>
        </w:tc>
        <w:tc>
          <w:tcPr>
            <w:tcW w:w="5330" w:type="dxa"/>
            <w:tcMar>
              <w:top w:w="100" w:type="dxa"/>
              <w:left w:w="100" w:type="dxa"/>
              <w:bottom w:w="100" w:type="dxa"/>
              <w:right w:w="100" w:type="dxa"/>
            </w:tcMar>
            <w:vAlign w:val="center"/>
          </w:tcPr>
          <w:p w14:paraId="000001C3" w14:textId="000001C4" w:rsidR="000B0F63" w:rsidRPr="00A61669" w:rsidRDefault="00C05D22" w:rsidP="000A13B1">
            <w:pPr>
              <w:pStyle w:val="TableInfo"/>
              <w:rPr>
                <w:rFonts w:asciiTheme="majorHAnsi" w:hAnsiTheme="majorHAnsi" w:cstheme="majorHAnsi"/>
              </w:rPr>
            </w:pPr>
            <w:r w:rsidRPr="00A61669">
              <w:rPr>
                <w:rFonts w:asciiTheme="majorHAnsi" w:hAnsiTheme="majorHAnsi" w:cstheme="majorHAnsi"/>
              </w:rPr>
              <w:t>Monitoring.</w:t>
            </w:r>
          </w:p>
        </w:tc>
      </w:tr>
      <w:tr w:rsidR="00906732" w14:paraId="3D7C8222" w14:textId="77777777" w:rsidTr="1524DEBB">
        <w:tc>
          <w:tcPr>
            <w:tcW w:w="1838" w:type="dxa"/>
            <w:tcMar>
              <w:top w:w="100" w:type="dxa"/>
              <w:left w:w="100" w:type="dxa"/>
              <w:bottom w:w="100" w:type="dxa"/>
              <w:right w:w="100" w:type="dxa"/>
            </w:tcMar>
            <w:vAlign w:val="center"/>
          </w:tcPr>
          <w:p w14:paraId="000001C5" w14:textId="000001C6"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ECO3</w:t>
            </w:r>
          </w:p>
        </w:tc>
        <w:tc>
          <w:tcPr>
            <w:tcW w:w="1134" w:type="dxa"/>
            <w:tcMar>
              <w:top w:w="100" w:type="dxa"/>
              <w:left w:w="100" w:type="dxa"/>
              <w:bottom w:w="100" w:type="dxa"/>
              <w:right w:w="100" w:type="dxa"/>
            </w:tcMar>
            <w:vAlign w:val="center"/>
          </w:tcPr>
          <w:p w14:paraId="000001C7" w14:textId="000001C8"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27</w:t>
            </w:r>
          </w:p>
        </w:tc>
        <w:tc>
          <w:tcPr>
            <w:tcW w:w="1418" w:type="dxa"/>
            <w:tcMar>
              <w:top w:w="100" w:type="dxa"/>
              <w:left w:w="100" w:type="dxa"/>
              <w:bottom w:w="100" w:type="dxa"/>
              <w:right w:w="100" w:type="dxa"/>
            </w:tcMar>
            <w:vAlign w:val="center"/>
          </w:tcPr>
          <w:p w14:paraId="000001C9" w14:textId="000001CA"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0.9%</w:t>
            </w:r>
          </w:p>
        </w:tc>
        <w:tc>
          <w:tcPr>
            <w:tcW w:w="5330" w:type="dxa"/>
            <w:tcMar>
              <w:top w:w="100" w:type="dxa"/>
              <w:left w:w="100" w:type="dxa"/>
              <w:bottom w:w="100" w:type="dxa"/>
              <w:right w:w="100" w:type="dxa"/>
            </w:tcMar>
            <w:vAlign w:val="center"/>
          </w:tcPr>
          <w:p w14:paraId="000001CB" w14:textId="000001CC" w:rsidR="000B0F63" w:rsidRPr="00A61669" w:rsidRDefault="1BAB210A" w:rsidP="000A13B1">
            <w:pPr>
              <w:pStyle w:val="TableInfo"/>
              <w:rPr>
                <w:rFonts w:asciiTheme="majorHAnsi" w:hAnsiTheme="majorHAnsi" w:cstheme="majorHAnsi"/>
              </w:rPr>
            </w:pPr>
            <w:r w:rsidRPr="00A61669">
              <w:rPr>
                <w:rFonts w:asciiTheme="majorHAnsi" w:hAnsiTheme="majorHAnsi" w:cstheme="majorHAnsi"/>
                <w:lang w:val="en-GB"/>
              </w:rPr>
              <w:t>Editorial content orchestration. Active-active architecture, feeds OneVision.</w:t>
            </w:r>
          </w:p>
        </w:tc>
      </w:tr>
      <w:tr w:rsidR="00906732" w14:paraId="746C4BC9" w14:textId="77777777" w:rsidTr="1524DEBB">
        <w:tc>
          <w:tcPr>
            <w:tcW w:w="1838" w:type="dxa"/>
            <w:tcMar>
              <w:top w:w="100" w:type="dxa"/>
              <w:left w:w="100" w:type="dxa"/>
              <w:bottom w:w="100" w:type="dxa"/>
              <w:right w:w="100" w:type="dxa"/>
            </w:tcMar>
            <w:vAlign w:val="center"/>
          </w:tcPr>
          <w:p w14:paraId="000001CD" w14:textId="000001CE" w:rsidR="000B0F63" w:rsidRPr="00A61669" w:rsidRDefault="1BAB210A" w:rsidP="003F3BDB">
            <w:pPr>
              <w:pStyle w:val="TableInfo"/>
              <w:jc w:val="center"/>
              <w:rPr>
                <w:rFonts w:asciiTheme="majorHAnsi" w:hAnsiTheme="majorHAnsi" w:cstheme="majorHAnsi"/>
              </w:rPr>
            </w:pPr>
            <w:r w:rsidRPr="00A61669">
              <w:rPr>
                <w:rFonts w:asciiTheme="majorHAnsi" w:hAnsiTheme="majorHAnsi" w:cstheme="majorHAnsi"/>
                <w:lang w:val="en-GB"/>
              </w:rPr>
              <w:t>Circnet</w:t>
            </w:r>
          </w:p>
        </w:tc>
        <w:tc>
          <w:tcPr>
            <w:tcW w:w="1134" w:type="dxa"/>
            <w:tcMar>
              <w:top w:w="100" w:type="dxa"/>
              <w:left w:w="100" w:type="dxa"/>
              <w:bottom w:w="100" w:type="dxa"/>
              <w:right w:w="100" w:type="dxa"/>
            </w:tcMar>
            <w:vAlign w:val="center"/>
          </w:tcPr>
          <w:p w14:paraId="000001CF" w14:textId="000001D0"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18</w:t>
            </w:r>
          </w:p>
        </w:tc>
        <w:tc>
          <w:tcPr>
            <w:tcW w:w="1418" w:type="dxa"/>
            <w:tcMar>
              <w:top w:w="100" w:type="dxa"/>
              <w:left w:w="100" w:type="dxa"/>
              <w:bottom w:w="100" w:type="dxa"/>
              <w:right w:w="100" w:type="dxa"/>
            </w:tcMar>
            <w:vAlign w:val="center"/>
          </w:tcPr>
          <w:p w14:paraId="000001D1" w14:textId="000001D2" w:rsidR="000B0F63" w:rsidRPr="00A61669" w:rsidRDefault="00C05D22" w:rsidP="003F3BDB">
            <w:pPr>
              <w:pStyle w:val="TableInfo"/>
              <w:jc w:val="center"/>
              <w:rPr>
                <w:rFonts w:asciiTheme="majorHAnsi" w:hAnsiTheme="majorHAnsi" w:cstheme="majorHAnsi"/>
              </w:rPr>
            </w:pPr>
            <w:r w:rsidRPr="00A61669">
              <w:rPr>
                <w:rFonts w:asciiTheme="majorHAnsi" w:hAnsiTheme="majorHAnsi" w:cstheme="majorHAnsi"/>
              </w:rPr>
              <w:t>0.6%</w:t>
            </w:r>
          </w:p>
        </w:tc>
        <w:tc>
          <w:tcPr>
            <w:tcW w:w="5330" w:type="dxa"/>
            <w:tcMar>
              <w:top w:w="100" w:type="dxa"/>
              <w:left w:w="100" w:type="dxa"/>
              <w:bottom w:w="100" w:type="dxa"/>
              <w:right w:w="100" w:type="dxa"/>
            </w:tcMar>
            <w:vAlign w:val="center"/>
          </w:tcPr>
          <w:p w14:paraId="000001D3" w14:textId="000001D4" w:rsidR="000B0F63" w:rsidRPr="00A61669" w:rsidRDefault="00C05D22" w:rsidP="000A13B1">
            <w:pPr>
              <w:pStyle w:val="TableInfo"/>
              <w:rPr>
                <w:rFonts w:asciiTheme="majorHAnsi" w:hAnsiTheme="majorHAnsi" w:cstheme="majorHAnsi"/>
              </w:rPr>
            </w:pPr>
            <w:r w:rsidRPr="00A61669">
              <w:rPr>
                <w:rFonts w:asciiTheme="majorHAnsi" w:hAnsiTheme="majorHAnsi" w:cstheme="majorHAnsi"/>
              </w:rPr>
              <w:t>Circulation network management. Oracle-backed.</w:t>
            </w:r>
          </w:p>
        </w:tc>
      </w:tr>
    </w:tbl>
    <w:p w14:paraId="01923C93" w14:textId="77777777" w:rsidR="00554A8D" w:rsidRPr="00A61669" w:rsidRDefault="00554A8D" w:rsidP="00E40261">
      <w:pPr>
        <w:jc w:val="both"/>
        <w:rPr>
          <w:rFonts w:asciiTheme="majorHAnsi" w:hAnsiTheme="majorHAnsi" w:cstheme="majorHAnsi"/>
        </w:rPr>
      </w:pPr>
    </w:p>
    <w:p w14:paraId="000001D5" w14:textId="7743DD6B" w:rsidR="000B0F63" w:rsidRPr="00A61669" w:rsidRDefault="00C05D22" w:rsidP="00E40261">
      <w:pPr>
        <w:jc w:val="both"/>
        <w:rPr>
          <w:rFonts w:asciiTheme="majorHAnsi" w:hAnsiTheme="majorHAnsi" w:cstheme="majorHAnsi"/>
        </w:rPr>
      </w:pPr>
      <w:r w:rsidRPr="00A61669">
        <w:rPr>
          <w:rFonts w:asciiTheme="majorHAnsi" w:hAnsiTheme="majorHAnsi" w:cstheme="majorHAnsi"/>
        </w:rPr>
        <w:t>The remaining 29 applications span:</w:t>
      </w:r>
    </w:p>
    <w:p w14:paraId="000001D7" w14:textId="000001D8" w:rsidR="000B0F63" w:rsidRPr="00A61669" w:rsidRDefault="00C05D22" w:rsidP="00EC2FA3">
      <w:pPr>
        <w:pStyle w:val="ListBullet"/>
        <w:numPr>
          <w:ilvl w:val="0"/>
          <w:numId w:val="9"/>
        </w:numPr>
        <w:jc w:val="both"/>
        <w:rPr>
          <w:rFonts w:asciiTheme="majorHAnsi" w:hAnsiTheme="majorHAnsi" w:cstheme="majorHAnsi"/>
        </w:rPr>
      </w:pPr>
      <w:r w:rsidRPr="00A61669">
        <w:rPr>
          <w:rFonts w:asciiTheme="majorHAnsi" w:hAnsiTheme="majorHAnsi" w:cstheme="majorHAnsi"/>
          <w:b/>
        </w:rPr>
        <w:t>Publishing and editorial tooling</w:t>
      </w:r>
      <w:r w:rsidRPr="00A61669">
        <w:rPr>
          <w:rFonts w:asciiTheme="majorHAnsi" w:hAnsiTheme="majorHAnsi" w:cstheme="majorHAnsi"/>
        </w:rPr>
        <w:t>: Publishing Flight Check, Editorial Applications Team Automation Service, Mediaplanner, Fingerpost (general and Advertising), Wombat, InstantPress, MailPlus Puzzles, Tolkien.</w:t>
      </w:r>
    </w:p>
    <w:p w14:paraId="000001D9" w14:textId="000001DA" w:rsidR="000B0F63" w:rsidRPr="00A61669" w:rsidRDefault="00C05D22" w:rsidP="00EC2FA3">
      <w:pPr>
        <w:pStyle w:val="ListBullet"/>
        <w:numPr>
          <w:ilvl w:val="0"/>
          <w:numId w:val="9"/>
        </w:numPr>
        <w:jc w:val="both"/>
        <w:rPr>
          <w:rFonts w:asciiTheme="majorHAnsi" w:hAnsiTheme="majorHAnsi" w:cstheme="majorHAnsi"/>
        </w:rPr>
      </w:pPr>
      <w:r w:rsidRPr="00A61669">
        <w:rPr>
          <w:rFonts w:asciiTheme="majorHAnsi" w:hAnsiTheme="majorHAnsi" w:cstheme="majorHAnsi"/>
          <w:b/>
        </w:rPr>
        <w:t>Shared and supporting services</w:t>
      </w:r>
      <w:r w:rsidRPr="00A61669">
        <w:rPr>
          <w:rFonts w:asciiTheme="majorHAnsi" w:hAnsiTheme="majorHAnsi" w:cstheme="majorHAnsi"/>
        </w:rPr>
        <w:t>: SolarWinds, Landscape, Cockpit, Oracle Enterprise Manager (slo-aocc), plus a small number of internal reporting and integration tools.</w:t>
      </w:r>
    </w:p>
    <w:p w14:paraId="000001DD" w14:textId="60980C7F" w:rsidR="000B0F63" w:rsidRPr="00A61669" w:rsidRDefault="00C05D22" w:rsidP="000A13B1">
      <w:pPr>
        <w:pStyle w:val="InsetText"/>
        <w:ind w:left="360"/>
        <w:jc w:val="both"/>
        <w:rPr>
          <w:rFonts w:asciiTheme="majorHAnsi" w:hAnsiTheme="majorHAnsi" w:cstheme="majorHAnsi"/>
        </w:rPr>
      </w:pPr>
      <w:r w:rsidRPr="00A61669">
        <w:rPr>
          <w:rFonts w:asciiTheme="majorHAnsi" w:hAnsiTheme="majorHAnsi" w:cstheme="majorHAnsi"/>
          <w:b/>
        </w:rPr>
        <w:t xml:space="preserve">Note on </w:t>
      </w:r>
      <w:r w:rsidR="00490323" w:rsidRPr="00A61669">
        <w:rPr>
          <w:rFonts w:asciiTheme="majorHAnsi" w:hAnsiTheme="majorHAnsi" w:cstheme="majorHAnsi"/>
          <w:b/>
        </w:rPr>
        <w:t>Mail Online</w:t>
      </w:r>
      <w:r w:rsidRPr="00A61669">
        <w:rPr>
          <w:rFonts w:asciiTheme="majorHAnsi" w:hAnsiTheme="majorHAnsi" w:cstheme="majorHAnsi"/>
          <w:b/>
        </w:rPr>
        <w:t xml:space="preserve"> sub-components</w:t>
      </w:r>
      <w:r w:rsidRPr="00A61669">
        <w:rPr>
          <w:rFonts w:asciiTheme="majorHAnsi" w:hAnsiTheme="majorHAnsi" w:cstheme="majorHAnsi"/>
        </w:rPr>
        <w:t xml:space="preserve">: the 91 sub-components referenced against </w:t>
      </w:r>
      <w:r w:rsidR="00490323" w:rsidRPr="00A61669">
        <w:rPr>
          <w:rFonts w:asciiTheme="majorHAnsi" w:hAnsiTheme="majorHAnsi" w:cstheme="majorHAnsi"/>
        </w:rPr>
        <w:t>Mail Online</w:t>
      </w:r>
      <w:r w:rsidRPr="00A61669">
        <w:rPr>
          <w:rFonts w:asciiTheme="majorHAnsi" w:hAnsiTheme="majorHAnsi" w:cstheme="majorHAnsi"/>
        </w:rPr>
        <w:t xml:space="preserve"> (Search, Reader Comments, Video Processing, Content Creator, Single Sign On, Cache Invalidation, Registration, AMP module, Ads, Live Commentary, Legal Tool, Elasticsearch, Redis clusters, and so on) sit within </w:t>
      </w:r>
      <w:r w:rsidR="0088745F" w:rsidRPr="00A61669">
        <w:rPr>
          <w:rFonts w:asciiTheme="majorHAnsi" w:hAnsiTheme="majorHAnsi" w:cstheme="majorHAnsi"/>
        </w:rPr>
        <w:t>Mail Online</w:t>
      </w:r>
      <w:r w:rsidRPr="00A61669">
        <w:rPr>
          <w:rFonts w:asciiTheme="majorHAnsi" w:hAnsiTheme="majorHAnsi" w:cstheme="majorHAnsi"/>
        </w:rPr>
        <w:t xml:space="preserve"> as a single application. They are migration-planning units, not separate applications.</w:t>
      </w:r>
    </w:p>
    <w:p w14:paraId="000001DF" w14:textId="000001E0" w:rsidR="000B0F63" w:rsidRPr="00A61669" w:rsidRDefault="00C05D22" w:rsidP="00E40261">
      <w:pPr>
        <w:jc w:val="both"/>
        <w:rPr>
          <w:rFonts w:asciiTheme="majorHAnsi" w:hAnsiTheme="majorHAnsi" w:cstheme="majorHAnsi"/>
        </w:rPr>
      </w:pPr>
      <w:r w:rsidRPr="00A61669">
        <w:rPr>
          <w:rFonts w:asciiTheme="majorHAnsi" w:hAnsiTheme="majorHAnsi" w:cstheme="majorHAnsi"/>
        </w:rPr>
        <w:t>Full application profile detail (dependencies, business criticality, workshop findings) for all 39 applications is in the Application Scoping workbook. This report highlights the patterns, not the list.</w:t>
      </w:r>
    </w:p>
    <w:p w14:paraId="000001E1" w14:textId="4D111EE2" w:rsidR="000B0F63" w:rsidRPr="00A61669" w:rsidRDefault="1BAB210A" w:rsidP="00E40261">
      <w:pPr>
        <w:pStyle w:val="Heading2"/>
        <w:jc w:val="both"/>
        <w:rPr>
          <w:rFonts w:asciiTheme="majorHAnsi" w:hAnsiTheme="majorHAnsi" w:cstheme="majorHAnsi"/>
        </w:rPr>
      </w:pPr>
      <w:bookmarkStart w:id="71" w:name="_Toc137"/>
      <w:bookmarkStart w:id="72" w:name="_Toc227770920"/>
      <w:r w:rsidRPr="00A61669">
        <w:rPr>
          <w:rFonts w:asciiTheme="majorHAnsi" w:hAnsiTheme="majorHAnsi" w:cstheme="majorHAnsi"/>
        </w:rPr>
        <w:t>What The Workshops</w:t>
      </w:r>
      <w:bookmarkEnd w:id="71"/>
      <w:bookmarkEnd w:id="72"/>
      <w:r w:rsidR="008D7FEF" w:rsidRPr="00A61669">
        <w:rPr>
          <w:rFonts w:asciiTheme="majorHAnsi" w:hAnsiTheme="majorHAnsi" w:cstheme="majorHAnsi"/>
        </w:rPr>
        <w:t xml:space="preserve"> Found</w:t>
      </w:r>
    </w:p>
    <w:p w14:paraId="000001E3" w14:textId="000001E4" w:rsidR="000B0F63" w:rsidRPr="00A61669" w:rsidRDefault="00C05D22" w:rsidP="00E40261">
      <w:pPr>
        <w:jc w:val="both"/>
        <w:rPr>
          <w:rFonts w:asciiTheme="majorHAnsi" w:hAnsiTheme="majorHAnsi" w:cstheme="majorHAnsi"/>
        </w:rPr>
      </w:pPr>
      <w:r w:rsidRPr="00A61669">
        <w:rPr>
          <w:rFonts w:asciiTheme="majorHAnsi" w:hAnsiTheme="majorHAnsi" w:cstheme="majorHAnsi"/>
        </w:rPr>
        <w:t>Nine application workshops were completed across the business areas. The following patterns emerged:</w:t>
      </w:r>
    </w:p>
    <w:p w14:paraId="000001E5" w14:textId="23E91697" w:rsidR="000B0F63" w:rsidRPr="00A61669" w:rsidRDefault="00490323" w:rsidP="00EC2FA3">
      <w:pPr>
        <w:pStyle w:val="ListBullet"/>
        <w:numPr>
          <w:ilvl w:val="0"/>
          <w:numId w:val="9"/>
        </w:numPr>
        <w:jc w:val="both"/>
        <w:rPr>
          <w:rFonts w:asciiTheme="majorHAnsi" w:hAnsiTheme="majorHAnsi" w:cstheme="majorHAnsi"/>
        </w:rPr>
      </w:pPr>
      <w:r w:rsidRPr="00A61669">
        <w:rPr>
          <w:rFonts w:asciiTheme="majorHAnsi" w:hAnsiTheme="majorHAnsi" w:cstheme="majorHAnsi"/>
        </w:rPr>
        <w:t>Mail Online</w:t>
      </w:r>
      <w:r w:rsidR="00C05D22" w:rsidRPr="00A61669">
        <w:rPr>
          <w:rFonts w:asciiTheme="majorHAnsi" w:hAnsiTheme="majorHAnsi" w:cstheme="majorHAnsi"/>
        </w:rPr>
        <w:t xml:space="preserve"> is a distributed monolith. Many sub-services, many dependencies, but not independently releasable as units. Any </w:t>
      </w:r>
      <w:r w:rsidRPr="00A61669">
        <w:rPr>
          <w:rFonts w:asciiTheme="majorHAnsi" w:hAnsiTheme="majorHAnsi" w:cstheme="majorHAnsi"/>
        </w:rPr>
        <w:t>Mail Online</w:t>
      </w:r>
      <w:r w:rsidR="00C05D22" w:rsidRPr="00A61669">
        <w:rPr>
          <w:rFonts w:asciiTheme="majorHAnsi" w:hAnsiTheme="majorHAnsi" w:cstheme="majorHAnsi"/>
        </w:rPr>
        <w:t xml:space="preserve"> migration </w:t>
      </w:r>
      <w:r w:rsidR="00BF5260" w:rsidRPr="00A61669">
        <w:rPr>
          <w:rFonts w:asciiTheme="majorHAnsi" w:hAnsiTheme="majorHAnsi" w:cstheme="majorHAnsi"/>
        </w:rPr>
        <w:t>must</w:t>
      </w:r>
      <w:r w:rsidR="00C05D22" w:rsidRPr="00A61669">
        <w:rPr>
          <w:rFonts w:asciiTheme="majorHAnsi" w:hAnsiTheme="majorHAnsi" w:cstheme="majorHAnsi"/>
        </w:rPr>
        <w:t xml:space="preserve"> be planned as a whole, then executed in tranches defined by data and coupling, not by convenience.</w:t>
      </w:r>
    </w:p>
    <w:p w14:paraId="000001E7" w14:textId="6B72C154" w:rsidR="000B0F63" w:rsidRPr="00A61669" w:rsidRDefault="00C05D22" w:rsidP="00EC2FA3">
      <w:pPr>
        <w:pStyle w:val="ListBullet"/>
        <w:numPr>
          <w:ilvl w:val="0"/>
          <w:numId w:val="10"/>
        </w:numPr>
        <w:jc w:val="both"/>
        <w:rPr>
          <w:rFonts w:asciiTheme="majorHAnsi" w:hAnsiTheme="majorHAnsi" w:cstheme="majorHAnsi"/>
        </w:rPr>
      </w:pPr>
      <w:r w:rsidRPr="00A61669">
        <w:rPr>
          <w:rFonts w:asciiTheme="majorHAnsi" w:hAnsiTheme="majorHAnsi" w:cstheme="majorHAnsi"/>
        </w:rPr>
        <w:t xml:space="preserve">Oracle is the centre of gravity for multiple applications. </w:t>
      </w:r>
      <w:r w:rsidR="00490323" w:rsidRPr="00A61669">
        <w:rPr>
          <w:rFonts w:asciiTheme="majorHAnsi" w:hAnsiTheme="majorHAnsi" w:cstheme="majorHAnsi"/>
        </w:rPr>
        <w:t>Mail Online</w:t>
      </w:r>
      <w:r w:rsidRPr="00A61669">
        <w:rPr>
          <w:rFonts w:asciiTheme="majorHAnsi" w:hAnsiTheme="majorHAnsi" w:cstheme="majorHAnsi"/>
        </w:rPr>
        <w:t>, Atex, CHP, and Circnet all land on Oracle. A cloud decision that does not address Oracle is incomplete. See Section 5 for the three paths modelled.</w:t>
      </w:r>
    </w:p>
    <w:p w14:paraId="000001E9" w14:textId="000001EA" w:rsidR="000B0F63" w:rsidRPr="00A61669" w:rsidRDefault="00C05D22" w:rsidP="00EC2FA3">
      <w:pPr>
        <w:pStyle w:val="ListBullet"/>
        <w:numPr>
          <w:ilvl w:val="0"/>
          <w:numId w:val="10"/>
        </w:numPr>
        <w:jc w:val="both"/>
        <w:rPr>
          <w:rFonts w:asciiTheme="majorHAnsi" w:hAnsiTheme="majorHAnsi" w:cstheme="majorHAnsi"/>
        </w:rPr>
      </w:pPr>
      <w:r w:rsidRPr="00A61669">
        <w:rPr>
          <w:rFonts w:asciiTheme="majorHAnsi" w:hAnsiTheme="majorHAnsi" w:cstheme="majorHAnsi"/>
        </w:rPr>
        <w:t>Atex has a hard technical constraint. Prestige clustering uses multicast. This works inside a datacentre LAN and breaks in most cloud virtual networks. Section 6 explains the three options.</w:t>
      </w:r>
    </w:p>
    <w:p w14:paraId="000001EB" w14:textId="236F8E99" w:rsidR="000B0F63" w:rsidRPr="00A61669" w:rsidRDefault="00C05D22" w:rsidP="00EC2FA3">
      <w:pPr>
        <w:pStyle w:val="ListBullet"/>
        <w:numPr>
          <w:ilvl w:val="0"/>
          <w:numId w:val="10"/>
        </w:numPr>
        <w:jc w:val="both"/>
        <w:rPr>
          <w:rFonts w:asciiTheme="majorHAnsi" w:hAnsiTheme="majorHAnsi" w:cstheme="majorHAnsi"/>
        </w:rPr>
      </w:pPr>
      <w:r w:rsidRPr="00A61669">
        <w:rPr>
          <w:rFonts w:asciiTheme="majorHAnsi" w:hAnsiTheme="majorHAnsi" w:cstheme="majorHAnsi"/>
        </w:rPr>
        <w:t xml:space="preserve">Retirement candidates surfaced naturally. The workshops did not require a 'what can we kill' question. </w:t>
      </w:r>
    </w:p>
    <w:p w14:paraId="000001ED" w14:textId="4F3E05D7" w:rsidR="000B0F63" w:rsidRPr="00A61669" w:rsidRDefault="003A1209" w:rsidP="00EC2FA3">
      <w:pPr>
        <w:pStyle w:val="ListBullet"/>
        <w:numPr>
          <w:ilvl w:val="0"/>
          <w:numId w:val="10"/>
        </w:numPr>
        <w:jc w:val="both"/>
        <w:rPr>
          <w:rFonts w:asciiTheme="majorHAnsi" w:hAnsiTheme="majorHAnsi" w:cstheme="majorHAnsi"/>
        </w:rPr>
      </w:pPr>
      <w:r w:rsidRPr="00A61669">
        <w:rPr>
          <w:rFonts w:asciiTheme="majorHAnsi" w:hAnsiTheme="majorHAnsi" w:cstheme="majorHAnsi"/>
        </w:rPr>
        <w:t xml:space="preserve">Many tightly coupled applications. Two examples illustrate the pattern. WPS maintains many sustained Oracle connections to the </w:t>
      </w:r>
      <w:r w:rsidR="00490323" w:rsidRPr="00A61669">
        <w:rPr>
          <w:rFonts w:asciiTheme="majorHAnsi" w:hAnsiTheme="majorHAnsi" w:cstheme="majorHAnsi"/>
        </w:rPr>
        <w:t>Mail Online</w:t>
      </w:r>
      <w:r w:rsidRPr="00A61669">
        <w:rPr>
          <w:rFonts w:asciiTheme="majorHAnsi" w:hAnsiTheme="majorHAnsi" w:cstheme="majorHAnsi"/>
        </w:rPr>
        <w:t xml:space="preserve"> B-cluster; they must migrate together. OneVision reads from ECO3's courier database via SMB; another co-migration group. Discovery identified multiple similar couplings across the estate. The full dependency map is in the Application Scoping workbook and defines the co-migration groups for </w:t>
      </w:r>
      <w:r w:rsidR="00100959" w:rsidRPr="00A61669">
        <w:rPr>
          <w:rFonts w:asciiTheme="majorHAnsi" w:hAnsiTheme="majorHAnsi" w:cstheme="majorHAnsi"/>
        </w:rPr>
        <w:t>Part 2</w:t>
      </w:r>
      <w:r w:rsidR="00C05D22" w:rsidRPr="00A61669">
        <w:rPr>
          <w:rFonts w:asciiTheme="majorHAnsi" w:hAnsiTheme="majorHAnsi" w:cstheme="majorHAnsi"/>
        </w:rPr>
        <w:t>.</w:t>
      </w:r>
    </w:p>
    <w:p w14:paraId="000001EF" w14:textId="000001F0" w:rsidR="000B0F63" w:rsidRPr="00A61669" w:rsidRDefault="00C05D22" w:rsidP="00EC2FA3">
      <w:pPr>
        <w:pStyle w:val="ListBullet"/>
        <w:numPr>
          <w:ilvl w:val="0"/>
          <w:numId w:val="10"/>
        </w:numPr>
        <w:jc w:val="both"/>
        <w:rPr>
          <w:rFonts w:asciiTheme="majorHAnsi" w:hAnsiTheme="majorHAnsi" w:cstheme="majorHAnsi"/>
        </w:rPr>
      </w:pPr>
      <w:r w:rsidRPr="00A61669">
        <w:rPr>
          <w:rFonts w:asciiTheme="majorHAnsi" w:hAnsiTheme="majorHAnsi" w:cstheme="majorHAnsi"/>
        </w:rPr>
        <w:t>ECO3 and OneVision also coupled. OneVision reads from ECO3's courier database via SMB. Co-migration group.</w:t>
      </w:r>
    </w:p>
    <w:p w14:paraId="000001F1" w14:textId="000001F2" w:rsidR="000B0F63" w:rsidRPr="00A61669" w:rsidRDefault="00C05D22" w:rsidP="00EC2FA3">
      <w:pPr>
        <w:pStyle w:val="ListBullet"/>
        <w:numPr>
          <w:ilvl w:val="0"/>
          <w:numId w:val="10"/>
        </w:numPr>
        <w:jc w:val="both"/>
        <w:rPr>
          <w:rFonts w:asciiTheme="majorHAnsi" w:hAnsiTheme="majorHAnsi" w:cstheme="majorHAnsi"/>
        </w:rPr>
      </w:pPr>
      <w:r w:rsidRPr="00A61669">
        <w:rPr>
          <w:rFonts w:asciiTheme="majorHAnsi" w:hAnsiTheme="majorHAnsi" w:cstheme="majorHAnsi"/>
        </w:rPr>
        <w:lastRenderedPageBreak/>
        <w:t>Sydney is independent. The CSP application in Sydney runs on approximately four servers with minimal cross-dependency to UK systems. Flexible contract. Natural early-migration candidate.</w:t>
      </w:r>
    </w:p>
    <w:p w14:paraId="04711DE3" w14:textId="5818D6C3" w:rsidR="00177D26" w:rsidRPr="00A61669" w:rsidRDefault="00177D26" w:rsidP="00177D26">
      <w:pPr>
        <w:pStyle w:val="ListBullet"/>
        <w:numPr>
          <w:ilvl w:val="0"/>
          <w:numId w:val="10"/>
        </w:numPr>
        <w:jc w:val="both"/>
        <w:rPr>
          <w:rFonts w:asciiTheme="majorHAnsi" w:hAnsiTheme="majorHAnsi" w:cstheme="majorHAnsi"/>
        </w:rPr>
      </w:pPr>
      <w:r w:rsidRPr="00A61669">
        <w:rPr>
          <w:rFonts w:asciiTheme="majorHAnsi" w:hAnsiTheme="majorHAnsi" w:cstheme="majorHAnsi"/>
          <w:lang w:val="en-GB"/>
        </w:rPr>
        <w:t>CMDB is a strong asset for dmg showing current state inventory</w:t>
      </w:r>
      <w:r w:rsidR="00C42437" w:rsidRPr="00A61669">
        <w:rPr>
          <w:rFonts w:asciiTheme="majorHAnsi" w:hAnsiTheme="majorHAnsi" w:cstheme="majorHAnsi"/>
          <w:lang w:val="en-GB"/>
        </w:rPr>
        <w:t xml:space="preserve">. </w:t>
      </w:r>
    </w:p>
    <w:p w14:paraId="02944D28" w14:textId="7ED037C6" w:rsidR="00177D26" w:rsidRPr="00A61669" w:rsidRDefault="00177D26" w:rsidP="00177D26">
      <w:pPr>
        <w:pStyle w:val="ListBullet"/>
        <w:numPr>
          <w:ilvl w:val="0"/>
          <w:numId w:val="10"/>
        </w:numPr>
        <w:jc w:val="both"/>
        <w:rPr>
          <w:rFonts w:asciiTheme="majorHAnsi" w:hAnsiTheme="majorHAnsi" w:cstheme="majorHAnsi"/>
        </w:rPr>
      </w:pPr>
      <w:r w:rsidRPr="00A61669">
        <w:rPr>
          <w:rFonts w:asciiTheme="majorHAnsi" w:hAnsiTheme="majorHAnsi" w:cstheme="majorHAnsi"/>
          <w:lang w:val="en-GB"/>
        </w:rPr>
        <w:t>Application owners have good knowledge of their technical</w:t>
      </w:r>
      <w:r w:rsidR="00ED42AF" w:rsidRPr="00A61669">
        <w:rPr>
          <w:rFonts w:asciiTheme="majorHAnsi" w:hAnsiTheme="majorHAnsi" w:cstheme="majorHAnsi"/>
          <w:lang w:val="en-GB"/>
        </w:rPr>
        <w:t xml:space="preserve"> footprint, dependencies, and lifecycle status.</w:t>
      </w:r>
    </w:p>
    <w:p w14:paraId="5608451B" w14:textId="77777777" w:rsidR="006709C6" w:rsidRPr="00A61669" w:rsidRDefault="006709C6" w:rsidP="00FA7134">
      <w:pPr>
        <w:pStyle w:val="ListBullet"/>
        <w:numPr>
          <w:ilvl w:val="1"/>
          <w:numId w:val="10"/>
        </w:numPr>
        <w:jc w:val="both"/>
        <w:rPr>
          <w:rFonts w:asciiTheme="majorHAnsi" w:hAnsiTheme="majorHAnsi" w:cstheme="majorHAnsi"/>
        </w:rPr>
      </w:pPr>
      <w:r w:rsidRPr="00A61669">
        <w:rPr>
          <w:rFonts w:asciiTheme="majorHAnsi" w:hAnsiTheme="majorHAnsi" w:cstheme="majorHAnsi"/>
          <w:lang w:val="en-GB"/>
        </w:rPr>
        <w:t>RPO/RTO/Business Criticality/HA/DR is not clearly understood or necessarily linked to business criticality</w:t>
      </w:r>
    </w:p>
    <w:p w14:paraId="0808B5BC" w14:textId="4ADE6989" w:rsidR="006709C6" w:rsidRPr="00A61669" w:rsidRDefault="006709C6" w:rsidP="00FA7134">
      <w:pPr>
        <w:pStyle w:val="ListBullet"/>
        <w:numPr>
          <w:ilvl w:val="1"/>
          <w:numId w:val="10"/>
        </w:numPr>
        <w:jc w:val="both"/>
        <w:rPr>
          <w:rFonts w:asciiTheme="majorHAnsi" w:hAnsiTheme="majorHAnsi" w:cstheme="majorHAnsi"/>
        </w:rPr>
      </w:pPr>
      <w:r w:rsidRPr="00A61669">
        <w:rPr>
          <w:rFonts w:asciiTheme="majorHAnsi" w:hAnsiTheme="majorHAnsi" w:cstheme="majorHAnsi"/>
          <w:lang w:val="en-GB"/>
        </w:rPr>
        <w:t>Backup schedules and restore processes are not well understood by the business</w:t>
      </w:r>
    </w:p>
    <w:p w14:paraId="526EFC2D" w14:textId="346D1D7B" w:rsidR="002C2DBF" w:rsidRPr="00A61669" w:rsidRDefault="005B0DC5" w:rsidP="002C2DBF">
      <w:pPr>
        <w:pStyle w:val="ListBullet"/>
        <w:numPr>
          <w:ilvl w:val="0"/>
          <w:numId w:val="10"/>
        </w:numPr>
        <w:jc w:val="both"/>
        <w:rPr>
          <w:rFonts w:asciiTheme="majorHAnsi" w:hAnsiTheme="majorHAnsi" w:cstheme="majorHAnsi"/>
        </w:rPr>
      </w:pPr>
      <w:r w:rsidRPr="00A61669">
        <w:rPr>
          <w:rFonts w:asciiTheme="majorHAnsi" w:hAnsiTheme="majorHAnsi" w:cstheme="majorHAnsi"/>
          <w:lang w:val="en-GB"/>
        </w:rPr>
        <w:t xml:space="preserve">AWS </w:t>
      </w:r>
      <w:r w:rsidR="0014781A" w:rsidRPr="00A61669">
        <w:rPr>
          <w:rFonts w:asciiTheme="majorHAnsi" w:hAnsiTheme="majorHAnsi" w:cstheme="majorHAnsi"/>
          <w:lang w:val="en-GB"/>
        </w:rPr>
        <w:t xml:space="preserve">competency </w:t>
      </w:r>
      <w:r w:rsidR="004003AD" w:rsidRPr="00A61669">
        <w:rPr>
          <w:rFonts w:asciiTheme="majorHAnsi" w:hAnsiTheme="majorHAnsi" w:cstheme="majorHAnsi"/>
          <w:lang w:val="en-GB"/>
        </w:rPr>
        <w:t xml:space="preserve">already </w:t>
      </w:r>
      <w:r w:rsidR="0014781A" w:rsidRPr="00A61669">
        <w:rPr>
          <w:rFonts w:asciiTheme="majorHAnsi" w:hAnsiTheme="majorHAnsi" w:cstheme="majorHAnsi"/>
          <w:lang w:val="en-GB"/>
        </w:rPr>
        <w:t>exists</w:t>
      </w:r>
      <w:r w:rsidRPr="00A61669">
        <w:rPr>
          <w:rFonts w:asciiTheme="majorHAnsi" w:hAnsiTheme="majorHAnsi" w:cstheme="majorHAnsi"/>
          <w:lang w:val="en-GB"/>
        </w:rPr>
        <w:t xml:space="preserve"> within</w:t>
      </w:r>
      <w:r w:rsidR="0014781A" w:rsidRPr="00A61669">
        <w:rPr>
          <w:rFonts w:asciiTheme="majorHAnsi" w:hAnsiTheme="majorHAnsi" w:cstheme="majorHAnsi"/>
          <w:lang w:val="en-GB"/>
        </w:rPr>
        <w:t xml:space="preserve"> some of</w:t>
      </w:r>
      <w:r w:rsidRPr="00A61669">
        <w:rPr>
          <w:rFonts w:asciiTheme="majorHAnsi" w:hAnsiTheme="majorHAnsi" w:cstheme="majorHAnsi"/>
          <w:lang w:val="en-GB"/>
        </w:rPr>
        <w:t xml:space="preserve"> the business teams. </w:t>
      </w:r>
      <w:r w:rsidR="002C2DBF" w:rsidRPr="00A61669">
        <w:rPr>
          <w:rFonts w:asciiTheme="majorHAnsi" w:hAnsiTheme="majorHAnsi" w:cstheme="majorHAnsi"/>
          <w:lang w:val="en-GB"/>
        </w:rPr>
        <w:t>(</w:t>
      </w:r>
      <w:r w:rsidR="002C2DBF" w:rsidRPr="00A61669">
        <w:rPr>
          <w:rFonts w:asciiTheme="majorHAnsi" w:hAnsiTheme="majorHAnsi" w:cstheme="majorHAnsi"/>
          <w:lang w:val="en-IN"/>
        </w:rPr>
        <w:t>MIMIR, Airtable, DMG iQ - Social Media &amp; MSN Gallery Creator)</w:t>
      </w:r>
      <w:r w:rsidR="00721DE4" w:rsidRPr="00A61669">
        <w:rPr>
          <w:rFonts w:asciiTheme="majorHAnsi" w:hAnsiTheme="majorHAnsi" w:cstheme="majorHAnsi"/>
          <w:lang w:val="en-IN"/>
        </w:rPr>
        <w:t xml:space="preserve"> </w:t>
      </w:r>
      <w:r w:rsidR="00721DE4" w:rsidRPr="00A61669">
        <w:rPr>
          <w:rFonts w:asciiTheme="majorHAnsi" w:hAnsiTheme="majorHAnsi" w:cstheme="majorHAnsi"/>
          <w:lang w:val="en-GB"/>
        </w:rPr>
        <w:t>already using CI/CD pipelines and automation.</w:t>
      </w:r>
    </w:p>
    <w:p w14:paraId="5C5DC896" w14:textId="06CD2B02" w:rsidR="005B0DC5" w:rsidRPr="00A61669" w:rsidRDefault="005B0DC5" w:rsidP="002C2DBF">
      <w:pPr>
        <w:pStyle w:val="ListBullet"/>
        <w:jc w:val="both"/>
        <w:rPr>
          <w:rFonts w:asciiTheme="majorHAnsi" w:hAnsiTheme="majorHAnsi" w:cstheme="majorHAnsi"/>
        </w:rPr>
      </w:pPr>
    </w:p>
    <w:p w14:paraId="61AB1257" w14:textId="77777777" w:rsidR="00177D26" w:rsidRPr="00A61669" w:rsidRDefault="00177D26" w:rsidP="00177D26">
      <w:pPr>
        <w:pStyle w:val="ListBullet"/>
        <w:jc w:val="both"/>
        <w:rPr>
          <w:rFonts w:asciiTheme="majorHAnsi" w:hAnsiTheme="majorHAnsi" w:cstheme="majorHAnsi"/>
        </w:rPr>
      </w:pPr>
    </w:p>
    <w:p w14:paraId="000001F3" w14:textId="3D518A38" w:rsidR="000B0F63" w:rsidRPr="00A61669" w:rsidRDefault="1BAB210A" w:rsidP="00E40261">
      <w:pPr>
        <w:pStyle w:val="Heading2"/>
        <w:jc w:val="both"/>
        <w:rPr>
          <w:rFonts w:asciiTheme="majorHAnsi" w:hAnsiTheme="majorHAnsi" w:cstheme="majorHAnsi"/>
        </w:rPr>
      </w:pPr>
      <w:bookmarkStart w:id="73" w:name="_Toc138"/>
      <w:bookmarkStart w:id="74" w:name="_Toc227770921"/>
      <w:r w:rsidRPr="00A61669">
        <w:rPr>
          <w:rFonts w:asciiTheme="majorHAnsi" w:hAnsiTheme="majorHAnsi" w:cstheme="majorHAnsi"/>
        </w:rPr>
        <w:t xml:space="preserve">Discovery: What </w:t>
      </w:r>
      <w:r w:rsidR="00E436A1" w:rsidRPr="00A61669">
        <w:rPr>
          <w:rFonts w:asciiTheme="majorHAnsi" w:hAnsiTheme="majorHAnsi" w:cstheme="majorHAnsi"/>
        </w:rPr>
        <w:t>Rackspace</w:t>
      </w:r>
      <w:r w:rsidRPr="00A61669">
        <w:rPr>
          <w:rFonts w:asciiTheme="majorHAnsi" w:hAnsiTheme="majorHAnsi" w:cstheme="majorHAnsi"/>
        </w:rPr>
        <w:t xml:space="preserve"> Actually Did</w:t>
      </w:r>
      <w:bookmarkEnd w:id="73"/>
      <w:bookmarkEnd w:id="74"/>
    </w:p>
    <w:p w14:paraId="000001F5" w14:textId="000001F6" w:rsidR="000B0F63" w:rsidRPr="00A61669" w:rsidRDefault="00C05D22" w:rsidP="00E40261">
      <w:pPr>
        <w:jc w:val="both"/>
        <w:rPr>
          <w:rFonts w:asciiTheme="majorHAnsi" w:hAnsiTheme="majorHAnsi" w:cstheme="majorHAnsi"/>
        </w:rPr>
      </w:pPr>
      <w:r w:rsidRPr="00A61669">
        <w:rPr>
          <w:rFonts w:asciiTheme="majorHAnsi" w:hAnsiTheme="majorHAnsi" w:cstheme="majorHAnsi"/>
        </w:rPr>
        <w:t>The discovery process itself revealed the scale of the operational challenge. Deploying Migration Center across 3,038 servers required navigating a varied set of obstacles:</w:t>
      </w:r>
    </w:p>
    <w:p w14:paraId="000001F7" w14:textId="38EFDF23" w:rsidR="000B0F63" w:rsidRPr="00A61669" w:rsidRDefault="00C05D22" w:rsidP="00EC2FA3">
      <w:pPr>
        <w:pStyle w:val="ListBullet"/>
        <w:numPr>
          <w:ilvl w:val="0"/>
          <w:numId w:val="11"/>
        </w:numPr>
        <w:jc w:val="both"/>
        <w:rPr>
          <w:rFonts w:asciiTheme="majorHAnsi" w:hAnsiTheme="majorHAnsi" w:cstheme="majorHAnsi"/>
        </w:rPr>
      </w:pPr>
      <w:r w:rsidRPr="00A61669">
        <w:rPr>
          <w:rFonts w:asciiTheme="majorHAnsi" w:hAnsiTheme="majorHAnsi" w:cstheme="majorHAnsi"/>
          <w:b/>
        </w:rPr>
        <w:t>No common credential mechanism</w:t>
      </w:r>
      <w:r w:rsidRPr="00A61669">
        <w:rPr>
          <w:rFonts w:asciiTheme="majorHAnsi" w:hAnsiTheme="majorHAnsi" w:cstheme="majorHAnsi"/>
        </w:rPr>
        <w:t xml:space="preserve">. SSH for Linux (where agent-less collection was possible), a Windows Collection VM running against vCenter for the general Windows estate (WMI was blocked so VMware Tools guest operations </w:t>
      </w:r>
      <w:r w:rsidR="00E2498E" w:rsidRPr="00A61669">
        <w:rPr>
          <w:rFonts w:asciiTheme="majorHAnsi" w:hAnsiTheme="majorHAnsi" w:cstheme="majorHAnsi"/>
        </w:rPr>
        <w:t>were</w:t>
      </w:r>
      <w:r w:rsidRPr="00A61669">
        <w:rPr>
          <w:rFonts w:asciiTheme="majorHAnsi" w:hAnsiTheme="majorHAnsi" w:cstheme="majorHAnsi"/>
        </w:rPr>
        <w:t xml:space="preserve"> the path), and manual PowerShell per-host for SQL Server DB hosts (Guardicore micro-segmentation). What works for </w:t>
      </w:r>
      <w:r w:rsidR="00490323" w:rsidRPr="00A61669">
        <w:rPr>
          <w:rFonts w:asciiTheme="majorHAnsi" w:hAnsiTheme="majorHAnsi" w:cstheme="majorHAnsi"/>
        </w:rPr>
        <w:t>Mail Online</w:t>
      </w:r>
      <w:r w:rsidRPr="00A61669">
        <w:rPr>
          <w:rFonts w:asciiTheme="majorHAnsi" w:hAnsiTheme="majorHAnsi" w:cstheme="majorHAnsi"/>
        </w:rPr>
        <w:t>'s Linux servers does not work for ANL's Windows estate, and neither approach works for bare metal Oracle or Proxmox hosts.</w:t>
      </w:r>
    </w:p>
    <w:p w14:paraId="000001F9" w14:textId="000001FA" w:rsidR="000B0F63" w:rsidRPr="00A61669" w:rsidRDefault="00C05D22" w:rsidP="00EC2FA3">
      <w:pPr>
        <w:pStyle w:val="ListBullet"/>
        <w:numPr>
          <w:ilvl w:val="0"/>
          <w:numId w:val="11"/>
        </w:numPr>
        <w:jc w:val="both"/>
        <w:rPr>
          <w:rFonts w:asciiTheme="majorHAnsi" w:hAnsiTheme="majorHAnsi" w:cstheme="majorHAnsi"/>
        </w:rPr>
      </w:pPr>
      <w:r w:rsidRPr="00A61669">
        <w:rPr>
          <w:rFonts w:asciiTheme="majorHAnsi" w:hAnsiTheme="majorHAnsi" w:cstheme="majorHAnsi"/>
          <w:b/>
        </w:rPr>
        <w:t>Multiple teams, sequential engagement</w:t>
      </w:r>
      <w:r w:rsidRPr="00A61669">
        <w:rPr>
          <w:rFonts w:asciiTheme="majorHAnsi" w:hAnsiTheme="majorHAnsi" w:cstheme="majorHAnsi"/>
        </w:rPr>
        <w:t>. Infrastructure, database, security, and application teams each owned different parts of the access chain. Each team had its own approval process and timeline. This sequential coordination was the primary cause of delays in reaching guest-level coverage.</w:t>
      </w:r>
    </w:p>
    <w:p w14:paraId="000001FB" w14:textId="5BA8978B" w:rsidR="000B0F63" w:rsidRPr="00A61669" w:rsidRDefault="00C05D22" w:rsidP="00EC2FA3">
      <w:pPr>
        <w:pStyle w:val="ListBullet"/>
        <w:numPr>
          <w:ilvl w:val="0"/>
          <w:numId w:val="11"/>
        </w:numPr>
        <w:jc w:val="both"/>
        <w:rPr>
          <w:rFonts w:asciiTheme="majorHAnsi" w:hAnsiTheme="majorHAnsi" w:cstheme="majorHAnsi"/>
        </w:rPr>
      </w:pPr>
      <w:r w:rsidRPr="00A61669">
        <w:rPr>
          <w:rFonts w:asciiTheme="majorHAnsi" w:hAnsiTheme="majorHAnsi" w:cstheme="majorHAnsi"/>
          <w:b/>
        </w:rPr>
        <w:t>Custom automation built specifically for DMG Media's estate</w:t>
      </w:r>
      <w:r w:rsidRPr="00A61669">
        <w:rPr>
          <w:rFonts w:asciiTheme="majorHAnsi" w:hAnsiTheme="majorHAnsi" w:cstheme="majorHAnsi"/>
        </w:rPr>
        <w:t xml:space="preserve">. Off-the-shelf discovery tooling could not handle the spread of infrastructure types and access constraints found in </w:t>
      </w:r>
      <w:r w:rsidR="00100959" w:rsidRPr="00A61669">
        <w:rPr>
          <w:rFonts w:asciiTheme="majorHAnsi" w:hAnsiTheme="majorHAnsi" w:cstheme="majorHAnsi"/>
        </w:rPr>
        <w:t>Part 1</w:t>
      </w:r>
      <w:r w:rsidRPr="00A61669">
        <w:rPr>
          <w:rFonts w:asciiTheme="majorHAnsi" w:hAnsiTheme="majorHAnsi" w:cstheme="majorHAnsi"/>
        </w:rPr>
        <w:t xml:space="preserve">. The Rackspace team built bespoke collection automation tailored to DMG Media's specific complexity: per-network-zone handling for </w:t>
      </w:r>
      <w:r w:rsidR="00490323" w:rsidRPr="00A61669">
        <w:rPr>
          <w:rFonts w:asciiTheme="majorHAnsi" w:hAnsiTheme="majorHAnsi" w:cstheme="majorHAnsi"/>
        </w:rPr>
        <w:t>Mail Online</w:t>
      </w:r>
      <w:r w:rsidRPr="00A61669">
        <w:rPr>
          <w:rFonts w:asciiTheme="majorHAnsi" w:hAnsiTheme="majorHAnsi" w:cstheme="majorHAnsi"/>
        </w:rPr>
        <w:t xml:space="preserve"> and ANL, vCenter path filtering with parallel discovery across multiple vCenters, SSH fallback for VMs without VMware Tools, standalone Linux and Proxmox collection, and physical server import workflows. Database collection ran through separate channels (Oracle via DMA, SQL Server via PowerShell scripts run per-host because Guardicore micro-segmentation blocked WMI). The scripts and handover documentation were provided to DMG Media's team so collection can continue beyond </w:t>
      </w:r>
      <w:r w:rsidR="00100959" w:rsidRPr="00A61669">
        <w:rPr>
          <w:rFonts w:asciiTheme="majorHAnsi" w:hAnsiTheme="majorHAnsi" w:cstheme="majorHAnsi"/>
        </w:rPr>
        <w:t>Part 1</w:t>
      </w:r>
      <w:r w:rsidRPr="00A61669">
        <w:rPr>
          <w:rFonts w:asciiTheme="majorHAnsi" w:hAnsiTheme="majorHAnsi" w:cstheme="majorHAnsi"/>
        </w:rPr>
        <w:t>.</w:t>
      </w:r>
    </w:p>
    <w:p w14:paraId="000001FD" w14:textId="551A338A" w:rsidR="000B0F63" w:rsidRPr="00A61669" w:rsidRDefault="00C05D22" w:rsidP="00EC2FA3">
      <w:pPr>
        <w:pStyle w:val="ListBullet"/>
        <w:numPr>
          <w:ilvl w:val="0"/>
          <w:numId w:val="11"/>
        </w:numPr>
        <w:jc w:val="both"/>
        <w:rPr>
          <w:rFonts w:asciiTheme="majorHAnsi" w:hAnsiTheme="majorHAnsi" w:cstheme="majorHAnsi"/>
        </w:rPr>
      </w:pPr>
      <w:r w:rsidRPr="00A61669">
        <w:rPr>
          <w:rFonts w:asciiTheme="majorHAnsi" w:hAnsiTheme="majorHAnsi" w:cstheme="majorHAnsi"/>
          <w:b/>
        </w:rPr>
        <w:lastRenderedPageBreak/>
        <w:t>DMG Media</w:t>
      </w:r>
      <w:r w:rsidR="002B6815" w:rsidRPr="00A61669">
        <w:rPr>
          <w:rFonts w:asciiTheme="majorHAnsi" w:hAnsiTheme="majorHAnsi" w:cstheme="majorHAnsi"/>
          <w:b/>
        </w:rPr>
        <w:t xml:space="preserve"> </w:t>
      </w:r>
      <w:r w:rsidR="00F36E0A" w:rsidRPr="00A61669">
        <w:rPr>
          <w:rFonts w:asciiTheme="majorHAnsi" w:hAnsiTheme="majorHAnsi" w:cstheme="majorHAnsi"/>
          <w:b/>
        </w:rPr>
        <w:t>Technology</w:t>
      </w:r>
      <w:r w:rsidRPr="00A61669">
        <w:rPr>
          <w:rFonts w:asciiTheme="majorHAnsi" w:hAnsiTheme="majorHAnsi" w:cstheme="majorHAnsi"/>
          <w:b/>
        </w:rPr>
        <w:t xml:space="preserve"> team stretched thin</w:t>
      </w:r>
      <w:r w:rsidRPr="00A61669">
        <w:rPr>
          <w:rFonts w:asciiTheme="majorHAnsi" w:hAnsiTheme="majorHAnsi" w:cstheme="majorHAnsi"/>
        </w:rPr>
        <w:t>. DMG Media's technology teams were managing day-to-day operations alongside discovery support. The varied issues (port approvals, credential provisioning, firewall changes, agent deployments) meant the same small group was context-switching across unrelated problems simultaneously.</w:t>
      </w:r>
    </w:p>
    <w:p w14:paraId="11DD4514" w14:textId="4BC74B2F" w:rsidR="00C874CD" w:rsidRPr="00A61669" w:rsidRDefault="00C874CD" w:rsidP="00E40261">
      <w:pPr>
        <w:pStyle w:val="Heading2"/>
        <w:jc w:val="both"/>
        <w:rPr>
          <w:rFonts w:asciiTheme="majorHAnsi" w:eastAsiaTheme="minorEastAsia" w:hAnsiTheme="majorHAnsi" w:cstheme="majorHAnsi"/>
          <w:b/>
          <w:color w:val="auto"/>
          <w:sz w:val="22"/>
          <w:szCs w:val="22"/>
        </w:rPr>
      </w:pPr>
      <w:bookmarkStart w:id="75" w:name="_Toc139"/>
      <w:bookmarkStart w:id="76" w:name="_Toc227770922"/>
      <w:r w:rsidRPr="00A61669">
        <w:rPr>
          <w:rFonts w:asciiTheme="majorHAnsi" w:eastAsiaTheme="minorEastAsia" w:hAnsiTheme="majorHAnsi" w:cstheme="majorHAnsi"/>
          <w:b/>
          <w:color w:val="auto"/>
          <w:sz w:val="22"/>
          <w:szCs w:val="22"/>
        </w:rPr>
        <w:t xml:space="preserve">What this means for </w:t>
      </w:r>
      <w:r w:rsidR="00100959" w:rsidRPr="00A61669">
        <w:rPr>
          <w:rFonts w:asciiTheme="majorHAnsi" w:eastAsiaTheme="minorEastAsia" w:hAnsiTheme="majorHAnsi" w:cstheme="majorHAnsi"/>
          <w:b/>
          <w:color w:val="auto"/>
          <w:sz w:val="22"/>
          <w:szCs w:val="22"/>
        </w:rPr>
        <w:t>Part 2</w:t>
      </w:r>
      <w:r w:rsidRPr="00A61669">
        <w:rPr>
          <w:rFonts w:asciiTheme="majorHAnsi" w:eastAsiaTheme="minorEastAsia" w:hAnsiTheme="majorHAnsi" w:cstheme="majorHAnsi"/>
          <w:b/>
          <w:color w:val="auto"/>
          <w:sz w:val="22"/>
          <w:szCs w:val="22"/>
        </w:rPr>
        <w:t xml:space="preserve">: </w:t>
      </w:r>
      <w:r w:rsidRPr="00A61669">
        <w:rPr>
          <w:rFonts w:asciiTheme="majorHAnsi" w:eastAsiaTheme="minorEastAsia" w:hAnsiTheme="majorHAnsi" w:cstheme="majorHAnsi"/>
          <w:color w:val="auto"/>
          <w:sz w:val="22"/>
          <w:szCs w:val="22"/>
        </w:rPr>
        <w:t xml:space="preserve">the discovery process confirmed that DMG Media's operational environment varies significantly across business areas, with different credential stores, approval chains, and documentation maturity. This is not a criticism; it is the starting condition that any migration programme must be designed around. The practical lesson is that </w:t>
      </w:r>
      <w:r w:rsidR="00100959" w:rsidRPr="00A61669">
        <w:rPr>
          <w:rFonts w:asciiTheme="majorHAnsi" w:eastAsiaTheme="minorEastAsia" w:hAnsiTheme="majorHAnsi" w:cstheme="majorHAnsi"/>
          <w:color w:val="auto"/>
          <w:sz w:val="22"/>
          <w:szCs w:val="22"/>
        </w:rPr>
        <w:t>Part 2</w:t>
      </w:r>
      <w:r w:rsidRPr="00A61669">
        <w:rPr>
          <w:rFonts w:asciiTheme="majorHAnsi" w:eastAsiaTheme="minorEastAsia" w:hAnsiTheme="majorHAnsi" w:cstheme="majorHAnsi"/>
          <w:color w:val="auto"/>
          <w:sz w:val="22"/>
          <w:szCs w:val="22"/>
        </w:rPr>
        <w:t xml:space="preserve"> cannot follow a single-threaded model. Multiple parallel workstreams, each with dedicated resources aligned to specific application groups and DMG Media's teams, are required to maintain velocity and reach the deeper data coverage needed for migration execution planning.</w:t>
      </w:r>
    </w:p>
    <w:p w14:paraId="00000201" w14:textId="406F88BB" w:rsidR="000B0F63" w:rsidRPr="00A61669" w:rsidRDefault="1BAB210A" w:rsidP="00E40261">
      <w:pPr>
        <w:pStyle w:val="Heading2"/>
        <w:jc w:val="both"/>
        <w:rPr>
          <w:rFonts w:asciiTheme="majorHAnsi" w:hAnsiTheme="majorHAnsi" w:cstheme="majorHAnsi"/>
        </w:rPr>
      </w:pPr>
      <w:r w:rsidRPr="00A61669">
        <w:rPr>
          <w:rFonts w:asciiTheme="majorHAnsi" w:hAnsiTheme="majorHAnsi" w:cstheme="majorHAnsi"/>
        </w:rPr>
        <w:t>Data Gaps and Confidence</w:t>
      </w:r>
      <w:bookmarkEnd w:id="75"/>
      <w:bookmarkEnd w:id="76"/>
    </w:p>
    <w:p w14:paraId="00000203" w14:textId="2F42E2E6" w:rsidR="000B0F63" w:rsidRPr="00A61669" w:rsidRDefault="1BAB210A" w:rsidP="00E40261">
      <w:pPr>
        <w:pStyle w:val="Heading3"/>
        <w:jc w:val="both"/>
        <w:rPr>
          <w:rFonts w:asciiTheme="majorHAnsi" w:hAnsiTheme="majorHAnsi" w:cstheme="majorHAnsi"/>
        </w:rPr>
      </w:pPr>
      <w:bookmarkStart w:id="77" w:name="_Toc140"/>
      <w:bookmarkStart w:id="78" w:name="_Toc227770923"/>
      <w:r w:rsidRPr="00A61669">
        <w:rPr>
          <w:rFonts w:asciiTheme="majorHAnsi" w:hAnsiTheme="majorHAnsi" w:cstheme="majorHAnsi"/>
        </w:rPr>
        <w:t xml:space="preserve">What </w:t>
      </w:r>
      <w:bookmarkEnd w:id="77"/>
      <w:bookmarkEnd w:id="78"/>
      <w:r w:rsidR="00E436A1" w:rsidRPr="00A61669">
        <w:rPr>
          <w:rFonts w:asciiTheme="majorHAnsi" w:hAnsiTheme="majorHAnsi" w:cstheme="majorHAnsi"/>
        </w:rPr>
        <w:t>was found</w:t>
      </w:r>
    </w:p>
    <w:p w14:paraId="00000205" w14:textId="00000206" w:rsidR="000B0F63" w:rsidRPr="00A61669" w:rsidRDefault="00C05D22" w:rsidP="00F57DAB">
      <w:pPr>
        <w:pStyle w:val="ListBullet"/>
        <w:numPr>
          <w:ilvl w:val="0"/>
          <w:numId w:val="40"/>
        </w:numPr>
        <w:jc w:val="both"/>
        <w:rPr>
          <w:rFonts w:asciiTheme="majorHAnsi" w:hAnsiTheme="majorHAnsi" w:cstheme="majorHAnsi"/>
        </w:rPr>
      </w:pPr>
      <w:r w:rsidRPr="00A61669">
        <w:rPr>
          <w:rFonts w:asciiTheme="majorHAnsi" w:hAnsiTheme="majorHAnsi" w:cstheme="majorHAnsi"/>
        </w:rPr>
        <w:t>100% coverage of in-scope servers (3,038 of 3,038 discovered via Migration Center plus manual collection)</w:t>
      </w:r>
    </w:p>
    <w:p w14:paraId="00000207" w14:textId="00000208" w:rsidR="000B0F63" w:rsidRPr="00A61669" w:rsidRDefault="00C05D22" w:rsidP="00F57DAB">
      <w:pPr>
        <w:pStyle w:val="ListBullet"/>
        <w:numPr>
          <w:ilvl w:val="0"/>
          <w:numId w:val="40"/>
        </w:numPr>
        <w:jc w:val="both"/>
        <w:rPr>
          <w:rFonts w:asciiTheme="majorHAnsi" w:hAnsiTheme="majorHAnsi" w:cstheme="majorHAnsi"/>
        </w:rPr>
      </w:pPr>
      <w:r w:rsidRPr="00A61669">
        <w:rPr>
          <w:rFonts w:asciiTheme="majorHAnsi" w:hAnsiTheme="majorHAnsi" w:cstheme="majorHAnsi"/>
        </w:rPr>
        <w:t>TCO-grade data for 97% of the estate (sufficient for pricing across all three clouds)</w:t>
      </w:r>
    </w:p>
    <w:p w14:paraId="0000020B" w14:textId="0C08DEB9" w:rsidR="000B0F63" w:rsidRPr="00A61669" w:rsidRDefault="00EA6F9E" w:rsidP="00F57DAB">
      <w:pPr>
        <w:pStyle w:val="ListBullet"/>
        <w:numPr>
          <w:ilvl w:val="0"/>
          <w:numId w:val="40"/>
        </w:numPr>
        <w:jc w:val="both"/>
        <w:rPr>
          <w:rFonts w:asciiTheme="majorHAnsi" w:hAnsiTheme="majorHAnsi" w:cstheme="majorBidi"/>
        </w:rPr>
      </w:pPr>
      <w:r w:rsidRPr="69A21480">
        <w:rPr>
          <w:rFonts w:asciiTheme="majorHAnsi" w:hAnsiTheme="majorHAnsi" w:cstheme="majorBidi"/>
        </w:rPr>
        <w:t xml:space="preserve">Network dependencies captured 842 servers (27.7% of estate), yielding over 2 million connection records. Where guest-level collection was possible, the data is rich: full connection maps with source, destination, port, and protocol. But coverage is limited to the servers where collection agents could be deployed. The remaining 72.3% of servers have no network dependency data. Extending this coverage is a </w:t>
      </w:r>
      <w:r w:rsidR="00100959" w:rsidRPr="69A21480">
        <w:rPr>
          <w:rFonts w:asciiTheme="majorHAnsi" w:hAnsiTheme="majorHAnsi" w:cstheme="majorBidi"/>
        </w:rPr>
        <w:t>Part 2</w:t>
      </w:r>
      <w:r w:rsidRPr="69A21480">
        <w:rPr>
          <w:rFonts w:asciiTheme="majorHAnsi" w:hAnsiTheme="majorHAnsi" w:cstheme="majorBidi"/>
        </w:rPr>
        <w:t xml:space="preserve"> priority. </w:t>
      </w:r>
      <w:r w:rsidR="00C05D22" w:rsidRPr="69A21480">
        <w:rPr>
          <w:rFonts w:asciiTheme="majorHAnsi" w:hAnsiTheme="majorHAnsi" w:cstheme="majorBidi"/>
        </w:rPr>
        <w:t>Software inventory on 51.5% of servers</w:t>
      </w:r>
    </w:p>
    <w:p w14:paraId="5610779E" w14:textId="77777777" w:rsidR="00EA6F9E" w:rsidRPr="00A61669" w:rsidRDefault="00C05D22" w:rsidP="00F57DAB">
      <w:pPr>
        <w:pStyle w:val="ListBullet"/>
        <w:numPr>
          <w:ilvl w:val="0"/>
          <w:numId w:val="40"/>
        </w:numPr>
        <w:jc w:val="both"/>
        <w:rPr>
          <w:rFonts w:asciiTheme="majorHAnsi" w:hAnsiTheme="majorHAnsi" w:cstheme="majorHAnsi"/>
        </w:rPr>
      </w:pPr>
      <w:r w:rsidRPr="00A61669">
        <w:rPr>
          <w:rFonts w:asciiTheme="majorHAnsi" w:hAnsiTheme="majorHAnsi" w:cstheme="majorHAnsi"/>
        </w:rPr>
        <w:t>Full SQL Server assessment (49 instances, 252 cores, 185 databases)</w:t>
      </w:r>
    </w:p>
    <w:p w14:paraId="0000020F" w14:textId="1ED1149C" w:rsidR="000B0F63" w:rsidRPr="00A61669" w:rsidRDefault="00C05D22" w:rsidP="00F57DAB">
      <w:pPr>
        <w:pStyle w:val="ListBullet"/>
        <w:numPr>
          <w:ilvl w:val="0"/>
          <w:numId w:val="40"/>
        </w:numPr>
        <w:jc w:val="both"/>
        <w:rPr>
          <w:rFonts w:asciiTheme="majorHAnsi" w:hAnsiTheme="majorHAnsi" w:cstheme="majorHAnsi"/>
        </w:rPr>
      </w:pPr>
      <w:r w:rsidRPr="00A61669">
        <w:rPr>
          <w:rFonts w:asciiTheme="majorHAnsi" w:hAnsiTheme="majorHAnsi" w:cstheme="majorHAnsi"/>
        </w:rPr>
        <w:t>Oracle DMA on 11 database instances across 7 hosts</w:t>
      </w:r>
    </w:p>
    <w:p w14:paraId="00000211" w14:textId="7188E1BA" w:rsidR="000B0F63" w:rsidRPr="00A61669" w:rsidRDefault="1BAB210A" w:rsidP="00E40261">
      <w:pPr>
        <w:pStyle w:val="Heading3"/>
        <w:jc w:val="both"/>
        <w:rPr>
          <w:rFonts w:asciiTheme="majorHAnsi" w:hAnsiTheme="majorHAnsi" w:cstheme="majorHAnsi"/>
        </w:rPr>
      </w:pPr>
      <w:bookmarkStart w:id="79" w:name="_Toc141"/>
      <w:bookmarkStart w:id="80" w:name="_Toc227770924"/>
      <w:r w:rsidRPr="00A61669">
        <w:rPr>
          <w:rFonts w:asciiTheme="majorHAnsi" w:hAnsiTheme="majorHAnsi" w:cstheme="majorHAnsi"/>
        </w:rPr>
        <w:t xml:space="preserve">What </w:t>
      </w:r>
      <w:r w:rsidR="00E436A1" w:rsidRPr="00A61669">
        <w:rPr>
          <w:rFonts w:asciiTheme="majorHAnsi" w:hAnsiTheme="majorHAnsi" w:cstheme="majorHAnsi"/>
        </w:rPr>
        <w:t>is missing</w:t>
      </w:r>
      <w:r w:rsidRPr="00A61669">
        <w:rPr>
          <w:rFonts w:asciiTheme="majorHAnsi" w:hAnsiTheme="majorHAnsi" w:cstheme="majorHAnsi"/>
        </w:rPr>
        <w:t>, and why</w:t>
      </w:r>
      <w:bookmarkEnd w:id="79"/>
      <w:bookmarkEnd w:id="80"/>
    </w:p>
    <w:p w14:paraId="00000213" w14:textId="0EF20F2F" w:rsidR="000B0F63" w:rsidRPr="00A61669" w:rsidRDefault="00490323" w:rsidP="00EC2FA3">
      <w:pPr>
        <w:pStyle w:val="ListBullet"/>
        <w:numPr>
          <w:ilvl w:val="0"/>
          <w:numId w:val="12"/>
        </w:numPr>
        <w:jc w:val="both"/>
        <w:rPr>
          <w:rFonts w:asciiTheme="majorHAnsi" w:hAnsiTheme="majorHAnsi" w:cstheme="majorHAnsi"/>
        </w:rPr>
      </w:pPr>
      <w:r w:rsidRPr="00A61669">
        <w:rPr>
          <w:rFonts w:asciiTheme="majorHAnsi" w:hAnsiTheme="majorHAnsi" w:cstheme="majorHAnsi"/>
          <w:b/>
        </w:rPr>
        <w:t>Mail Online</w:t>
      </w:r>
      <w:r w:rsidR="00C05D22" w:rsidRPr="00A61669">
        <w:rPr>
          <w:rFonts w:asciiTheme="majorHAnsi" w:hAnsiTheme="majorHAnsi" w:cstheme="majorHAnsi"/>
          <w:b/>
        </w:rPr>
        <w:t xml:space="preserve"> B-cluster DMA assessment</w:t>
      </w:r>
      <w:r w:rsidR="00C05D22" w:rsidRPr="00A61669">
        <w:rPr>
          <w:rFonts w:asciiTheme="majorHAnsi" w:hAnsiTheme="majorHAnsi" w:cstheme="majorHAnsi"/>
        </w:rPr>
        <w:t xml:space="preserve">. Production primary Oracle. Coordination constraints during </w:t>
      </w:r>
      <w:r w:rsidR="00100959" w:rsidRPr="00A61669">
        <w:rPr>
          <w:rFonts w:asciiTheme="majorHAnsi" w:hAnsiTheme="majorHAnsi" w:cstheme="majorHAnsi"/>
        </w:rPr>
        <w:t>Part 1</w:t>
      </w:r>
      <w:r w:rsidR="00C05D22" w:rsidRPr="00A61669">
        <w:rPr>
          <w:rFonts w:asciiTheme="majorHAnsi" w:hAnsiTheme="majorHAnsi" w:cstheme="majorHAnsi"/>
        </w:rPr>
        <w:t xml:space="preserve"> prevented collection. Highest-priority </w:t>
      </w:r>
      <w:r w:rsidR="00100959" w:rsidRPr="00A61669">
        <w:rPr>
          <w:rFonts w:asciiTheme="majorHAnsi" w:hAnsiTheme="majorHAnsi" w:cstheme="majorHAnsi"/>
        </w:rPr>
        <w:t>Part 2</w:t>
      </w:r>
      <w:r w:rsidR="00C05D22" w:rsidRPr="00A61669">
        <w:rPr>
          <w:rFonts w:asciiTheme="majorHAnsi" w:hAnsiTheme="majorHAnsi" w:cstheme="majorHAnsi"/>
        </w:rPr>
        <w:t xml:space="preserve"> action.</w:t>
      </w:r>
    </w:p>
    <w:p w14:paraId="00000215" w14:textId="0A2D937B" w:rsidR="000B0F63" w:rsidRPr="00A61669" w:rsidRDefault="00C05D22" w:rsidP="00EC2FA3">
      <w:pPr>
        <w:pStyle w:val="ListBullet"/>
        <w:numPr>
          <w:ilvl w:val="0"/>
          <w:numId w:val="12"/>
        </w:numPr>
        <w:jc w:val="both"/>
        <w:rPr>
          <w:rFonts w:asciiTheme="majorHAnsi" w:hAnsiTheme="majorHAnsi" w:cstheme="majorHAnsi"/>
        </w:rPr>
      </w:pPr>
      <w:r w:rsidRPr="00A61669">
        <w:rPr>
          <w:rFonts w:asciiTheme="majorHAnsi" w:hAnsiTheme="majorHAnsi" w:cstheme="majorHAnsi"/>
          <w:b/>
        </w:rPr>
        <w:t>Network dependency mapping at estate scale (coverage is 27.7%).</w:t>
      </w:r>
      <w:r w:rsidRPr="00A61669">
        <w:rPr>
          <w:rFonts w:asciiTheme="majorHAnsi" w:hAnsiTheme="majorHAnsi" w:cstheme="majorHAnsi"/>
        </w:rPr>
        <w:t xml:space="preserve"> Guest-level collection depth was the main bottleneck. Deeper mapping is a </w:t>
      </w:r>
      <w:r w:rsidR="00100959" w:rsidRPr="00A61669">
        <w:rPr>
          <w:rFonts w:asciiTheme="majorHAnsi" w:hAnsiTheme="majorHAnsi" w:cstheme="majorHAnsi"/>
        </w:rPr>
        <w:t>Part 2</w:t>
      </w:r>
      <w:r w:rsidRPr="00A61669">
        <w:rPr>
          <w:rFonts w:asciiTheme="majorHAnsi" w:hAnsiTheme="majorHAnsi" w:cstheme="majorHAnsi"/>
        </w:rPr>
        <w:t xml:space="preserve"> activity.</w:t>
      </w:r>
    </w:p>
    <w:p w14:paraId="00000217" w14:textId="00000218" w:rsidR="000B0F63" w:rsidRPr="00A61669" w:rsidRDefault="00C05D22" w:rsidP="00EC2FA3">
      <w:pPr>
        <w:pStyle w:val="ListBullet"/>
        <w:numPr>
          <w:ilvl w:val="0"/>
          <w:numId w:val="12"/>
        </w:numPr>
        <w:jc w:val="both"/>
        <w:rPr>
          <w:rFonts w:asciiTheme="majorHAnsi" w:hAnsiTheme="majorHAnsi" w:cstheme="majorHAnsi"/>
        </w:rPr>
      </w:pPr>
      <w:r w:rsidRPr="00A61669">
        <w:rPr>
          <w:rFonts w:asciiTheme="majorHAnsi" w:hAnsiTheme="majorHAnsi" w:cstheme="majorHAnsi"/>
          <w:b/>
        </w:rPr>
        <w:t>Software inventory at estate scale (coverage is 51.5%).</w:t>
      </w:r>
      <w:r w:rsidRPr="00A61669">
        <w:rPr>
          <w:rFonts w:asciiTheme="majorHAnsi" w:hAnsiTheme="majorHAnsi" w:cstheme="majorHAnsi"/>
        </w:rPr>
        <w:t xml:space="preserve"> Same bottleneck.</w:t>
      </w:r>
    </w:p>
    <w:p w14:paraId="00000219" w14:textId="0000021A" w:rsidR="000B0F63" w:rsidRPr="00A61669" w:rsidRDefault="00C05D22" w:rsidP="00EC2FA3">
      <w:pPr>
        <w:pStyle w:val="ListBullet"/>
        <w:numPr>
          <w:ilvl w:val="0"/>
          <w:numId w:val="12"/>
        </w:numPr>
        <w:jc w:val="both"/>
        <w:rPr>
          <w:rFonts w:asciiTheme="majorHAnsi" w:hAnsiTheme="majorHAnsi" w:cstheme="majorHAnsi"/>
        </w:rPr>
      </w:pPr>
      <w:r w:rsidRPr="00A61669">
        <w:rPr>
          <w:rFonts w:asciiTheme="majorHAnsi" w:hAnsiTheme="majorHAnsi" w:cstheme="majorHAnsi"/>
          <w:b/>
        </w:rPr>
        <w:t>Workload utilisation data on 1,227 servers without VMware Tools</w:t>
      </w:r>
      <w:r w:rsidRPr="00A61669">
        <w:rPr>
          <w:rFonts w:asciiTheme="majorHAnsi" w:hAnsiTheme="majorHAnsi" w:cstheme="majorHAnsi"/>
        </w:rPr>
        <w:t>. Pricing for these servers uses provisioned specifications rather than observed utilisation. This produces slightly conservative sizing for VMs and is accurate for bare metal.</w:t>
      </w:r>
    </w:p>
    <w:p w14:paraId="0000021B" w14:textId="10C70E63" w:rsidR="000B0F63" w:rsidRPr="00A61669" w:rsidRDefault="00C05D22" w:rsidP="00E40261">
      <w:pPr>
        <w:jc w:val="both"/>
        <w:rPr>
          <w:rFonts w:asciiTheme="majorHAnsi" w:hAnsiTheme="majorHAnsi" w:cstheme="majorHAnsi"/>
        </w:rPr>
      </w:pPr>
      <w:r w:rsidRPr="00A61669">
        <w:rPr>
          <w:rFonts w:asciiTheme="majorHAnsi" w:hAnsiTheme="majorHAnsi" w:cstheme="majorHAnsi"/>
        </w:rPr>
        <w:lastRenderedPageBreak/>
        <w:t xml:space="preserve">The data is sufficient for the </w:t>
      </w:r>
      <w:r w:rsidR="00100959" w:rsidRPr="00A61669">
        <w:rPr>
          <w:rFonts w:asciiTheme="majorHAnsi" w:hAnsiTheme="majorHAnsi" w:cstheme="majorHAnsi"/>
        </w:rPr>
        <w:t>Part 1</w:t>
      </w:r>
      <w:r w:rsidRPr="00A61669">
        <w:rPr>
          <w:rFonts w:asciiTheme="majorHAnsi" w:hAnsiTheme="majorHAnsi" w:cstheme="majorHAnsi"/>
        </w:rPr>
        <w:t xml:space="preserve"> outcomes (cost comparison, readiness assessment, primary platform recommendation). The data </w:t>
      </w:r>
      <w:r w:rsidR="00E436A1" w:rsidRPr="00A61669">
        <w:rPr>
          <w:rFonts w:asciiTheme="majorHAnsi" w:hAnsiTheme="majorHAnsi" w:cstheme="majorHAnsi"/>
        </w:rPr>
        <w:t>missing</w:t>
      </w:r>
      <w:r w:rsidRPr="00A61669">
        <w:rPr>
          <w:rFonts w:asciiTheme="majorHAnsi" w:hAnsiTheme="majorHAnsi" w:cstheme="majorHAnsi"/>
        </w:rPr>
        <w:t xml:space="preserve"> is exactly </w:t>
      </w:r>
      <w:r w:rsidR="004A5224" w:rsidRPr="00A61669">
        <w:rPr>
          <w:rFonts w:asciiTheme="majorHAnsi" w:hAnsiTheme="majorHAnsi" w:cstheme="majorHAnsi"/>
        </w:rPr>
        <w:t>where</w:t>
      </w:r>
      <w:r w:rsidRPr="00A61669">
        <w:rPr>
          <w:rFonts w:asciiTheme="majorHAnsi" w:hAnsiTheme="majorHAnsi" w:cstheme="majorHAnsi"/>
        </w:rPr>
        <w:t xml:space="preserve"> </w:t>
      </w:r>
      <w:r w:rsidR="00100959" w:rsidRPr="00A61669">
        <w:rPr>
          <w:rFonts w:asciiTheme="majorHAnsi" w:hAnsiTheme="majorHAnsi" w:cstheme="majorHAnsi"/>
        </w:rPr>
        <w:t>Part 2</w:t>
      </w:r>
      <w:r w:rsidRPr="00A61669">
        <w:rPr>
          <w:rFonts w:asciiTheme="majorHAnsi" w:hAnsiTheme="majorHAnsi" w:cstheme="majorHAnsi"/>
        </w:rPr>
        <w:t xml:space="preserve"> needs to begin and is called out in Section 11.</w:t>
      </w:r>
    </w:p>
    <w:p w14:paraId="0000021D" w14:textId="0000021E" w:rsidR="000B0F63" w:rsidRPr="00A61669" w:rsidRDefault="00C05D22" w:rsidP="00E40261">
      <w:pPr>
        <w:jc w:val="both"/>
        <w:rPr>
          <w:rFonts w:asciiTheme="majorHAnsi" w:hAnsiTheme="majorHAnsi" w:cstheme="majorHAnsi"/>
        </w:rPr>
      </w:pPr>
      <w:r w:rsidRPr="00A61669">
        <w:rPr>
          <w:rFonts w:asciiTheme="majorHAnsi" w:hAnsiTheme="majorHAnsi" w:cstheme="majorHAnsi"/>
        </w:rPr>
        <w:br w:type="page"/>
      </w:r>
    </w:p>
    <w:p w14:paraId="0000021F" w14:textId="00000220" w:rsidR="000B0F63" w:rsidRPr="00A61669" w:rsidRDefault="1BAB210A" w:rsidP="00E40261">
      <w:pPr>
        <w:pStyle w:val="Heading1"/>
        <w:jc w:val="both"/>
        <w:rPr>
          <w:rFonts w:asciiTheme="majorHAnsi" w:hAnsiTheme="majorHAnsi" w:cstheme="majorHAnsi"/>
        </w:rPr>
      </w:pPr>
      <w:bookmarkStart w:id="81" w:name="_Toc142"/>
      <w:bookmarkStart w:id="82" w:name="_Toc227770925"/>
      <w:bookmarkStart w:id="83" w:name="_Toc228549357"/>
      <w:r w:rsidRPr="00A61669">
        <w:rPr>
          <w:rFonts w:asciiTheme="majorHAnsi" w:hAnsiTheme="majorHAnsi" w:cstheme="majorHAnsi"/>
        </w:rPr>
        <w:lastRenderedPageBreak/>
        <w:t>Section 5: Cost Comparison</w:t>
      </w:r>
      <w:bookmarkEnd w:id="81"/>
      <w:bookmarkEnd w:id="82"/>
      <w:bookmarkEnd w:id="83"/>
    </w:p>
    <w:p w14:paraId="00000221" w14:textId="00000222" w:rsidR="000B0F63" w:rsidRPr="00A61669" w:rsidRDefault="1BAB210A" w:rsidP="00E40261">
      <w:pPr>
        <w:pStyle w:val="Heading2"/>
        <w:jc w:val="both"/>
        <w:rPr>
          <w:rFonts w:asciiTheme="majorHAnsi" w:hAnsiTheme="majorHAnsi" w:cstheme="majorHAnsi"/>
        </w:rPr>
      </w:pPr>
      <w:bookmarkStart w:id="84" w:name="_Toc143"/>
      <w:bookmarkStart w:id="85" w:name="_Toc227770926"/>
      <w:r w:rsidRPr="00A61669">
        <w:rPr>
          <w:rFonts w:asciiTheme="majorHAnsi" w:hAnsiTheme="majorHAnsi" w:cstheme="majorHAnsi"/>
        </w:rPr>
        <w:t>What This Section Does</w:t>
      </w:r>
      <w:bookmarkEnd w:id="84"/>
      <w:bookmarkEnd w:id="85"/>
    </w:p>
    <w:p w14:paraId="00000223" w14:textId="440A6BEC"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This section shows what public cloud will cost, how that compares across AWS, Azure, and GCP, and what the main levers are. </w:t>
      </w:r>
      <w:r w:rsidR="009625B8" w:rsidRPr="00A61669">
        <w:rPr>
          <w:rFonts w:asciiTheme="majorHAnsi" w:hAnsiTheme="majorHAnsi" w:cstheme="majorHAnsi"/>
        </w:rPr>
        <w:t xml:space="preserve">The figures in this section are planning-grade estimates built from the best available data. They are the right basis for comparison and decision-making. They are not a forecast of actual cloud invoices. SKU choices, workload mappings, and commercial terms will all refine in Part 2. </w:t>
      </w:r>
    </w:p>
    <w:p w14:paraId="00000225" w14:textId="7BAD1C9E" w:rsidR="000B0F63" w:rsidRPr="00A61669" w:rsidRDefault="1BAB210A" w:rsidP="00E40261">
      <w:pPr>
        <w:pStyle w:val="Heading2"/>
        <w:jc w:val="both"/>
        <w:rPr>
          <w:rFonts w:asciiTheme="majorHAnsi" w:hAnsiTheme="majorHAnsi" w:cstheme="majorHAnsi"/>
        </w:rPr>
      </w:pPr>
      <w:bookmarkStart w:id="86" w:name="_Toc144"/>
      <w:bookmarkStart w:id="87" w:name="_Toc227770927"/>
      <w:r w:rsidRPr="00A61669">
        <w:rPr>
          <w:rFonts w:asciiTheme="majorHAnsi" w:hAnsiTheme="majorHAnsi" w:cstheme="majorHAnsi"/>
        </w:rPr>
        <w:t xml:space="preserve">How </w:t>
      </w:r>
      <w:r w:rsidR="00E436A1" w:rsidRPr="00A61669">
        <w:rPr>
          <w:rFonts w:asciiTheme="majorHAnsi" w:hAnsiTheme="majorHAnsi" w:cstheme="majorHAnsi"/>
        </w:rPr>
        <w:t>Rackspace</w:t>
      </w:r>
      <w:r w:rsidRPr="00A61669">
        <w:rPr>
          <w:rFonts w:asciiTheme="majorHAnsi" w:hAnsiTheme="majorHAnsi" w:cstheme="majorHAnsi"/>
        </w:rPr>
        <w:t xml:space="preserve"> Produced These Numbers</w:t>
      </w:r>
      <w:bookmarkEnd w:id="86"/>
      <w:bookmarkEnd w:id="87"/>
    </w:p>
    <w:p w14:paraId="00000227" w14:textId="60BC29C2"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Before getting to the figures, it matters how they were built. </w:t>
      </w:r>
      <w:r w:rsidR="00E436A1" w:rsidRPr="00A61669">
        <w:rPr>
          <w:rFonts w:asciiTheme="majorHAnsi" w:hAnsiTheme="majorHAnsi" w:cstheme="majorHAnsi"/>
        </w:rPr>
        <w:t>Rackspace</w:t>
      </w:r>
      <w:r w:rsidRPr="00A61669">
        <w:rPr>
          <w:rFonts w:asciiTheme="majorHAnsi" w:hAnsiTheme="majorHAnsi" w:cstheme="majorHAnsi"/>
        </w:rPr>
        <w:t xml:space="preserve"> used a seven-step process:</w:t>
      </w:r>
    </w:p>
    <w:p w14:paraId="00000229" w14:textId="698B03B2" w:rsidR="000B0F63" w:rsidRPr="00A61669" w:rsidRDefault="00C05D22" w:rsidP="00F57DAB">
      <w:pPr>
        <w:pStyle w:val="ListBullet"/>
        <w:numPr>
          <w:ilvl w:val="0"/>
          <w:numId w:val="37"/>
        </w:numPr>
        <w:jc w:val="both"/>
        <w:rPr>
          <w:rFonts w:asciiTheme="majorHAnsi" w:hAnsiTheme="majorHAnsi" w:cstheme="majorHAnsi"/>
        </w:rPr>
      </w:pPr>
      <w:r w:rsidRPr="00A61669">
        <w:rPr>
          <w:rFonts w:asciiTheme="majorHAnsi" w:hAnsiTheme="majorHAnsi" w:cstheme="majorHAnsi"/>
          <w:b/>
        </w:rPr>
        <w:t>Data normalisation</w:t>
      </w:r>
      <w:r w:rsidRPr="00A61669">
        <w:rPr>
          <w:rFonts w:asciiTheme="majorHAnsi" w:hAnsiTheme="majorHAnsi" w:cstheme="majorHAnsi"/>
        </w:rPr>
        <w:t>. The same source data (server specifications, memory, storage, operating system) was fed to all three hyperscalers. No cloud got a different version of DMG Media's estate.</w:t>
      </w:r>
      <w:r w:rsidR="004D4EDE" w:rsidRPr="00A61669">
        <w:rPr>
          <w:rFonts w:asciiTheme="majorHAnsi" w:hAnsiTheme="majorHAnsi" w:cstheme="majorHAnsi"/>
        </w:rPr>
        <w:t xml:space="preserve"> The input dataset: 3,038 servers comprising </w:t>
      </w:r>
      <w:r w:rsidR="00E4790F" w:rsidRPr="00A61669">
        <w:rPr>
          <w:rFonts w:asciiTheme="majorHAnsi" w:hAnsiTheme="majorHAnsi" w:cstheme="majorHAnsi"/>
        </w:rPr>
        <w:t>14,165</w:t>
      </w:r>
      <w:r w:rsidR="004D4EDE" w:rsidRPr="00A61669">
        <w:rPr>
          <w:rFonts w:asciiTheme="majorHAnsi" w:hAnsiTheme="majorHAnsi" w:cstheme="majorHAnsi"/>
        </w:rPr>
        <w:t xml:space="preserve"> vCPUs, </w:t>
      </w:r>
      <w:r w:rsidR="00AE208D" w:rsidRPr="00A61669">
        <w:rPr>
          <w:rFonts w:asciiTheme="majorHAnsi" w:hAnsiTheme="majorHAnsi" w:cstheme="majorHAnsi"/>
        </w:rPr>
        <w:t>53,758</w:t>
      </w:r>
      <w:r w:rsidR="004D4EDE" w:rsidRPr="00A61669">
        <w:rPr>
          <w:rFonts w:asciiTheme="majorHAnsi" w:hAnsiTheme="majorHAnsi" w:cstheme="majorHAnsi"/>
        </w:rPr>
        <w:t xml:space="preserve"> GB memory, and </w:t>
      </w:r>
      <w:r w:rsidR="00AE208D" w:rsidRPr="00A61669">
        <w:rPr>
          <w:rFonts w:asciiTheme="majorHAnsi" w:hAnsiTheme="majorHAnsi" w:cstheme="majorHAnsi"/>
        </w:rPr>
        <w:t>1</w:t>
      </w:r>
      <w:r w:rsidR="00F11DB6" w:rsidRPr="00A61669">
        <w:rPr>
          <w:rFonts w:asciiTheme="majorHAnsi" w:hAnsiTheme="majorHAnsi" w:cstheme="majorHAnsi"/>
        </w:rPr>
        <w:t>.</w:t>
      </w:r>
      <w:r w:rsidR="00443A3B" w:rsidRPr="00A61669">
        <w:rPr>
          <w:rFonts w:asciiTheme="majorHAnsi" w:hAnsiTheme="majorHAnsi" w:cstheme="majorHAnsi"/>
        </w:rPr>
        <w:t>26</w:t>
      </w:r>
      <w:r w:rsidR="004D4EDE" w:rsidRPr="00A61669">
        <w:rPr>
          <w:rFonts w:asciiTheme="majorHAnsi" w:hAnsiTheme="majorHAnsi" w:cstheme="majorHAnsi"/>
        </w:rPr>
        <w:t xml:space="preserve"> </w:t>
      </w:r>
      <w:r w:rsidR="00443A3B" w:rsidRPr="00A61669">
        <w:rPr>
          <w:rFonts w:asciiTheme="majorHAnsi" w:hAnsiTheme="majorHAnsi" w:cstheme="majorHAnsi"/>
        </w:rPr>
        <w:t>P</w:t>
      </w:r>
      <w:r w:rsidR="004D4EDE" w:rsidRPr="00A61669">
        <w:rPr>
          <w:rFonts w:asciiTheme="majorHAnsi" w:hAnsiTheme="majorHAnsi" w:cstheme="majorHAnsi"/>
        </w:rPr>
        <w:t>B storage. These figures were fed identically to all three clouds.</w:t>
      </w:r>
    </w:p>
    <w:p w14:paraId="0000022B" w14:textId="0000022C" w:rsidR="000B0F63" w:rsidRPr="00A61669" w:rsidRDefault="00C05D22" w:rsidP="00F57DAB">
      <w:pPr>
        <w:pStyle w:val="ListBullet"/>
        <w:numPr>
          <w:ilvl w:val="0"/>
          <w:numId w:val="37"/>
        </w:numPr>
        <w:jc w:val="both"/>
        <w:rPr>
          <w:rFonts w:asciiTheme="majorHAnsi" w:hAnsiTheme="majorHAnsi" w:cstheme="majorHAnsi"/>
        </w:rPr>
      </w:pPr>
      <w:r w:rsidRPr="00A61669">
        <w:rPr>
          <w:rFonts w:asciiTheme="majorHAnsi" w:hAnsiTheme="majorHAnsi" w:cstheme="majorHAnsi"/>
          <w:b/>
        </w:rPr>
        <w:t>Architectural benchmarking</w:t>
      </w:r>
      <w:r w:rsidRPr="00A61669">
        <w:rPr>
          <w:rFonts w:asciiTheme="majorHAnsi" w:hAnsiTheme="majorHAnsi" w:cstheme="majorHAnsi"/>
        </w:rPr>
        <w:t>. Each cloud's own sizing tool (GCP Migration Center, AWS Transform, Azure Migrate) produced right-sized target configurations. The native tools did the sizing. Their outputs are the starting point, not the final answer.</w:t>
      </w:r>
    </w:p>
    <w:p w14:paraId="0000022D" w14:textId="47C1F2D4" w:rsidR="000B0F63" w:rsidRPr="00A61669" w:rsidRDefault="00C05D22" w:rsidP="00F57DAB">
      <w:pPr>
        <w:pStyle w:val="ListBullet"/>
        <w:numPr>
          <w:ilvl w:val="0"/>
          <w:numId w:val="37"/>
        </w:numPr>
        <w:jc w:val="both"/>
        <w:rPr>
          <w:rFonts w:asciiTheme="majorHAnsi" w:hAnsiTheme="majorHAnsi" w:cstheme="majorHAnsi"/>
        </w:rPr>
      </w:pPr>
      <w:r w:rsidRPr="00A61669">
        <w:rPr>
          <w:rFonts w:asciiTheme="majorHAnsi" w:hAnsiTheme="majorHAnsi" w:cstheme="majorHAnsi"/>
          <w:b/>
        </w:rPr>
        <w:t>AI logic audit.</w:t>
      </w:r>
      <w:r w:rsidRPr="00A61669">
        <w:rPr>
          <w:rFonts w:asciiTheme="majorHAnsi" w:hAnsiTheme="majorHAnsi" w:cstheme="majorHAnsi"/>
        </w:rPr>
        <w:t xml:space="preserve"> </w:t>
      </w:r>
      <w:r w:rsidR="00E436A1" w:rsidRPr="00A61669">
        <w:rPr>
          <w:rFonts w:asciiTheme="majorHAnsi" w:hAnsiTheme="majorHAnsi" w:cstheme="majorHAnsi"/>
        </w:rPr>
        <w:t>Rackspace</w:t>
      </w:r>
      <w:r w:rsidRPr="00A61669">
        <w:rPr>
          <w:rFonts w:asciiTheme="majorHAnsi" w:hAnsiTheme="majorHAnsi" w:cstheme="majorHAnsi"/>
        </w:rPr>
        <w:t xml:space="preserve"> audited the SKU mappings each tool produced. Different tools use different optimisation logic. </w:t>
      </w:r>
      <w:r w:rsidR="00E436A1" w:rsidRPr="00A61669">
        <w:rPr>
          <w:rFonts w:asciiTheme="majorHAnsi" w:hAnsiTheme="majorHAnsi" w:cstheme="majorHAnsi"/>
        </w:rPr>
        <w:t xml:space="preserve">Rackspace </w:t>
      </w:r>
      <w:r w:rsidRPr="00A61669">
        <w:rPr>
          <w:rFonts w:asciiTheme="majorHAnsi" w:hAnsiTheme="majorHAnsi" w:cstheme="majorHAnsi"/>
        </w:rPr>
        <w:t>checked what each tool assumed and why.</w:t>
      </w:r>
    </w:p>
    <w:p w14:paraId="0000022F" w14:textId="21125DF7" w:rsidR="000B0F63" w:rsidRPr="00A61669" w:rsidRDefault="00C05D22" w:rsidP="00F57DAB">
      <w:pPr>
        <w:pStyle w:val="ListBullet"/>
        <w:numPr>
          <w:ilvl w:val="0"/>
          <w:numId w:val="37"/>
        </w:numPr>
        <w:jc w:val="both"/>
        <w:rPr>
          <w:rFonts w:asciiTheme="majorHAnsi" w:hAnsiTheme="majorHAnsi" w:cstheme="majorHAnsi"/>
        </w:rPr>
      </w:pPr>
      <w:r w:rsidRPr="00A61669">
        <w:rPr>
          <w:rFonts w:asciiTheme="majorHAnsi" w:hAnsiTheme="majorHAnsi" w:cstheme="majorHAnsi"/>
          <w:b/>
        </w:rPr>
        <w:t>Bias mitigation</w:t>
      </w:r>
      <w:r w:rsidRPr="00A61669">
        <w:rPr>
          <w:rFonts w:asciiTheme="majorHAnsi" w:hAnsiTheme="majorHAnsi" w:cstheme="majorHAnsi"/>
        </w:rPr>
        <w:t xml:space="preserve">. To remove tool-specific bias, </w:t>
      </w:r>
      <w:r w:rsidR="00E436A1" w:rsidRPr="00A61669">
        <w:rPr>
          <w:rFonts w:asciiTheme="majorHAnsi" w:hAnsiTheme="majorHAnsi" w:cstheme="majorHAnsi"/>
        </w:rPr>
        <w:t xml:space="preserve">Rackspace </w:t>
      </w:r>
      <w:r w:rsidRPr="00A61669">
        <w:rPr>
          <w:rFonts w:asciiTheme="majorHAnsi" w:hAnsiTheme="majorHAnsi" w:cstheme="majorHAnsi"/>
        </w:rPr>
        <w:t xml:space="preserve">re-priced every recommended SKU against the official cloud pricing APIs (AWS Price List API, Azure Retail Prices API, GCP Billing Catalog API). This produced a validated, normalised view. The provider-native outputs </w:t>
      </w:r>
      <w:r w:rsidR="00033567" w:rsidRPr="00A61669">
        <w:rPr>
          <w:rFonts w:asciiTheme="majorHAnsi" w:hAnsiTheme="majorHAnsi" w:cstheme="majorHAnsi"/>
        </w:rPr>
        <w:t>were used</w:t>
      </w:r>
      <w:r w:rsidRPr="00A61669">
        <w:rPr>
          <w:rFonts w:asciiTheme="majorHAnsi" w:hAnsiTheme="majorHAnsi" w:cstheme="majorHAnsi"/>
        </w:rPr>
        <w:t xml:space="preserve"> for validation</w:t>
      </w:r>
      <w:r w:rsidR="00033567" w:rsidRPr="00A61669">
        <w:rPr>
          <w:rFonts w:asciiTheme="majorHAnsi" w:hAnsiTheme="majorHAnsi" w:cstheme="majorHAnsi"/>
        </w:rPr>
        <w:t xml:space="preserve">. </w:t>
      </w:r>
    </w:p>
    <w:p w14:paraId="00000231" w14:textId="21679322" w:rsidR="000B0F63" w:rsidRPr="00A61669" w:rsidRDefault="00C05D22" w:rsidP="00F57DAB">
      <w:pPr>
        <w:pStyle w:val="ListBullet"/>
        <w:numPr>
          <w:ilvl w:val="0"/>
          <w:numId w:val="37"/>
        </w:numPr>
        <w:jc w:val="both"/>
        <w:rPr>
          <w:rFonts w:asciiTheme="majorHAnsi" w:hAnsiTheme="majorHAnsi" w:cstheme="majorHAnsi"/>
        </w:rPr>
      </w:pPr>
      <w:r w:rsidRPr="00A61669">
        <w:rPr>
          <w:rFonts w:asciiTheme="majorHAnsi" w:hAnsiTheme="majorHAnsi" w:cstheme="majorHAnsi"/>
          <w:b/>
        </w:rPr>
        <w:t>Two pricing pillars.</w:t>
      </w:r>
      <w:r w:rsidRPr="00A61669">
        <w:rPr>
          <w:rFonts w:asciiTheme="majorHAnsi" w:hAnsiTheme="majorHAnsi" w:cstheme="majorHAnsi"/>
        </w:rPr>
        <w:t xml:space="preserve"> </w:t>
      </w:r>
      <w:r w:rsidR="00E436A1" w:rsidRPr="00A61669">
        <w:rPr>
          <w:rFonts w:asciiTheme="majorHAnsi" w:hAnsiTheme="majorHAnsi" w:cstheme="majorHAnsi"/>
        </w:rPr>
        <w:t xml:space="preserve">Rackspace </w:t>
      </w:r>
      <w:r w:rsidRPr="00A61669">
        <w:rPr>
          <w:rFonts w:asciiTheme="majorHAnsi" w:hAnsiTheme="majorHAnsi" w:cstheme="majorHAnsi"/>
        </w:rPr>
        <w:t xml:space="preserve">report </w:t>
      </w:r>
      <w:r w:rsidR="00587504" w:rsidRPr="00A61669">
        <w:rPr>
          <w:rFonts w:asciiTheme="majorHAnsi" w:hAnsiTheme="majorHAnsi" w:cstheme="majorHAnsi"/>
        </w:rPr>
        <w:t xml:space="preserve">pay-as-you-go (PAYG) </w:t>
      </w:r>
      <w:r w:rsidRPr="00A61669">
        <w:rPr>
          <w:rFonts w:asciiTheme="majorHAnsi" w:hAnsiTheme="majorHAnsi" w:cstheme="majorHAnsi"/>
        </w:rPr>
        <w:t xml:space="preserve">(the clean baseline) and 3-year committed (the realistic commitment </w:t>
      </w:r>
      <w:r w:rsidR="00566526" w:rsidRPr="00A61669">
        <w:rPr>
          <w:rFonts w:asciiTheme="majorHAnsi" w:hAnsiTheme="majorHAnsi" w:cstheme="majorHAnsi"/>
        </w:rPr>
        <w:t>for an organi</w:t>
      </w:r>
      <w:r w:rsidR="00363E28" w:rsidRPr="00A61669">
        <w:rPr>
          <w:rFonts w:asciiTheme="majorHAnsi" w:hAnsiTheme="majorHAnsi" w:cstheme="majorHAnsi"/>
        </w:rPr>
        <w:t>s</w:t>
      </w:r>
      <w:r w:rsidR="00566526" w:rsidRPr="00A61669">
        <w:rPr>
          <w:rFonts w:asciiTheme="majorHAnsi" w:hAnsiTheme="majorHAnsi" w:cstheme="majorHAnsi"/>
        </w:rPr>
        <w:t>ation of</w:t>
      </w:r>
      <w:r w:rsidRPr="00A61669">
        <w:rPr>
          <w:rFonts w:asciiTheme="majorHAnsi" w:hAnsiTheme="majorHAnsi" w:cstheme="majorHAnsi"/>
        </w:rPr>
        <w:t xml:space="preserve"> </w:t>
      </w:r>
      <w:r w:rsidR="007415CD" w:rsidRPr="00A61669">
        <w:rPr>
          <w:rFonts w:asciiTheme="majorHAnsi" w:hAnsiTheme="majorHAnsi" w:cstheme="majorHAnsi"/>
        </w:rPr>
        <w:t>DMG Media’s</w:t>
      </w:r>
      <w:r w:rsidRPr="00A61669">
        <w:rPr>
          <w:rFonts w:asciiTheme="majorHAnsi" w:hAnsiTheme="majorHAnsi" w:cstheme="majorHAnsi"/>
        </w:rPr>
        <w:t xml:space="preserve"> scale). One-year commitments are deprioritised as </w:t>
      </w:r>
      <w:r w:rsidR="00F64277" w:rsidRPr="00A61669">
        <w:rPr>
          <w:rFonts w:asciiTheme="majorHAnsi" w:hAnsiTheme="majorHAnsi" w:cstheme="majorHAnsi"/>
        </w:rPr>
        <w:t>a less</w:t>
      </w:r>
      <w:r w:rsidRPr="00A61669">
        <w:rPr>
          <w:rFonts w:asciiTheme="majorHAnsi" w:hAnsiTheme="majorHAnsi" w:cstheme="majorHAnsi"/>
        </w:rPr>
        <w:t xml:space="preserve"> attractive option.</w:t>
      </w:r>
    </w:p>
    <w:p w14:paraId="00000233" w14:textId="579DD70F" w:rsidR="000B0F63" w:rsidRPr="00A61669" w:rsidRDefault="00587504" w:rsidP="00F57DAB">
      <w:pPr>
        <w:pStyle w:val="ListBullet"/>
        <w:numPr>
          <w:ilvl w:val="0"/>
          <w:numId w:val="37"/>
        </w:numPr>
        <w:jc w:val="both"/>
        <w:rPr>
          <w:rFonts w:asciiTheme="majorHAnsi" w:hAnsiTheme="majorHAnsi" w:cstheme="majorHAnsi"/>
        </w:rPr>
      </w:pPr>
      <w:r w:rsidRPr="00A61669">
        <w:rPr>
          <w:rFonts w:asciiTheme="majorHAnsi" w:hAnsiTheme="majorHAnsi" w:cstheme="majorHAnsi"/>
          <w:b/>
        </w:rPr>
        <w:t>Hyperscaler</w:t>
      </w:r>
      <w:r w:rsidR="00C05D22" w:rsidRPr="00A61669">
        <w:rPr>
          <w:rFonts w:asciiTheme="majorHAnsi" w:hAnsiTheme="majorHAnsi" w:cstheme="majorHAnsi"/>
          <w:b/>
        </w:rPr>
        <w:t xml:space="preserve"> commercial pricing is a separate layer.</w:t>
      </w:r>
      <w:r w:rsidR="00C05D22" w:rsidRPr="00A61669">
        <w:rPr>
          <w:rFonts w:asciiTheme="majorHAnsi" w:hAnsiTheme="majorHAnsi" w:cstheme="majorHAnsi"/>
        </w:rPr>
        <w:t xml:space="preserve"> This sits on top of the normalised baseline. </w:t>
      </w:r>
    </w:p>
    <w:p w14:paraId="00000235" w14:textId="504D3EB2" w:rsidR="000B0F63" w:rsidRPr="00A61669" w:rsidRDefault="00C05D22" w:rsidP="00F57DAB">
      <w:pPr>
        <w:pStyle w:val="ListBullet"/>
        <w:numPr>
          <w:ilvl w:val="0"/>
          <w:numId w:val="37"/>
        </w:numPr>
        <w:jc w:val="both"/>
        <w:rPr>
          <w:rFonts w:asciiTheme="majorHAnsi" w:hAnsiTheme="majorHAnsi" w:cstheme="majorHAnsi"/>
        </w:rPr>
      </w:pPr>
      <w:r w:rsidRPr="00A61669">
        <w:rPr>
          <w:rFonts w:asciiTheme="majorHAnsi" w:hAnsiTheme="majorHAnsi" w:cstheme="majorHAnsi"/>
          <w:b/>
        </w:rPr>
        <w:t>Oracle scenarios are modelled separately</w:t>
      </w:r>
      <w:r w:rsidRPr="00A61669">
        <w:rPr>
          <w:rFonts w:asciiTheme="majorHAnsi" w:hAnsiTheme="majorHAnsi" w:cstheme="majorHAnsi"/>
        </w:rPr>
        <w:t xml:space="preserve">. Oracle has three fundamentally different migration paths, each with different pricing mechanics. These are </w:t>
      </w:r>
      <w:r w:rsidR="00AE39E6" w:rsidRPr="00A61669">
        <w:rPr>
          <w:rFonts w:asciiTheme="majorHAnsi" w:hAnsiTheme="majorHAnsi" w:cstheme="majorHAnsi"/>
        </w:rPr>
        <w:t>separated</w:t>
      </w:r>
      <w:r w:rsidRPr="00A61669">
        <w:rPr>
          <w:rFonts w:asciiTheme="majorHAnsi" w:hAnsiTheme="majorHAnsi" w:cstheme="majorHAnsi"/>
        </w:rPr>
        <w:t xml:space="preserve"> rather than averaged into compute cost.</w:t>
      </w:r>
    </w:p>
    <w:p w14:paraId="00000237" w14:textId="29BDF5A8"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This methodology is what gives the figures credibility when each cloud provider presents their own view directly. </w:t>
      </w:r>
      <w:r w:rsidR="007415CD" w:rsidRPr="00A61669">
        <w:rPr>
          <w:rFonts w:asciiTheme="majorHAnsi" w:hAnsiTheme="majorHAnsi" w:cstheme="majorHAnsi"/>
        </w:rPr>
        <w:t>DMG Media’s</w:t>
      </w:r>
      <w:r w:rsidRPr="00A61669">
        <w:rPr>
          <w:rFonts w:asciiTheme="majorHAnsi" w:hAnsiTheme="majorHAnsi" w:cstheme="majorHAnsi"/>
        </w:rPr>
        <w:t xml:space="preserve"> technical panel can verify any number against a specific API response and data normalisation step.</w:t>
      </w:r>
    </w:p>
    <w:p w14:paraId="46183C79" w14:textId="77777777" w:rsidR="00DB453C" w:rsidRPr="00A61669" w:rsidRDefault="00DB453C">
      <w:pPr>
        <w:spacing w:after="160"/>
        <w:rPr>
          <w:rFonts w:asciiTheme="majorHAnsi" w:eastAsiaTheme="majorEastAsia" w:hAnsiTheme="majorHAnsi" w:cstheme="majorHAnsi"/>
          <w:color w:val="000000" w:themeColor="text1"/>
          <w:sz w:val="32"/>
          <w:szCs w:val="32"/>
        </w:rPr>
      </w:pPr>
      <w:bookmarkStart w:id="88" w:name="_Toc145"/>
      <w:bookmarkStart w:id="89" w:name="_Toc227770928"/>
      <w:r w:rsidRPr="00A61669">
        <w:rPr>
          <w:rFonts w:asciiTheme="majorHAnsi" w:hAnsiTheme="majorHAnsi" w:cstheme="majorHAnsi"/>
        </w:rPr>
        <w:br w:type="page"/>
      </w:r>
    </w:p>
    <w:p w14:paraId="0A0E3EAF" w14:textId="6235D423" w:rsidR="00F326C5" w:rsidRPr="00A61669" w:rsidRDefault="00F326C5" w:rsidP="00F326C5">
      <w:pPr>
        <w:pStyle w:val="Heading2"/>
        <w:jc w:val="both"/>
        <w:rPr>
          <w:rFonts w:asciiTheme="majorHAnsi" w:hAnsiTheme="majorHAnsi" w:cstheme="majorHAnsi"/>
        </w:rPr>
      </w:pPr>
      <w:r w:rsidRPr="00A61669">
        <w:rPr>
          <w:rFonts w:asciiTheme="majorHAnsi" w:hAnsiTheme="majorHAnsi" w:cstheme="majorHAnsi"/>
        </w:rPr>
        <w:lastRenderedPageBreak/>
        <w:t>What Is Included and Excluded</w:t>
      </w:r>
    </w:p>
    <w:p w14:paraId="6B190299" w14:textId="77777777" w:rsidR="00F326C5" w:rsidRPr="00A61669" w:rsidRDefault="00F326C5" w:rsidP="00F326C5">
      <w:pPr>
        <w:rPr>
          <w:rFonts w:asciiTheme="majorHAnsi" w:hAnsiTheme="majorHAnsi" w:cstheme="majorHAnsi"/>
        </w:rPr>
      </w:pPr>
      <w:r w:rsidRPr="00A61669">
        <w:rPr>
          <w:rFonts w:asciiTheme="majorHAnsi" w:hAnsiTheme="majorHAnsi" w:cstheme="majorHAnsi"/>
        </w:rPr>
        <w:t>The cost comparison is presented in two layers. The baseline covers infrastructure. The Complete View adds operational costs, licensing adjustments, and egress to produce the full picture.</w:t>
      </w:r>
    </w:p>
    <w:p w14:paraId="39859BA6" w14:textId="77777777" w:rsidR="00F326C5" w:rsidRPr="00A61669" w:rsidRDefault="00F326C5" w:rsidP="00F326C5">
      <w:pPr>
        <w:rPr>
          <w:rFonts w:asciiTheme="majorHAnsi" w:hAnsiTheme="majorHAnsi" w:cstheme="majorHAnsi"/>
        </w:rPr>
      </w:pPr>
    </w:p>
    <w:p w14:paraId="55B0F0B7" w14:textId="794F8658" w:rsidR="00F326C5" w:rsidRPr="00A61669" w:rsidRDefault="00F326C5" w:rsidP="00F326C5">
      <w:pPr>
        <w:rPr>
          <w:rFonts w:asciiTheme="majorHAnsi" w:eastAsiaTheme="majorEastAsia" w:hAnsiTheme="majorHAnsi" w:cstheme="majorHAnsi"/>
          <w:b/>
          <w:color w:val="000000" w:themeColor="text1"/>
          <w:sz w:val="28"/>
          <w:szCs w:val="28"/>
        </w:rPr>
      </w:pPr>
      <w:r w:rsidRPr="00A61669">
        <w:rPr>
          <w:rFonts w:asciiTheme="majorHAnsi" w:eastAsiaTheme="majorEastAsia" w:hAnsiTheme="majorHAnsi" w:cstheme="majorHAnsi"/>
          <w:b/>
          <w:color w:val="000000" w:themeColor="text1"/>
          <w:sz w:val="28"/>
          <w:szCs w:val="28"/>
        </w:rPr>
        <w:t xml:space="preserve">Included in the </w:t>
      </w:r>
      <w:r w:rsidR="00950F04" w:rsidRPr="00A61669">
        <w:rPr>
          <w:rFonts w:asciiTheme="majorHAnsi" w:eastAsiaTheme="majorEastAsia" w:hAnsiTheme="majorHAnsi" w:cstheme="majorHAnsi"/>
          <w:b/>
          <w:bCs/>
          <w:color w:val="000000" w:themeColor="text1"/>
          <w:sz w:val="28"/>
          <w:szCs w:val="28"/>
        </w:rPr>
        <w:t>cloud infrastructure cost</w:t>
      </w:r>
      <w:r w:rsidRPr="00A61669">
        <w:rPr>
          <w:rFonts w:asciiTheme="majorHAnsi" w:eastAsiaTheme="majorEastAsia" w:hAnsiTheme="majorHAnsi" w:cstheme="majorHAnsi"/>
          <w:b/>
          <w:color w:val="000000" w:themeColor="text1"/>
          <w:sz w:val="28"/>
          <w:szCs w:val="28"/>
        </w:rPr>
        <w:t xml:space="preserve"> (all figures in the </w:t>
      </w:r>
      <w:r w:rsidR="00950F04" w:rsidRPr="00A61669">
        <w:rPr>
          <w:rFonts w:asciiTheme="majorHAnsi" w:eastAsiaTheme="majorEastAsia" w:hAnsiTheme="majorHAnsi" w:cstheme="majorHAnsi"/>
          <w:b/>
          <w:bCs/>
          <w:color w:val="000000" w:themeColor="text1"/>
          <w:sz w:val="28"/>
          <w:szCs w:val="28"/>
        </w:rPr>
        <w:t>infrastructure cost</w:t>
      </w:r>
      <w:r w:rsidRPr="00A61669">
        <w:rPr>
          <w:rFonts w:asciiTheme="majorHAnsi" w:eastAsiaTheme="majorEastAsia" w:hAnsiTheme="majorHAnsi" w:cstheme="majorHAnsi"/>
          <w:b/>
          <w:color w:val="000000" w:themeColor="text1"/>
          <w:sz w:val="28"/>
          <w:szCs w:val="28"/>
        </w:rPr>
        <w:t xml:space="preserve"> table)</w:t>
      </w:r>
    </w:p>
    <w:p w14:paraId="6F853391" w14:textId="77777777" w:rsidR="00F326C5" w:rsidRPr="00A61669" w:rsidRDefault="00F326C5" w:rsidP="00F57DAB">
      <w:pPr>
        <w:pStyle w:val="ListParagraph"/>
        <w:numPr>
          <w:ilvl w:val="0"/>
          <w:numId w:val="41"/>
        </w:numPr>
        <w:spacing w:after="160" w:line="259" w:lineRule="auto"/>
        <w:rPr>
          <w:rFonts w:asciiTheme="majorHAnsi" w:hAnsiTheme="majorHAnsi" w:cstheme="majorHAnsi"/>
        </w:rPr>
      </w:pPr>
      <w:r w:rsidRPr="00A61669">
        <w:rPr>
          <w:rFonts w:asciiTheme="majorHAnsi" w:hAnsiTheme="majorHAnsi" w:cstheme="majorHAnsi"/>
        </w:rPr>
        <w:t>Compute (vCPU and memory) for each in-scope server</w:t>
      </w:r>
    </w:p>
    <w:p w14:paraId="64182F38" w14:textId="77777777" w:rsidR="00F326C5" w:rsidRPr="00A61669" w:rsidRDefault="00F326C5" w:rsidP="00F57DAB">
      <w:pPr>
        <w:pStyle w:val="ListParagraph"/>
        <w:numPr>
          <w:ilvl w:val="0"/>
          <w:numId w:val="41"/>
        </w:numPr>
        <w:spacing w:after="160" w:line="259" w:lineRule="auto"/>
        <w:rPr>
          <w:rFonts w:asciiTheme="majorHAnsi" w:hAnsiTheme="majorHAnsi" w:cstheme="majorHAnsi"/>
        </w:rPr>
      </w:pPr>
      <w:r w:rsidRPr="00A61669">
        <w:rPr>
          <w:rFonts w:asciiTheme="majorHAnsi" w:hAnsiTheme="majorHAnsi" w:cstheme="majorHAnsi"/>
        </w:rPr>
        <w:t>Block storage (SSD class, IOPS-matched across clouds at 80,000 IOPS per disk where needed)</w:t>
      </w:r>
    </w:p>
    <w:p w14:paraId="0ED87467" w14:textId="77777777" w:rsidR="00F326C5" w:rsidRPr="00A61669" w:rsidRDefault="00F326C5" w:rsidP="00F57DAB">
      <w:pPr>
        <w:pStyle w:val="ListParagraph"/>
        <w:numPr>
          <w:ilvl w:val="0"/>
          <w:numId w:val="41"/>
        </w:numPr>
        <w:spacing w:after="160" w:line="259" w:lineRule="auto"/>
        <w:rPr>
          <w:rFonts w:asciiTheme="majorHAnsi" w:hAnsiTheme="majorHAnsi" w:cstheme="majorHAnsi"/>
        </w:rPr>
      </w:pPr>
      <w:r w:rsidRPr="00A61669">
        <w:rPr>
          <w:rFonts w:asciiTheme="majorHAnsi" w:hAnsiTheme="majorHAnsi" w:cstheme="majorHAnsi"/>
        </w:rPr>
        <w:t>Operating system licensing at pay-as-you-go rates unless otherwise stated</w:t>
      </w:r>
    </w:p>
    <w:p w14:paraId="20F64CF7" w14:textId="77777777" w:rsidR="00F326C5" w:rsidRPr="00A61669" w:rsidRDefault="00F326C5" w:rsidP="00F57DAB">
      <w:pPr>
        <w:pStyle w:val="ListParagraph"/>
        <w:numPr>
          <w:ilvl w:val="0"/>
          <w:numId w:val="41"/>
        </w:numPr>
        <w:spacing w:after="160" w:line="259" w:lineRule="auto"/>
        <w:rPr>
          <w:rFonts w:asciiTheme="majorHAnsi" w:hAnsiTheme="majorHAnsi" w:cstheme="majorHAnsi"/>
        </w:rPr>
      </w:pPr>
      <w:r w:rsidRPr="00A61669">
        <w:rPr>
          <w:rFonts w:asciiTheme="majorHAnsi" w:hAnsiTheme="majorHAnsi" w:cstheme="majorHAnsi"/>
        </w:rPr>
        <w:t>Estimated internal network cost (5% of compute plus storage, a conservative placeholder based on Rackspace experience across comparable enterprise migrations; actual network cost requires traffic flow data not collected in Part 1)</w:t>
      </w:r>
    </w:p>
    <w:p w14:paraId="23F36664" w14:textId="680A697C" w:rsidR="00F326C5" w:rsidRPr="00A61669" w:rsidRDefault="00F326C5" w:rsidP="00F326C5">
      <w:pPr>
        <w:rPr>
          <w:rFonts w:asciiTheme="majorHAnsi" w:eastAsiaTheme="majorEastAsia" w:hAnsiTheme="majorHAnsi" w:cstheme="majorHAnsi"/>
          <w:b/>
          <w:color w:val="000000" w:themeColor="text1"/>
          <w:sz w:val="28"/>
          <w:szCs w:val="28"/>
        </w:rPr>
      </w:pPr>
      <w:r w:rsidRPr="00A61669">
        <w:rPr>
          <w:rFonts w:asciiTheme="majorHAnsi" w:eastAsiaTheme="majorEastAsia" w:hAnsiTheme="majorHAnsi" w:cstheme="majorHAnsi"/>
          <w:b/>
          <w:color w:val="000000" w:themeColor="text1"/>
          <w:sz w:val="28"/>
          <w:szCs w:val="28"/>
        </w:rPr>
        <w:t xml:space="preserve">Added in the Complete </w:t>
      </w:r>
      <w:r w:rsidR="00D218F6" w:rsidRPr="00A61669">
        <w:rPr>
          <w:rFonts w:asciiTheme="majorHAnsi" w:eastAsiaTheme="majorEastAsia" w:hAnsiTheme="majorHAnsi" w:cstheme="majorHAnsi"/>
          <w:b/>
          <w:bCs/>
          <w:color w:val="000000" w:themeColor="text1"/>
          <w:sz w:val="28"/>
          <w:szCs w:val="28"/>
        </w:rPr>
        <w:t xml:space="preserve">cost comparison </w:t>
      </w:r>
      <w:r w:rsidRPr="00A61669">
        <w:rPr>
          <w:rFonts w:asciiTheme="majorHAnsi" w:eastAsiaTheme="majorEastAsia" w:hAnsiTheme="majorHAnsi" w:cstheme="majorHAnsi"/>
          <w:b/>
          <w:color w:val="000000" w:themeColor="text1"/>
          <w:sz w:val="28"/>
          <w:szCs w:val="28"/>
        </w:rPr>
        <w:t>View (all figures in the Complete View table)</w:t>
      </w:r>
    </w:p>
    <w:p w14:paraId="4BABC8D1" w14:textId="77777777" w:rsidR="00F326C5" w:rsidRPr="00A61669" w:rsidRDefault="00F326C5" w:rsidP="00F57DAB">
      <w:pPr>
        <w:pStyle w:val="ListParagraph"/>
        <w:numPr>
          <w:ilvl w:val="0"/>
          <w:numId w:val="42"/>
        </w:numPr>
        <w:spacing w:after="160" w:line="259" w:lineRule="auto"/>
        <w:rPr>
          <w:rFonts w:asciiTheme="majorHAnsi" w:hAnsiTheme="majorHAnsi" w:cstheme="majorHAnsi"/>
        </w:rPr>
      </w:pPr>
      <w:r w:rsidRPr="00A61669">
        <w:rPr>
          <w:rFonts w:asciiTheme="majorHAnsi" w:hAnsiTheme="majorHAnsi" w:cstheme="majorHAnsi"/>
        </w:rPr>
        <w:t>Oracle Exadata@Cloud (Option A, identical pricing across all three clouds)</w:t>
      </w:r>
    </w:p>
    <w:p w14:paraId="1843E680" w14:textId="77777777" w:rsidR="00F326C5" w:rsidRPr="00A61669" w:rsidRDefault="00F326C5" w:rsidP="00F57DAB">
      <w:pPr>
        <w:pStyle w:val="ListParagraph"/>
        <w:numPr>
          <w:ilvl w:val="0"/>
          <w:numId w:val="42"/>
        </w:numPr>
        <w:spacing w:after="160" w:line="259" w:lineRule="auto"/>
        <w:rPr>
          <w:rFonts w:asciiTheme="majorHAnsi" w:hAnsiTheme="majorHAnsi" w:cstheme="majorHAnsi"/>
        </w:rPr>
      </w:pPr>
      <w:r w:rsidRPr="00A61669">
        <w:rPr>
          <w:rFonts w:asciiTheme="majorHAnsi" w:hAnsiTheme="majorHAnsi" w:cstheme="majorHAnsi"/>
        </w:rPr>
        <w:t>Oracle support (£650K per year, retained under BYOL)</w:t>
      </w:r>
    </w:p>
    <w:p w14:paraId="7FEE778A" w14:textId="77777777" w:rsidR="00F326C5" w:rsidRPr="00A61669" w:rsidRDefault="00F326C5" w:rsidP="00F57DAB">
      <w:pPr>
        <w:pStyle w:val="ListParagraph"/>
        <w:numPr>
          <w:ilvl w:val="0"/>
          <w:numId w:val="42"/>
        </w:numPr>
        <w:spacing w:after="160" w:line="259" w:lineRule="auto"/>
        <w:rPr>
          <w:rFonts w:asciiTheme="majorHAnsi" w:hAnsiTheme="majorHAnsi" w:cstheme="majorHAnsi"/>
        </w:rPr>
      </w:pPr>
      <w:r w:rsidRPr="00A61669">
        <w:rPr>
          <w:rFonts w:asciiTheme="majorHAnsi" w:hAnsiTheme="majorHAnsi" w:cstheme="majorHAnsi"/>
        </w:rPr>
        <w:t>Windows Server BYOL saving (Software Assurance confirmed)</w:t>
      </w:r>
    </w:p>
    <w:p w14:paraId="7A6CEE6D" w14:textId="77777777" w:rsidR="00F326C5" w:rsidRPr="00A61669" w:rsidRDefault="00F326C5" w:rsidP="00F57DAB">
      <w:pPr>
        <w:pStyle w:val="ListParagraph"/>
        <w:numPr>
          <w:ilvl w:val="0"/>
          <w:numId w:val="42"/>
        </w:numPr>
        <w:spacing w:after="160" w:line="259" w:lineRule="auto"/>
        <w:rPr>
          <w:rFonts w:asciiTheme="majorHAnsi" w:hAnsiTheme="majorHAnsi" w:cstheme="majorHAnsi"/>
        </w:rPr>
      </w:pPr>
      <w:r w:rsidRPr="00A61669">
        <w:rPr>
          <w:rFonts w:asciiTheme="majorHAnsi" w:hAnsiTheme="majorHAnsi" w:cstheme="majorHAnsi"/>
        </w:rPr>
        <w:t>SQL Server BYOL saving (Software Assurance confirmed, licence mobility across all three clouds)</w:t>
      </w:r>
    </w:p>
    <w:p w14:paraId="0ED95708" w14:textId="1DC05068" w:rsidR="00303695" w:rsidRPr="00A61669" w:rsidRDefault="00303695" w:rsidP="00F57DAB">
      <w:pPr>
        <w:pStyle w:val="ListParagraph"/>
        <w:numPr>
          <w:ilvl w:val="0"/>
          <w:numId w:val="42"/>
        </w:numPr>
        <w:spacing w:after="160" w:line="259" w:lineRule="auto"/>
        <w:rPr>
          <w:rFonts w:asciiTheme="majorHAnsi" w:hAnsiTheme="majorHAnsi" w:cstheme="majorHAnsi"/>
        </w:rPr>
      </w:pPr>
      <w:r w:rsidRPr="00A61669">
        <w:rPr>
          <w:rFonts w:asciiTheme="majorHAnsi" w:hAnsiTheme="majorHAnsi" w:cstheme="majorHAnsi"/>
        </w:rPr>
        <w:t xml:space="preserve">RHEL </w:t>
      </w:r>
      <w:r w:rsidR="001B2D73" w:rsidRPr="00A61669">
        <w:rPr>
          <w:rFonts w:asciiTheme="majorHAnsi" w:hAnsiTheme="majorHAnsi" w:cstheme="majorHAnsi"/>
        </w:rPr>
        <w:t>BYOL saving</w:t>
      </w:r>
    </w:p>
    <w:p w14:paraId="4003D132" w14:textId="77777777" w:rsidR="00F326C5" w:rsidRPr="00A61669" w:rsidRDefault="00F326C5" w:rsidP="00F57DAB">
      <w:pPr>
        <w:pStyle w:val="ListParagraph"/>
        <w:numPr>
          <w:ilvl w:val="0"/>
          <w:numId w:val="42"/>
        </w:numPr>
        <w:spacing w:after="160" w:line="259" w:lineRule="auto"/>
        <w:rPr>
          <w:rFonts w:asciiTheme="majorHAnsi" w:hAnsiTheme="majorHAnsi" w:cstheme="majorHAnsi"/>
        </w:rPr>
      </w:pPr>
      <w:r w:rsidRPr="00A61669">
        <w:rPr>
          <w:rFonts w:asciiTheme="majorHAnsi" w:hAnsiTheme="majorHAnsi" w:cstheme="majorHAnsi"/>
        </w:rPr>
        <w:t>Storage tiering saving (non-production moved to HDD-class storage)</w:t>
      </w:r>
    </w:p>
    <w:p w14:paraId="6D7D3FE8" w14:textId="77777777" w:rsidR="00F326C5" w:rsidRPr="00A61669" w:rsidRDefault="00F326C5" w:rsidP="00F57DAB">
      <w:pPr>
        <w:pStyle w:val="ListParagraph"/>
        <w:numPr>
          <w:ilvl w:val="0"/>
          <w:numId w:val="42"/>
        </w:numPr>
        <w:spacing w:after="160" w:line="259" w:lineRule="auto"/>
        <w:rPr>
          <w:rFonts w:asciiTheme="majorHAnsi" w:hAnsiTheme="majorHAnsi" w:cstheme="majorHAnsi"/>
        </w:rPr>
      </w:pPr>
      <w:r w:rsidRPr="00A61669">
        <w:rPr>
          <w:rFonts w:asciiTheme="majorHAnsi" w:hAnsiTheme="majorHAnsi" w:cstheme="majorHAnsi"/>
        </w:rPr>
        <w:t>NCS database support (£568K per year, carried forward at full contract value pending confirmed split between infrastructure-layer and database-layer activities)</w:t>
      </w:r>
    </w:p>
    <w:p w14:paraId="790991D3" w14:textId="77777777" w:rsidR="00F326C5" w:rsidRPr="00A61669" w:rsidRDefault="00F326C5" w:rsidP="00F57DAB">
      <w:pPr>
        <w:pStyle w:val="ListParagraph"/>
        <w:numPr>
          <w:ilvl w:val="0"/>
          <w:numId w:val="42"/>
        </w:numPr>
        <w:spacing w:after="160" w:line="259" w:lineRule="auto"/>
        <w:rPr>
          <w:rFonts w:asciiTheme="majorHAnsi" w:hAnsiTheme="majorHAnsi" w:cstheme="majorHAnsi"/>
        </w:rPr>
      </w:pPr>
      <w:r w:rsidRPr="00A61669">
        <w:rPr>
          <w:rFonts w:asciiTheme="majorHAnsi" w:hAnsiTheme="majorHAnsi" w:cstheme="majorHAnsi"/>
        </w:rPr>
        <w:t>Tenable/Guardicore (carried forward at server-attributable portion; full contract includes client endpoints outside migration scope)</w:t>
      </w:r>
    </w:p>
    <w:p w14:paraId="7F2C573D" w14:textId="77777777" w:rsidR="00F326C5" w:rsidRPr="00A61669" w:rsidRDefault="00F326C5" w:rsidP="00F57DAB">
      <w:pPr>
        <w:pStyle w:val="ListParagraph"/>
        <w:numPr>
          <w:ilvl w:val="0"/>
          <w:numId w:val="42"/>
        </w:numPr>
        <w:spacing w:after="160" w:line="259" w:lineRule="auto"/>
        <w:rPr>
          <w:rFonts w:asciiTheme="majorHAnsi" w:hAnsiTheme="majorHAnsi" w:cstheme="majorHAnsi"/>
        </w:rPr>
      </w:pPr>
      <w:r w:rsidRPr="00A61669">
        <w:rPr>
          <w:rFonts w:asciiTheme="majorHAnsi" w:hAnsiTheme="majorHAnsi" w:cstheme="majorHAnsi"/>
        </w:rPr>
        <w:t>Microsoft support via Bluesource (£80K per year)</w:t>
      </w:r>
    </w:p>
    <w:p w14:paraId="631BCEA5" w14:textId="77777777" w:rsidR="00F326C5" w:rsidRPr="00A61669" w:rsidRDefault="00F326C5" w:rsidP="00F57DAB">
      <w:pPr>
        <w:pStyle w:val="ListParagraph"/>
        <w:numPr>
          <w:ilvl w:val="0"/>
          <w:numId w:val="42"/>
        </w:numPr>
        <w:spacing w:after="160" w:line="259" w:lineRule="auto"/>
        <w:rPr>
          <w:rFonts w:asciiTheme="majorHAnsi" w:hAnsiTheme="majorHAnsi" w:cstheme="majorHAnsi"/>
        </w:rPr>
      </w:pPr>
      <w:r w:rsidRPr="00A61669">
        <w:rPr>
          <w:rFonts w:asciiTheme="majorHAnsi" w:hAnsiTheme="majorHAnsi" w:cstheme="majorHAnsi"/>
        </w:rPr>
        <w:t>Hyperscaler enterprise support (varies by cloud)</w:t>
      </w:r>
    </w:p>
    <w:p w14:paraId="3CD38A26" w14:textId="77777777" w:rsidR="00F326C5" w:rsidRPr="00A61669" w:rsidRDefault="00F326C5" w:rsidP="00F57DAB">
      <w:pPr>
        <w:pStyle w:val="ListParagraph"/>
        <w:numPr>
          <w:ilvl w:val="0"/>
          <w:numId w:val="42"/>
        </w:numPr>
        <w:spacing w:after="160" w:line="259" w:lineRule="auto"/>
        <w:rPr>
          <w:rFonts w:asciiTheme="majorHAnsi" w:hAnsiTheme="majorHAnsi" w:cstheme="majorHAnsi"/>
        </w:rPr>
      </w:pPr>
      <w:r w:rsidRPr="00A61669">
        <w:rPr>
          <w:rFonts w:asciiTheme="majorHAnsi" w:hAnsiTheme="majorHAnsi" w:cstheme="majorHAnsi"/>
        </w:rPr>
        <w:t>Ubuntu patching and support</w:t>
      </w:r>
    </w:p>
    <w:p w14:paraId="1A67B776" w14:textId="77777777" w:rsidR="00F326C5" w:rsidRPr="00A61669" w:rsidRDefault="00F326C5" w:rsidP="00F57DAB">
      <w:pPr>
        <w:pStyle w:val="ListParagraph"/>
        <w:numPr>
          <w:ilvl w:val="0"/>
          <w:numId w:val="42"/>
        </w:numPr>
        <w:spacing w:after="160" w:line="259" w:lineRule="auto"/>
        <w:rPr>
          <w:rFonts w:asciiTheme="majorHAnsi" w:hAnsiTheme="majorHAnsi" w:cstheme="majorHAnsi"/>
        </w:rPr>
      </w:pPr>
      <w:r w:rsidRPr="00A61669">
        <w:rPr>
          <w:rFonts w:asciiTheme="majorHAnsi" w:hAnsiTheme="majorHAnsi" w:cstheme="majorHAnsi"/>
        </w:rPr>
        <w:t>Indicative internet egress at 100TB per month (illustrative; actual egress depends on Akamai CDN cache hit rate and origin traffic patterns, and can be quantified in Part 2 given traffic flow data)</w:t>
      </w:r>
    </w:p>
    <w:p w14:paraId="17F5F3AD" w14:textId="77777777" w:rsidR="00F326C5" w:rsidRPr="00A61669" w:rsidRDefault="00F326C5" w:rsidP="00F326C5">
      <w:pPr>
        <w:rPr>
          <w:rFonts w:asciiTheme="majorHAnsi" w:eastAsiaTheme="majorEastAsia" w:hAnsiTheme="majorHAnsi" w:cstheme="majorHAnsi"/>
          <w:b/>
          <w:color w:val="000000" w:themeColor="text1"/>
          <w:sz w:val="28"/>
          <w:szCs w:val="28"/>
        </w:rPr>
      </w:pPr>
      <w:r w:rsidRPr="00A61669">
        <w:rPr>
          <w:rFonts w:asciiTheme="majorHAnsi" w:eastAsiaTheme="majorEastAsia" w:hAnsiTheme="majorHAnsi" w:cstheme="majorHAnsi"/>
          <w:b/>
          <w:color w:val="000000" w:themeColor="text1"/>
          <w:sz w:val="28"/>
          <w:szCs w:val="28"/>
        </w:rPr>
        <w:t>Excluded from all figures in this report</w:t>
      </w:r>
    </w:p>
    <w:p w14:paraId="5191E41A" w14:textId="77777777" w:rsidR="00F326C5" w:rsidRPr="00A61669" w:rsidRDefault="00F326C5" w:rsidP="00F57DAB">
      <w:pPr>
        <w:pStyle w:val="ListParagraph"/>
        <w:numPr>
          <w:ilvl w:val="0"/>
          <w:numId w:val="43"/>
        </w:numPr>
        <w:spacing w:after="160" w:line="259" w:lineRule="auto"/>
        <w:rPr>
          <w:rFonts w:asciiTheme="majorHAnsi" w:hAnsiTheme="majorHAnsi" w:cstheme="majorHAnsi"/>
        </w:rPr>
      </w:pPr>
      <w:r w:rsidRPr="00A61669">
        <w:rPr>
          <w:rFonts w:asciiTheme="majorHAnsi" w:hAnsiTheme="majorHAnsi" w:cstheme="majorHAnsi"/>
        </w:rPr>
        <w:t>Backup and disaster recovery. Both environments carry backup costs. The on-premises backup solution (Veeam) is not broken out in the on-premises baseline, and cloud-native backup costs require RPO and RTO decisions per application. Both sides are excluded. Part 2 addresses this.</w:t>
      </w:r>
    </w:p>
    <w:p w14:paraId="64E89262" w14:textId="77777777" w:rsidR="00F326C5" w:rsidRPr="00A61669" w:rsidRDefault="00F326C5" w:rsidP="00F57DAB">
      <w:pPr>
        <w:pStyle w:val="ListParagraph"/>
        <w:numPr>
          <w:ilvl w:val="0"/>
          <w:numId w:val="43"/>
        </w:numPr>
        <w:spacing w:after="160" w:line="259" w:lineRule="auto"/>
        <w:rPr>
          <w:rFonts w:asciiTheme="majorHAnsi" w:hAnsiTheme="majorHAnsi" w:cstheme="majorHAnsi"/>
        </w:rPr>
      </w:pPr>
      <w:r w:rsidRPr="00A61669">
        <w:rPr>
          <w:rFonts w:asciiTheme="majorHAnsi" w:hAnsiTheme="majorHAnsi" w:cstheme="majorHAnsi"/>
        </w:rPr>
        <w:t>Migration labour (out of scope for Part 1)</w:t>
      </w:r>
    </w:p>
    <w:p w14:paraId="4944AABE" w14:textId="77777777" w:rsidR="00F326C5" w:rsidRPr="00A61669" w:rsidRDefault="00F326C5" w:rsidP="00F57DAB">
      <w:pPr>
        <w:pStyle w:val="ListParagraph"/>
        <w:numPr>
          <w:ilvl w:val="0"/>
          <w:numId w:val="43"/>
        </w:numPr>
        <w:spacing w:after="160" w:line="259" w:lineRule="auto"/>
        <w:rPr>
          <w:rFonts w:asciiTheme="majorHAnsi" w:hAnsiTheme="majorHAnsi" w:cstheme="majorHAnsi"/>
        </w:rPr>
      </w:pPr>
      <w:r w:rsidRPr="00A61669">
        <w:rPr>
          <w:rFonts w:asciiTheme="majorHAnsi" w:hAnsiTheme="majorHAnsi" w:cstheme="majorHAnsi"/>
        </w:rPr>
        <w:t>Landing zone infrastructure and interconnect (depends on landing zone design, Part 2)</w:t>
      </w:r>
    </w:p>
    <w:p w14:paraId="6A571F80" w14:textId="77777777" w:rsidR="00F326C5" w:rsidRPr="00A61669" w:rsidRDefault="00F326C5" w:rsidP="00F57DAB">
      <w:pPr>
        <w:pStyle w:val="ListParagraph"/>
        <w:numPr>
          <w:ilvl w:val="0"/>
          <w:numId w:val="43"/>
        </w:numPr>
        <w:spacing w:after="160" w:line="259" w:lineRule="auto"/>
        <w:rPr>
          <w:rFonts w:asciiTheme="majorHAnsi" w:hAnsiTheme="majorHAnsi" w:cstheme="majorHAnsi"/>
        </w:rPr>
      </w:pPr>
      <w:r w:rsidRPr="00A61669">
        <w:rPr>
          <w:rFonts w:asciiTheme="majorHAnsi" w:hAnsiTheme="majorHAnsi" w:cstheme="majorHAnsi"/>
        </w:rPr>
        <w:lastRenderedPageBreak/>
        <w:t>Managed service substitutions (e.g. Oracle to PostgreSQL), which are modelled as optimisation scenarios in this report, not included in the Complete View</w:t>
      </w:r>
    </w:p>
    <w:p w14:paraId="2B606198" w14:textId="77777777" w:rsidR="00F326C5" w:rsidRPr="00A61669" w:rsidRDefault="00F326C5" w:rsidP="00F57DAB">
      <w:pPr>
        <w:pStyle w:val="ListParagraph"/>
        <w:numPr>
          <w:ilvl w:val="0"/>
          <w:numId w:val="43"/>
        </w:numPr>
        <w:spacing w:after="160" w:line="259" w:lineRule="auto"/>
        <w:rPr>
          <w:rFonts w:asciiTheme="majorHAnsi" w:hAnsiTheme="majorHAnsi" w:cstheme="majorHAnsi"/>
        </w:rPr>
      </w:pPr>
      <w:r w:rsidRPr="00A61669">
        <w:rPr>
          <w:rFonts w:asciiTheme="majorHAnsi" w:hAnsiTheme="majorHAnsi" w:cstheme="majorHAnsi"/>
        </w:rPr>
        <w:t>Hyperscaler commercial terms (partner discounts, migration credits, committed spend incentives). These are presented separately once received and are not included in any figure above.</w:t>
      </w:r>
    </w:p>
    <w:p w14:paraId="2B8CD3DE" w14:textId="77777777" w:rsidR="00F326C5" w:rsidRPr="00A61669" w:rsidRDefault="00F326C5" w:rsidP="00F326C5">
      <w:pPr>
        <w:pStyle w:val="ListParagraph"/>
        <w:rPr>
          <w:rFonts w:asciiTheme="majorHAnsi" w:hAnsiTheme="majorHAnsi" w:cstheme="majorHAnsi"/>
        </w:rPr>
      </w:pPr>
    </w:p>
    <w:p w14:paraId="54A8C8B5" w14:textId="77777777" w:rsidR="00F326C5" w:rsidRPr="00A61669" w:rsidRDefault="00F326C5" w:rsidP="00F326C5">
      <w:pPr>
        <w:rPr>
          <w:rFonts w:asciiTheme="majorHAnsi" w:eastAsiaTheme="majorEastAsia" w:hAnsiTheme="majorHAnsi" w:cstheme="majorHAnsi"/>
          <w:b/>
          <w:color w:val="000000" w:themeColor="text1"/>
          <w:sz w:val="28"/>
          <w:szCs w:val="28"/>
        </w:rPr>
      </w:pPr>
      <w:r w:rsidRPr="00A61669">
        <w:rPr>
          <w:rFonts w:asciiTheme="majorHAnsi" w:eastAsiaTheme="majorEastAsia" w:hAnsiTheme="majorHAnsi" w:cstheme="majorHAnsi"/>
          <w:b/>
          <w:color w:val="000000" w:themeColor="text1"/>
          <w:sz w:val="28"/>
          <w:szCs w:val="28"/>
        </w:rPr>
        <w:t>Network egress rates for reference (API-verified, London):</w:t>
      </w:r>
    </w:p>
    <w:p w14:paraId="6A28B885" w14:textId="77777777" w:rsidR="00F326C5" w:rsidRPr="00A61669" w:rsidRDefault="00F326C5" w:rsidP="00F57DAB">
      <w:pPr>
        <w:pStyle w:val="ListParagraph"/>
        <w:numPr>
          <w:ilvl w:val="0"/>
          <w:numId w:val="44"/>
        </w:numPr>
        <w:spacing w:after="160" w:line="259" w:lineRule="auto"/>
        <w:rPr>
          <w:rFonts w:asciiTheme="majorHAnsi" w:hAnsiTheme="majorHAnsi" w:cstheme="majorHAnsi"/>
        </w:rPr>
      </w:pPr>
      <w:r w:rsidRPr="00A61669">
        <w:rPr>
          <w:rFonts w:asciiTheme="majorHAnsi" w:hAnsiTheme="majorHAnsi" w:cstheme="majorHAnsi"/>
        </w:rPr>
        <w:t>AWS: $0.09/GB for the first 10TB per month, tapering to $0.05/GB above 150TB per month</w:t>
      </w:r>
    </w:p>
    <w:p w14:paraId="373BAE51" w14:textId="77777777" w:rsidR="00F326C5" w:rsidRPr="00A61669" w:rsidRDefault="00F326C5" w:rsidP="00F57DAB">
      <w:pPr>
        <w:pStyle w:val="ListParagraph"/>
        <w:numPr>
          <w:ilvl w:val="0"/>
          <w:numId w:val="44"/>
        </w:numPr>
        <w:spacing w:after="160" w:line="259" w:lineRule="auto"/>
        <w:rPr>
          <w:rFonts w:asciiTheme="majorHAnsi" w:hAnsiTheme="majorHAnsi" w:cstheme="majorHAnsi"/>
        </w:rPr>
      </w:pPr>
      <w:r w:rsidRPr="00A61669">
        <w:rPr>
          <w:rFonts w:asciiTheme="majorHAnsi" w:hAnsiTheme="majorHAnsi" w:cstheme="majorHAnsi"/>
        </w:rPr>
        <w:t>Azure: $0.08/GB for the first 10TB, tapering to $0.04-0.05/GB at high volumes</w:t>
      </w:r>
    </w:p>
    <w:p w14:paraId="079B37C4" w14:textId="77777777" w:rsidR="00F326C5" w:rsidRPr="00A61669" w:rsidRDefault="00F326C5" w:rsidP="00F57DAB">
      <w:pPr>
        <w:pStyle w:val="ListParagraph"/>
        <w:numPr>
          <w:ilvl w:val="0"/>
          <w:numId w:val="44"/>
        </w:numPr>
        <w:spacing w:after="160" w:line="259" w:lineRule="auto"/>
        <w:rPr>
          <w:rFonts w:asciiTheme="majorHAnsi" w:hAnsiTheme="majorHAnsi" w:cstheme="majorHAnsi"/>
        </w:rPr>
      </w:pPr>
      <w:r w:rsidRPr="00A61669">
        <w:rPr>
          <w:rFonts w:asciiTheme="majorHAnsi" w:hAnsiTheme="majorHAnsi" w:cstheme="majorHAnsi"/>
        </w:rPr>
        <w:t>GCP Premium Tier: $0.12/GB for the first 1TB, $0.11/GB for 1-10TB, $0.08/GB at 10TB+</w:t>
      </w:r>
    </w:p>
    <w:p w14:paraId="68B7019D" w14:textId="77777777" w:rsidR="00F326C5" w:rsidRPr="00A61669" w:rsidRDefault="00F326C5" w:rsidP="00F57DAB">
      <w:pPr>
        <w:pStyle w:val="ListParagraph"/>
        <w:numPr>
          <w:ilvl w:val="0"/>
          <w:numId w:val="44"/>
        </w:numPr>
        <w:spacing w:after="160" w:line="259" w:lineRule="auto"/>
        <w:rPr>
          <w:rFonts w:asciiTheme="majorHAnsi" w:hAnsiTheme="majorHAnsi" w:cstheme="majorHAnsi"/>
        </w:rPr>
      </w:pPr>
      <w:r w:rsidRPr="00A61669">
        <w:rPr>
          <w:rFonts w:asciiTheme="majorHAnsi" w:hAnsiTheme="majorHAnsi" w:cstheme="majorHAnsi"/>
        </w:rPr>
        <w:t>At low-to-mid monthly volumes GCP is materially more expensive; at high volumes all three converge</w:t>
      </w:r>
    </w:p>
    <w:p w14:paraId="00000255" w14:textId="559232BE" w:rsidR="000B0F63" w:rsidRPr="00A61669" w:rsidRDefault="002A1FAF" w:rsidP="00E40261">
      <w:pPr>
        <w:pStyle w:val="Heading2"/>
        <w:jc w:val="both"/>
        <w:rPr>
          <w:rFonts w:asciiTheme="majorHAnsi" w:hAnsiTheme="majorHAnsi" w:cstheme="majorHAnsi"/>
        </w:rPr>
      </w:pPr>
      <w:bookmarkStart w:id="90" w:name="_Toc148"/>
      <w:bookmarkStart w:id="91" w:name="_Toc227770931"/>
      <w:bookmarkEnd w:id="88"/>
      <w:bookmarkEnd w:id="89"/>
      <w:r w:rsidRPr="00A61669">
        <w:rPr>
          <w:rFonts w:asciiTheme="majorHAnsi" w:hAnsiTheme="majorHAnsi" w:cstheme="majorHAnsi"/>
        </w:rPr>
        <w:t>Like-to-like</w:t>
      </w:r>
      <w:r w:rsidR="1BAB210A" w:rsidRPr="00A61669">
        <w:rPr>
          <w:rFonts w:asciiTheme="majorHAnsi" w:hAnsiTheme="majorHAnsi" w:cstheme="majorHAnsi"/>
        </w:rPr>
        <w:t xml:space="preserve"> </w:t>
      </w:r>
      <w:r w:rsidR="003E40DB" w:rsidRPr="00A61669">
        <w:rPr>
          <w:rFonts w:asciiTheme="majorHAnsi" w:hAnsiTheme="majorHAnsi" w:cstheme="majorHAnsi"/>
        </w:rPr>
        <w:t>Cloud Infrastructure cost</w:t>
      </w:r>
      <w:r w:rsidR="1BAB210A" w:rsidRPr="00A61669">
        <w:rPr>
          <w:rFonts w:asciiTheme="majorHAnsi" w:hAnsiTheme="majorHAnsi" w:cstheme="majorHAnsi"/>
        </w:rPr>
        <w:t xml:space="preserve"> (London, 3-Year Committed, </w:t>
      </w:r>
      <w:r w:rsidR="0090722F" w:rsidRPr="00A61669">
        <w:rPr>
          <w:rFonts w:asciiTheme="majorHAnsi" w:hAnsiTheme="majorHAnsi" w:cstheme="majorHAnsi"/>
        </w:rPr>
        <w:t>Annually</w:t>
      </w:r>
      <w:r w:rsidR="1BAB210A" w:rsidRPr="00A61669">
        <w:rPr>
          <w:rFonts w:asciiTheme="majorHAnsi" w:hAnsiTheme="majorHAnsi" w:cstheme="majorHAnsi"/>
        </w:rPr>
        <w:t>)</w:t>
      </w:r>
      <w:bookmarkEnd w:id="90"/>
      <w:bookmarkEnd w:id="91"/>
    </w:p>
    <w:p w14:paraId="00000257" w14:textId="00000258" w:rsidR="000B0F63" w:rsidRPr="00A61669" w:rsidRDefault="00C05D22" w:rsidP="00E40261">
      <w:pPr>
        <w:jc w:val="both"/>
        <w:rPr>
          <w:rFonts w:asciiTheme="majorHAnsi" w:hAnsiTheme="majorHAnsi" w:cstheme="majorHAnsi"/>
        </w:rPr>
      </w:pPr>
      <w:r w:rsidRPr="00A61669">
        <w:rPr>
          <w:rFonts w:asciiTheme="majorHAnsi" w:hAnsiTheme="majorHAnsi" w:cstheme="majorHAnsi"/>
        </w:rPr>
        <w:t>The table below shows the same 3,038 servers priced on each cloud at the sizing each cloud's own tool recommended.</w:t>
      </w:r>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906732" w14:paraId="36D4D4EE" w14:textId="77777777">
        <w:trPr>
          <w:cantSplit/>
        </w:trPr>
        <w:tc>
          <w:tcPr>
            <w:tcW w:w="2430" w:type="dxa"/>
            <w:shd w:val="clear" w:color="auto" w:fill="D9D9D9" w:themeFill="background1" w:themeFillShade="D9"/>
            <w:tcMar>
              <w:top w:w="100" w:type="dxa"/>
              <w:left w:w="100" w:type="dxa"/>
              <w:bottom w:w="100" w:type="dxa"/>
              <w:right w:w="100" w:type="dxa"/>
            </w:tcMar>
            <w:vAlign w:val="center"/>
          </w:tcPr>
          <w:p w14:paraId="00000259" w14:textId="26DDEBE5" w:rsidR="000B0F63" w:rsidRPr="00A61669" w:rsidRDefault="00C05D22" w:rsidP="00D403FC">
            <w:pPr>
              <w:pStyle w:val="TableHeader"/>
              <w:jc w:val="center"/>
              <w:rPr>
                <w:rFonts w:asciiTheme="majorHAnsi" w:hAnsiTheme="majorHAnsi" w:cstheme="majorHAnsi"/>
              </w:rPr>
            </w:pPr>
            <w:r w:rsidRPr="00A61669">
              <w:rPr>
                <w:rFonts w:asciiTheme="majorHAnsi" w:hAnsiTheme="majorHAnsi" w:cstheme="majorHAnsi"/>
                <w:b w:val="0"/>
              </w:rPr>
              <w:t>Pricing model</w:t>
            </w:r>
          </w:p>
        </w:tc>
        <w:tc>
          <w:tcPr>
            <w:tcW w:w="2430" w:type="dxa"/>
            <w:shd w:val="clear" w:color="auto" w:fill="D9D9D9" w:themeFill="background1" w:themeFillShade="D9"/>
            <w:tcMar>
              <w:top w:w="100" w:type="dxa"/>
              <w:left w:w="100" w:type="dxa"/>
              <w:bottom w:w="100" w:type="dxa"/>
              <w:right w:w="100" w:type="dxa"/>
            </w:tcMar>
            <w:vAlign w:val="center"/>
          </w:tcPr>
          <w:p w14:paraId="0000025B" w14:textId="22707CD1" w:rsidR="000B0F63" w:rsidRPr="00A61669" w:rsidRDefault="0090722F" w:rsidP="00D403FC">
            <w:pPr>
              <w:pStyle w:val="TableHeader"/>
              <w:jc w:val="center"/>
              <w:rPr>
                <w:rFonts w:asciiTheme="majorHAnsi" w:hAnsiTheme="majorHAnsi" w:cstheme="majorHAnsi"/>
              </w:rPr>
            </w:pPr>
            <w:r w:rsidRPr="00A61669">
              <w:rPr>
                <w:rFonts w:asciiTheme="majorHAnsi" w:hAnsiTheme="majorHAnsi" w:cstheme="majorHAnsi"/>
                <w:b w:val="0"/>
                <w:bCs w:val="0"/>
              </w:rPr>
              <w:t>GCP</w:t>
            </w:r>
            <w:r w:rsidR="002526F6">
              <w:rPr>
                <w:rFonts w:asciiTheme="majorHAnsi" w:hAnsiTheme="majorHAnsi" w:cstheme="majorHAnsi"/>
                <w:b w:val="0"/>
                <w:bCs w:val="0"/>
              </w:rPr>
              <w:t xml:space="preserve"> (Annual Cost)</w:t>
            </w:r>
          </w:p>
        </w:tc>
        <w:tc>
          <w:tcPr>
            <w:tcW w:w="2430" w:type="dxa"/>
            <w:shd w:val="clear" w:color="auto" w:fill="D9D9D9" w:themeFill="background1" w:themeFillShade="D9"/>
            <w:tcMar>
              <w:top w:w="100" w:type="dxa"/>
              <w:left w:w="100" w:type="dxa"/>
              <w:bottom w:w="100" w:type="dxa"/>
              <w:right w:w="100" w:type="dxa"/>
            </w:tcMar>
            <w:vAlign w:val="center"/>
          </w:tcPr>
          <w:p w14:paraId="0000025D" w14:textId="009FCAB5" w:rsidR="000B0F63" w:rsidRPr="00A61669" w:rsidRDefault="0090722F" w:rsidP="00D403FC">
            <w:pPr>
              <w:pStyle w:val="TableHeader"/>
              <w:jc w:val="center"/>
              <w:rPr>
                <w:rFonts w:asciiTheme="majorHAnsi" w:hAnsiTheme="majorHAnsi" w:cstheme="majorHAnsi"/>
              </w:rPr>
            </w:pPr>
            <w:r w:rsidRPr="00A61669">
              <w:rPr>
                <w:rFonts w:asciiTheme="majorHAnsi" w:hAnsiTheme="majorHAnsi" w:cstheme="majorHAnsi"/>
                <w:b w:val="0"/>
                <w:bCs w:val="0"/>
              </w:rPr>
              <w:t>AWS</w:t>
            </w:r>
            <w:r w:rsidR="002526F6">
              <w:rPr>
                <w:rFonts w:asciiTheme="majorHAnsi" w:hAnsiTheme="majorHAnsi" w:cstheme="majorHAnsi"/>
                <w:b w:val="0"/>
                <w:bCs w:val="0"/>
              </w:rPr>
              <w:t xml:space="preserve"> (Annual Cost)</w:t>
            </w:r>
          </w:p>
        </w:tc>
        <w:tc>
          <w:tcPr>
            <w:tcW w:w="2430" w:type="dxa"/>
            <w:shd w:val="clear" w:color="auto" w:fill="D9D9D9" w:themeFill="background1" w:themeFillShade="D9"/>
            <w:tcMar>
              <w:top w:w="100" w:type="dxa"/>
              <w:left w:w="100" w:type="dxa"/>
              <w:bottom w:w="100" w:type="dxa"/>
              <w:right w:w="100" w:type="dxa"/>
            </w:tcMar>
            <w:vAlign w:val="center"/>
          </w:tcPr>
          <w:p w14:paraId="0000025F" w14:textId="0F9BF169" w:rsidR="000B0F63" w:rsidRPr="00A61669" w:rsidRDefault="0090722F" w:rsidP="00D403FC">
            <w:pPr>
              <w:pStyle w:val="TableHeader"/>
              <w:jc w:val="center"/>
              <w:rPr>
                <w:rFonts w:asciiTheme="majorHAnsi" w:hAnsiTheme="majorHAnsi" w:cstheme="majorHAnsi"/>
              </w:rPr>
            </w:pPr>
            <w:r w:rsidRPr="00A61669">
              <w:rPr>
                <w:rFonts w:asciiTheme="majorHAnsi" w:hAnsiTheme="majorHAnsi" w:cstheme="majorHAnsi"/>
                <w:b w:val="0"/>
                <w:bCs w:val="0"/>
              </w:rPr>
              <w:t>Azure</w:t>
            </w:r>
            <w:r w:rsidR="002526F6">
              <w:rPr>
                <w:rFonts w:asciiTheme="majorHAnsi" w:hAnsiTheme="majorHAnsi" w:cstheme="majorHAnsi"/>
                <w:b w:val="0"/>
                <w:bCs w:val="0"/>
              </w:rPr>
              <w:t xml:space="preserve"> (Annual Cost)</w:t>
            </w:r>
          </w:p>
        </w:tc>
      </w:tr>
      <w:tr w:rsidR="008A54AF" w14:paraId="355376EF" w14:textId="77777777">
        <w:tc>
          <w:tcPr>
            <w:tcW w:w="2430" w:type="dxa"/>
            <w:tcMar>
              <w:top w:w="100" w:type="dxa"/>
              <w:left w:w="100" w:type="dxa"/>
              <w:bottom w:w="100" w:type="dxa"/>
              <w:right w:w="100" w:type="dxa"/>
            </w:tcMar>
            <w:vAlign w:val="center"/>
          </w:tcPr>
          <w:p w14:paraId="00000261" w14:textId="6F2401C5" w:rsidR="000B0F63" w:rsidRPr="00A61669" w:rsidRDefault="00AF0604" w:rsidP="00D403FC">
            <w:pPr>
              <w:pStyle w:val="TableInfo"/>
              <w:jc w:val="center"/>
              <w:rPr>
                <w:rFonts w:asciiTheme="majorHAnsi" w:hAnsiTheme="majorHAnsi" w:cstheme="majorHAnsi"/>
              </w:rPr>
            </w:pPr>
            <w:r w:rsidRPr="00A61669">
              <w:rPr>
                <w:rFonts w:asciiTheme="majorHAnsi" w:hAnsiTheme="majorHAnsi" w:cstheme="majorHAnsi"/>
                <w:color w:val="000000"/>
                <w:szCs w:val="18"/>
              </w:rPr>
              <w:t>Pay-as-you-</w:t>
            </w:r>
            <w:r w:rsidR="0090722F" w:rsidRPr="00A61669">
              <w:rPr>
                <w:rFonts w:asciiTheme="majorHAnsi" w:hAnsiTheme="majorHAnsi" w:cstheme="majorHAnsi"/>
                <w:color w:val="000000"/>
                <w:szCs w:val="18"/>
              </w:rPr>
              <w:t xml:space="preserve">go </w:t>
            </w:r>
          </w:p>
        </w:tc>
        <w:tc>
          <w:tcPr>
            <w:tcW w:w="2430" w:type="dxa"/>
            <w:tcMar>
              <w:top w:w="100" w:type="dxa"/>
              <w:left w:w="100" w:type="dxa"/>
              <w:bottom w:w="100" w:type="dxa"/>
              <w:right w:w="100" w:type="dxa"/>
            </w:tcMar>
            <w:vAlign w:val="center"/>
          </w:tcPr>
          <w:p w14:paraId="00000263" w14:textId="62789AF8" w:rsidR="000B0F63" w:rsidRPr="00A61669" w:rsidRDefault="0090722F" w:rsidP="00D403FC">
            <w:pPr>
              <w:pStyle w:val="TableInfo"/>
              <w:jc w:val="center"/>
              <w:rPr>
                <w:rFonts w:asciiTheme="majorHAnsi" w:hAnsiTheme="majorHAnsi" w:cstheme="majorHAnsi"/>
              </w:rPr>
            </w:pPr>
            <w:r w:rsidRPr="00A61669">
              <w:rPr>
                <w:rFonts w:asciiTheme="majorHAnsi" w:hAnsiTheme="majorHAnsi" w:cstheme="majorHAnsi"/>
                <w:color w:val="000000"/>
                <w:szCs w:val="18"/>
              </w:rPr>
              <w:t>£3,735,168</w:t>
            </w:r>
          </w:p>
        </w:tc>
        <w:tc>
          <w:tcPr>
            <w:tcW w:w="2430" w:type="dxa"/>
            <w:tcMar>
              <w:top w:w="100" w:type="dxa"/>
              <w:left w:w="100" w:type="dxa"/>
              <w:bottom w:w="100" w:type="dxa"/>
              <w:right w:w="100" w:type="dxa"/>
            </w:tcMar>
            <w:vAlign w:val="center"/>
          </w:tcPr>
          <w:p w14:paraId="00000265" w14:textId="5198A8C8" w:rsidR="000B0F63" w:rsidRPr="00A61669" w:rsidRDefault="0090722F" w:rsidP="00D403FC">
            <w:pPr>
              <w:pStyle w:val="TableInfo"/>
              <w:jc w:val="center"/>
              <w:rPr>
                <w:rFonts w:asciiTheme="majorHAnsi" w:hAnsiTheme="majorHAnsi" w:cstheme="majorHAnsi"/>
              </w:rPr>
            </w:pPr>
            <w:r w:rsidRPr="00A61669">
              <w:rPr>
                <w:rFonts w:asciiTheme="majorHAnsi" w:hAnsiTheme="majorHAnsi" w:cstheme="majorHAnsi"/>
                <w:color w:val="000000"/>
                <w:szCs w:val="18"/>
              </w:rPr>
              <w:t>£3,938,676</w:t>
            </w:r>
          </w:p>
        </w:tc>
        <w:tc>
          <w:tcPr>
            <w:tcW w:w="2430" w:type="dxa"/>
            <w:tcMar>
              <w:top w:w="100" w:type="dxa"/>
              <w:left w:w="100" w:type="dxa"/>
              <w:bottom w:w="100" w:type="dxa"/>
              <w:right w:w="100" w:type="dxa"/>
            </w:tcMar>
            <w:vAlign w:val="center"/>
          </w:tcPr>
          <w:p w14:paraId="00000267" w14:textId="688FDE77" w:rsidR="000B0F63" w:rsidRPr="00A61669" w:rsidRDefault="0090722F" w:rsidP="00D403FC">
            <w:pPr>
              <w:pStyle w:val="TableInfo"/>
              <w:jc w:val="center"/>
              <w:rPr>
                <w:rFonts w:asciiTheme="majorHAnsi" w:hAnsiTheme="majorHAnsi" w:cstheme="majorHAnsi"/>
              </w:rPr>
            </w:pPr>
            <w:r w:rsidRPr="00A61669">
              <w:rPr>
                <w:rFonts w:asciiTheme="majorHAnsi" w:hAnsiTheme="majorHAnsi" w:cstheme="majorHAnsi"/>
                <w:color w:val="000000"/>
                <w:szCs w:val="18"/>
              </w:rPr>
              <w:t>£5,097,972</w:t>
            </w:r>
          </w:p>
        </w:tc>
      </w:tr>
      <w:tr w:rsidR="008A54AF" w14:paraId="4D69F6F6" w14:textId="77777777">
        <w:tc>
          <w:tcPr>
            <w:tcW w:w="2430" w:type="dxa"/>
            <w:tcMar>
              <w:top w:w="100" w:type="dxa"/>
              <w:left w:w="100" w:type="dxa"/>
              <w:bottom w:w="100" w:type="dxa"/>
              <w:right w:w="100" w:type="dxa"/>
            </w:tcMar>
            <w:vAlign w:val="center"/>
          </w:tcPr>
          <w:p w14:paraId="00000269" w14:textId="672F735E" w:rsidR="000B0F63" w:rsidRPr="00A61669" w:rsidRDefault="00C05D22" w:rsidP="00D403FC">
            <w:pPr>
              <w:pStyle w:val="TableInfo"/>
              <w:jc w:val="center"/>
              <w:rPr>
                <w:rFonts w:asciiTheme="majorHAnsi" w:hAnsiTheme="majorHAnsi" w:cstheme="majorHAnsi"/>
              </w:rPr>
            </w:pPr>
            <w:r w:rsidRPr="00A61669">
              <w:rPr>
                <w:rFonts w:asciiTheme="majorHAnsi" w:hAnsiTheme="majorHAnsi" w:cstheme="majorHAnsi"/>
                <w:color w:val="000000"/>
                <w:szCs w:val="18"/>
              </w:rPr>
              <w:t>3-year committed</w:t>
            </w:r>
          </w:p>
        </w:tc>
        <w:tc>
          <w:tcPr>
            <w:tcW w:w="2430" w:type="dxa"/>
            <w:tcMar>
              <w:top w:w="100" w:type="dxa"/>
              <w:left w:w="100" w:type="dxa"/>
              <w:bottom w:w="100" w:type="dxa"/>
              <w:right w:w="100" w:type="dxa"/>
            </w:tcMar>
            <w:vAlign w:val="center"/>
          </w:tcPr>
          <w:p w14:paraId="0000026B" w14:textId="47DE00B9" w:rsidR="000B0F63" w:rsidRPr="00A61669" w:rsidRDefault="0090722F" w:rsidP="00D403FC">
            <w:pPr>
              <w:pStyle w:val="TableInfo"/>
              <w:jc w:val="center"/>
              <w:rPr>
                <w:rFonts w:asciiTheme="majorHAnsi" w:hAnsiTheme="majorHAnsi" w:cstheme="majorHAnsi"/>
              </w:rPr>
            </w:pPr>
            <w:r w:rsidRPr="00A61669">
              <w:rPr>
                <w:rFonts w:asciiTheme="majorHAnsi" w:hAnsiTheme="majorHAnsi" w:cstheme="majorHAnsi"/>
                <w:color w:val="000000"/>
                <w:szCs w:val="18"/>
              </w:rPr>
              <w:t>£2,243,688</w:t>
            </w:r>
          </w:p>
        </w:tc>
        <w:tc>
          <w:tcPr>
            <w:tcW w:w="2430" w:type="dxa"/>
            <w:tcMar>
              <w:top w:w="100" w:type="dxa"/>
              <w:left w:w="100" w:type="dxa"/>
              <w:bottom w:w="100" w:type="dxa"/>
              <w:right w:w="100" w:type="dxa"/>
            </w:tcMar>
            <w:vAlign w:val="center"/>
          </w:tcPr>
          <w:p w14:paraId="0000026D" w14:textId="2ACE90E0" w:rsidR="000B0F63" w:rsidRPr="00A61669" w:rsidRDefault="0090722F" w:rsidP="00D403FC">
            <w:pPr>
              <w:pStyle w:val="TableInfo"/>
              <w:jc w:val="center"/>
              <w:rPr>
                <w:rFonts w:asciiTheme="majorHAnsi" w:hAnsiTheme="majorHAnsi" w:cstheme="majorHAnsi"/>
              </w:rPr>
            </w:pPr>
            <w:r w:rsidRPr="00A61669">
              <w:rPr>
                <w:rFonts w:asciiTheme="majorHAnsi" w:hAnsiTheme="majorHAnsi" w:cstheme="majorHAnsi"/>
                <w:color w:val="000000"/>
                <w:szCs w:val="18"/>
              </w:rPr>
              <w:t>£2,283,420</w:t>
            </w:r>
          </w:p>
        </w:tc>
        <w:tc>
          <w:tcPr>
            <w:tcW w:w="2430" w:type="dxa"/>
            <w:tcMar>
              <w:top w:w="100" w:type="dxa"/>
              <w:left w:w="100" w:type="dxa"/>
              <w:bottom w:w="100" w:type="dxa"/>
              <w:right w:w="100" w:type="dxa"/>
            </w:tcMar>
            <w:vAlign w:val="center"/>
          </w:tcPr>
          <w:p w14:paraId="0000026F" w14:textId="725664F4" w:rsidR="000B0F63" w:rsidRPr="00A61669" w:rsidRDefault="0090722F" w:rsidP="00D403FC">
            <w:pPr>
              <w:pStyle w:val="TableInfo"/>
              <w:jc w:val="center"/>
              <w:rPr>
                <w:rFonts w:asciiTheme="majorHAnsi" w:hAnsiTheme="majorHAnsi" w:cstheme="majorHAnsi"/>
              </w:rPr>
            </w:pPr>
            <w:r w:rsidRPr="00A61669">
              <w:rPr>
                <w:rFonts w:asciiTheme="majorHAnsi" w:hAnsiTheme="majorHAnsi" w:cstheme="majorHAnsi"/>
                <w:color w:val="000000"/>
                <w:szCs w:val="18"/>
              </w:rPr>
              <w:t>£3,298,572</w:t>
            </w:r>
          </w:p>
        </w:tc>
      </w:tr>
    </w:tbl>
    <w:p w14:paraId="4F0BDE63" w14:textId="77777777" w:rsidR="00D403FC" w:rsidRPr="00A61669" w:rsidRDefault="00D403FC" w:rsidP="00D403FC">
      <w:pPr>
        <w:rPr>
          <w:rFonts w:asciiTheme="majorHAnsi" w:hAnsiTheme="majorHAnsi" w:cstheme="majorHAnsi"/>
        </w:rPr>
      </w:pPr>
    </w:p>
    <w:p w14:paraId="63442F84" w14:textId="77777777" w:rsidR="00FD0D4A" w:rsidRPr="00A61669" w:rsidRDefault="00FD0D4A" w:rsidP="00FD0D4A">
      <w:pPr>
        <w:rPr>
          <w:rFonts w:asciiTheme="majorHAnsi" w:hAnsiTheme="majorHAnsi" w:cstheme="majorHAnsi"/>
        </w:rPr>
      </w:pPr>
      <w:r w:rsidRPr="00A61669">
        <w:rPr>
          <w:rFonts w:asciiTheme="majorHAnsi" w:hAnsiTheme="majorHAnsi" w:cstheme="majorHAnsi"/>
        </w:rPr>
        <w:t>On a 3-year committed basis in London, GCP is the cheapest by approximately 2% over AWS. Azure is approximately 47% more than GCP.</w:t>
      </w:r>
    </w:p>
    <w:p w14:paraId="49DFB7B7" w14:textId="77777777" w:rsidR="00FD0D4A" w:rsidRPr="00A61669" w:rsidRDefault="00FD0D4A" w:rsidP="00FD0D4A">
      <w:pPr>
        <w:rPr>
          <w:rFonts w:asciiTheme="majorHAnsi" w:hAnsiTheme="majorHAnsi" w:cstheme="majorHAnsi"/>
        </w:rPr>
      </w:pPr>
      <w:r w:rsidRPr="00A61669">
        <w:rPr>
          <w:rFonts w:asciiTheme="majorHAnsi" w:hAnsiTheme="majorHAnsi" w:cstheme="majorHAnsi"/>
        </w:rPr>
        <w:t>The cost spread is driven primarily by how aggressively each tool right-sized the workloads. Each tool took the same source data (3,038 servers, 14,165 vCPUs, 53,758 GB memory) and recommended a target vCPU allocation as a percentage of the original:</w:t>
      </w:r>
    </w:p>
    <w:p w14:paraId="2697BC60" w14:textId="77777777" w:rsidR="00FD0D4A" w:rsidRPr="00A61669" w:rsidRDefault="00FD0D4A" w:rsidP="00F57DAB">
      <w:pPr>
        <w:numPr>
          <w:ilvl w:val="0"/>
          <w:numId w:val="45"/>
        </w:numPr>
        <w:rPr>
          <w:rFonts w:asciiTheme="majorHAnsi" w:hAnsiTheme="majorHAnsi" w:cstheme="majorHAnsi"/>
        </w:rPr>
      </w:pPr>
      <w:r w:rsidRPr="00A61669">
        <w:rPr>
          <w:rFonts w:asciiTheme="majorHAnsi" w:hAnsiTheme="majorHAnsi" w:cstheme="majorHAnsi"/>
        </w:rPr>
        <w:t>GCP Migration Center: 32% of source vCPU (the most aggressive reduction, using custom instance shapes down to 1 vCPU)</w:t>
      </w:r>
    </w:p>
    <w:p w14:paraId="26228100" w14:textId="77777777" w:rsidR="00FD0D4A" w:rsidRPr="00A61669" w:rsidRDefault="00FD0D4A" w:rsidP="00F57DAB">
      <w:pPr>
        <w:numPr>
          <w:ilvl w:val="0"/>
          <w:numId w:val="45"/>
        </w:numPr>
        <w:rPr>
          <w:rFonts w:asciiTheme="majorHAnsi" w:hAnsiTheme="majorHAnsi" w:cstheme="majorHAnsi"/>
        </w:rPr>
      </w:pPr>
      <w:r w:rsidRPr="00A61669">
        <w:rPr>
          <w:rFonts w:asciiTheme="majorHAnsi" w:hAnsiTheme="majorHAnsi" w:cstheme="majorHAnsi"/>
        </w:rPr>
        <w:t>AWS Transform: 49% of source vCPU</w:t>
      </w:r>
    </w:p>
    <w:p w14:paraId="14BB937A" w14:textId="77777777" w:rsidR="00FD0D4A" w:rsidRPr="00A61669" w:rsidRDefault="00FD0D4A" w:rsidP="00F57DAB">
      <w:pPr>
        <w:numPr>
          <w:ilvl w:val="0"/>
          <w:numId w:val="45"/>
        </w:numPr>
        <w:rPr>
          <w:rFonts w:asciiTheme="majorHAnsi" w:hAnsiTheme="majorHAnsi" w:cstheme="majorHAnsi"/>
        </w:rPr>
      </w:pPr>
      <w:r w:rsidRPr="00A61669">
        <w:rPr>
          <w:rFonts w:asciiTheme="majorHAnsi" w:hAnsiTheme="majorHAnsi" w:cstheme="majorHAnsi"/>
        </w:rPr>
        <w:t>Azure Migrate: 53% of source vCPU (typically assigning F2s_v2 with a 2-vCPU minimum, because its sizing algorithm did not generate 1-vCPU SKUs for production workloads and F-series SKU availability with 3-year Reserved Instance coverage in London shapes the options available)</w:t>
      </w:r>
    </w:p>
    <w:p w14:paraId="2F763EE8" w14:textId="54B07F56" w:rsidR="005B10D2" w:rsidRPr="00A61669" w:rsidRDefault="005B10D2" w:rsidP="00E40261">
      <w:pPr>
        <w:jc w:val="both"/>
        <w:rPr>
          <w:rFonts w:asciiTheme="majorHAnsi" w:hAnsiTheme="majorHAnsi" w:cstheme="majorHAnsi"/>
        </w:rPr>
      </w:pPr>
      <w:r w:rsidRPr="00A61669">
        <w:rPr>
          <w:rFonts w:asciiTheme="majorHAnsi" w:hAnsiTheme="majorHAnsi" w:cstheme="majorHAnsi"/>
        </w:rPr>
        <w:t xml:space="preserve">Burstable VM families were excluded across all three clouds by team agreement as not suitable for production workloads. Whether GCP's 1-vCPU instances are appropriate for each workload is a Part </w:t>
      </w:r>
      <w:r w:rsidRPr="00A61669">
        <w:rPr>
          <w:rFonts w:asciiTheme="majorHAnsi" w:hAnsiTheme="majorHAnsi" w:cstheme="majorHAnsi"/>
        </w:rPr>
        <w:lastRenderedPageBreak/>
        <w:t>2 validation item. If some workloads require a 2-vCPU minimum in practice, GCP's cost advantage narrows.</w:t>
      </w:r>
    </w:p>
    <w:p w14:paraId="00000275" w14:textId="7B0FFD52"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SKU choices and workload mappings on any of the three clouds can </w:t>
      </w:r>
      <w:r w:rsidR="0013273F" w:rsidRPr="00A61669">
        <w:rPr>
          <w:rFonts w:asciiTheme="majorHAnsi" w:hAnsiTheme="majorHAnsi" w:cstheme="majorHAnsi"/>
        </w:rPr>
        <w:t xml:space="preserve">be </w:t>
      </w:r>
      <w:r w:rsidRPr="00A61669">
        <w:rPr>
          <w:rFonts w:asciiTheme="majorHAnsi" w:hAnsiTheme="majorHAnsi" w:cstheme="majorHAnsi"/>
        </w:rPr>
        <w:t>refine</w:t>
      </w:r>
      <w:r w:rsidR="0013273F" w:rsidRPr="00A61669">
        <w:rPr>
          <w:rFonts w:asciiTheme="majorHAnsi" w:hAnsiTheme="majorHAnsi" w:cstheme="majorHAnsi"/>
        </w:rPr>
        <w:t>d</w:t>
      </w:r>
      <w:r w:rsidRPr="00A61669">
        <w:rPr>
          <w:rFonts w:asciiTheme="majorHAnsi" w:hAnsiTheme="majorHAnsi" w:cstheme="majorHAnsi"/>
        </w:rPr>
        <w:t xml:space="preserve"> with deeper </w:t>
      </w:r>
      <w:r w:rsidR="00100959" w:rsidRPr="00A61669">
        <w:rPr>
          <w:rFonts w:asciiTheme="majorHAnsi" w:hAnsiTheme="majorHAnsi" w:cstheme="majorHAnsi"/>
        </w:rPr>
        <w:t>Part 2</w:t>
      </w:r>
      <w:r w:rsidRPr="00A61669">
        <w:rPr>
          <w:rFonts w:asciiTheme="majorHAnsi" w:hAnsiTheme="majorHAnsi" w:cstheme="majorHAnsi"/>
        </w:rPr>
        <w:t xml:space="preserve"> assessment. The numbers above are the right baseline for a </w:t>
      </w:r>
      <w:r w:rsidR="00100959" w:rsidRPr="00A61669">
        <w:rPr>
          <w:rFonts w:asciiTheme="majorHAnsi" w:hAnsiTheme="majorHAnsi" w:cstheme="majorHAnsi"/>
        </w:rPr>
        <w:t>Part 1</w:t>
      </w:r>
      <w:r w:rsidRPr="00A61669">
        <w:rPr>
          <w:rFonts w:asciiTheme="majorHAnsi" w:hAnsiTheme="majorHAnsi" w:cstheme="majorHAnsi"/>
        </w:rPr>
        <w:t xml:space="preserve"> independent comparison (same input, each cloud's own tool output, normalised against pricing APIs), not a ceiling or floor for each cloud's commercial position.</w:t>
      </w:r>
    </w:p>
    <w:p w14:paraId="00000277" w14:textId="00000278" w:rsidR="000B0F63" w:rsidRPr="00A61669" w:rsidRDefault="1BAB210A" w:rsidP="00E40261">
      <w:pPr>
        <w:pStyle w:val="Heading2"/>
        <w:jc w:val="both"/>
        <w:rPr>
          <w:rFonts w:asciiTheme="majorHAnsi" w:hAnsiTheme="majorHAnsi" w:cstheme="majorHAnsi"/>
        </w:rPr>
      </w:pPr>
      <w:bookmarkStart w:id="92" w:name="_Toc149"/>
      <w:bookmarkStart w:id="93" w:name="_Toc227770932"/>
      <w:r w:rsidRPr="00A61669">
        <w:rPr>
          <w:rFonts w:asciiTheme="majorHAnsi" w:hAnsiTheme="majorHAnsi" w:cstheme="majorHAnsi"/>
        </w:rPr>
        <w:t>Regional Comparison</w:t>
      </w:r>
      <w:bookmarkEnd w:id="92"/>
      <w:bookmarkEnd w:id="93"/>
    </w:p>
    <w:p w14:paraId="00000279" w14:textId="0000027A" w:rsidR="000B0F63" w:rsidRPr="00A61669" w:rsidRDefault="00C05D22" w:rsidP="00E40261">
      <w:pPr>
        <w:jc w:val="both"/>
        <w:rPr>
          <w:rFonts w:asciiTheme="majorHAnsi" w:hAnsiTheme="majorHAnsi" w:cstheme="majorHAnsi"/>
        </w:rPr>
      </w:pPr>
      <w:r w:rsidRPr="00A61669">
        <w:rPr>
          <w:rFonts w:asciiTheme="majorHAnsi" w:hAnsiTheme="majorHAnsi" w:cstheme="majorHAnsi"/>
        </w:rPr>
        <w:t>Three regions were assessed per cloud to give geographic context.</w:t>
      </w:r>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7E4C3F" w14:paraId="6722FDB6" w14:textId="77777777">
        <w:trPr>
          <w:cantSplit/>
        </w:trPr>
        <w:tc>
          <w:tcPr>
            <w:tcW w:w="2430" w:type="dxa"/>
            <w:shd w:val="clear" w:color="auto" w:fill="D9D9D9"/>
            <w:tcMar>
              <w:top w:w="100" w:type="dxa"/>
              <w:left w:w="100" w:type="dxa"/>
              <w:bottom w:w="100" w:type="dxa"/>
              <w:right w:w="100" w:type="dxa"/>
            </w:tcMar>
            <w:vAlign w:val="center"/>
          </w:tcPr>
          <w:p w14:paraId="0000027B" w14:textId="1BA48686"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b w:val="0"/>
              </w:rPr>
              <w:t>Region</w:t>
            </w:r>
          </w:p>
        </w:tc>
        <w:tc>
          <w:tcPr>
            <w:tcW w:w="2430" w:type="dxa"/>
            <w:shd w:val="clear" w:color="auto" w:fill="D9D9D9"/>
            <w:tcMar>
              <w:top w:w="100" w:type="dxa"/>
              <w:left w:w="100" w:type="dxa"/>
              <w:bottom w:w="100" w:type="dxa"/>
              <w:right w:w="100" w:type="dxa"/>
            </w:tcMar>
            <w:vAlign w:val="center"/>
          </w:tcPr>
          <w:p w14:paraId="0000027D" w14:textId="7D053D51"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b w:val="0"/>
              </w:rPr>
              <w:t>GCP</w:t>
            </w:r>
          </w:p>
        </w:tc>
        <w:tc>
          <w:tcPr>
            <w:tcW w:w="2430" w:type="dxa"/>
            <w:shd w:val="clear" w:color="auto" w:fill="D9D9D9"/>
            <w:tcMar>
              <w:top w:w="100" w:type="dxa"/>
              <w:left w:w="100" w:type="dxa"/>
              <w:bottom w:w="100" w:type="dxa"/>
              <w:right w:w="100" w:type="dxa"/>
            </w:tcMar>
            <w:vAlign w:val="center"/>
          </w:tcPr>
          <w:p w14:paraId="0000027F" w14:textId="3512371A"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b w:val="0"/>
              </w:rPr>
              <w:t>AWS</w:t>
            </w:r>
          </w:p>
        </w:tc>
        <w:tc>
          <w:tcPr>
            <w:tcW w:w="2430" w:type="dxa"/>
            <w:shd w:val="clear" w:color="auto" w:fill="D9D9D9"/>
            <w:tcMar>
              <w:top w:w="100" w:type="dxa"/>
              <w:left w:w="100" w:type="dxa"/>
              <w:bottom w:w="100" w:type="dxa"/>
              <w:right w:w="100" w:type="dxa"/>
            </w:tcMar>
            <w:vAlign w:val="center"/>
          </w:tcPr>
          <w:p w14:paraId="00000281" w14:textId="1418EC90"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b w:val="0"/>
              </w:rPr>
              <w:t>Azure</w:t>
            </w:r>
          </w:p>
        </w:tc>
      </w:tr>
      <w:tr w:rsidR="007E7776" w14:paraId="7C320D7A" w14:textId="77777777">
        <w:tc>
          <w:tcPr>
            <w:tcW w:w="2430" w:type="dxa"/>
            <w:tcMar>
              <w:top w:w="100" w:type="dxa"/>
              <w:left w:w="100" w:type="dxa"/>
              <w:bottom w:w="100" w:type="dxa"/>
              <w:right w:w="100" w:type="dxa"/>
            </w:tcMar>
            <w:vAlign w:val="center"/>
          </w:tcPr>
          <w:p w14:paraId="00000283" w14:textId="52B362FD"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color w:val="000000"/>
                <w:szCs w:val="18"/>
              </w:rPr>
              <w:t>London</w:t>
            </w:r>
          </w:p>
        </w:tc>
        <w:tc>
          <w:tcPr>
            <w:tcW w:w="2430" w:type="dxa"/>
            <w:tcMar>
              <w:top w:w="100" w:type="dxa"/>
              <w:left w:w="100" w:type="dxa"/>
              <w:bottom w:w="100" w:type="dxa"/>
              <w:right w:w="100" w:type="dxa"/>
            </w:tcMar>
            <w:vAlign w:val="center"/>
          </w:tcPr>
          <w:p w14:paraId="00000285" w14:textId="25358971" w:rsidR="000B0F63" w:rsidRPr="00A61669" w:rsidRDefault="000A1487" w:rsidP="00E40261">
            <w:pPr>
              <w:pStyle w:val="TableInfo"/>
              <w:jc w:val="both"/>
              <w:rPr>
                <w:rFonts w:asciiTheme="majorHAnsi" w:hAnsiTheme="majorHAnsi" w:cstheme="majorHAnsi"/>
              </w:rPr>
            </w:pPr>
            <w:r w:rsidRPr="00A61669">
              <w:rPr>
                <w:rFonts w:asciiTheme="majorHAnsi" w:hAnsiTheme="majorHAnsi" w:cstheme="majorHAnsi"/>
                <w:color w:val="000000"/>
                <w:szCs w:val="18"/>
              </w:rPr>
              <w:t>£2,243,688</w:t>
            </w:r>
          </w:p>
        </w:tc>
        <w:tc>
          <w:tcPr>
            <w:tcW w:w="2430" w:type="dxa"/>
            <w:tcMar>
              <w:top w:w="100" w:type="dxa"/>
              <w:left w:w="100" w:type="dxa"/>
              <w:bottom w:w="100" w:type="dxa"/>
              <w:right w:w="100" w:type="dxa"/>
            </w:tcMar>
            <w:vAlign w:val="center"/>
          </w:tcPr>
          <w:p w14:paraId="00000287" w14:textId="63D97A8F" w:rsidR="000B0F63" w:rsidRPr="00A61669" w:rsidRDefault="000A1487" w:rsidP="00E40261">
            <w:pPr>
              <w:pStyle w:val="TableInfo"/>
              <w:jc w:val="both"/>
              <w:rPr>
                <w:rFonts w:asciiTheme="majorHAnsi" w:hAnsiTheme="majorHAnsi" w:cstheme="majorHAnsi"/>
              </w:rPr>
            </w:pPr>
            <w:r w:rsidRPr="00A61669">
              <w:rPr>
                <w:rFonts w:asciiTheme="majorHAnsi" w:hAnsiTheme="majorHAnsi" w:cstheme="majorHAnsi"/>
                <w:color w:val="000000"/>
                <w:szCs w:val="18"/>
              </w:rPr>
              <w:t>£2,283,420</w:t>
            </w:r>
          </w:p>
        </w:tc>
        <w:tc>
          <w:tcPr>
            <w:tcW w:w="2430" w:type="dxa"/>
            <w:tcMar>
              <w:top w:w="100" w:type="dxa"/>
              <w:left w:w="100" w:type="dxa"/>
              <w:bottom w:w="100" w:type="dxa"/>
              <w:right w:w="100" w:type="dxa"/>
            </w:tcMar>
            <w:vAlign w:val="center"/>
          </w:tcPr>
          <w:p w14:paraId="00000289" w14:textId="293FAACC" w:rsidR="000B0F63" w:rsidRPr="00A61669" w:rsidRDefault="000A1487" w:rsidP="00E40261">
            <w:pPr>
              <w:pStyle w:val="TableInfo"/>
              <w:jc w:val="both"/>
              <w:rPr>
                <w:rFonts w:asciiTheme="majorHAnsi" w:hAnsiTheme="majorHAnsi" w:cstheme="majorHAnsi"/>
              </w:rPr>
            </w:pPr>
            <w:r w:rsidRPr="00A61669">
              <w:rPr>
                <w:rFonts w:asciiTheme="majorHAnsi" w:hAnsiTheme="majorHAnsi" w:cstheme="majorHAnsi"/>
                <w:color w:val="000000"/>
                <w:szCs w:val="18"/>
              </w:rPr>
              <w:t>£3,298,572</w:t>
            </w:r>
          </w:p>
        </w:tc>
      </w:tr>
      <w:tr w:rsidR="007E7776" w14:paraId="71F49403" w14:textId="77777777">
        <w:tc>
          <w:tcPr>
            <w:tcW w:w="2430" w:type="dxa"/>
            <w:tcMar>
              <w:top w:w="100" w:type="dxa"/>
              <w:left w:w="100" w:type="dxa"/>
              <w:bottom w:w="100" w:type="dxa"/>
              <w:right w:w="100" w:type="dxa"/>
            </w:tcMar>
            <w:vAlign w:val="center"/>
          </w:tcPr>
          <w:p w14:paraId="0000028B" w14:textId="4F5346DE"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color w:val="000000"/>
                <w:szCs w:val="18"/>
              </w:rPr>
              <w:t>NL / Ireland</w:t>
            </w:r>
          </w:p>
        </w:tc>
        <w:tc>
          <w:tcPr>
            <w:tcW w:w="2430" w:type="dxa"/>
            <w:tcMar>
              <w:top w:w="100" w:type="dxa"/>
              <w:left w:w="100" w:type="dxa"/>
              <w:bottom w:w="100" w:type="dxa"/>
              <w:right w:w="100" w:type="dxa"/>
            </w:tcMar>
            <w:vAlign w:val="center"/>
          </w:tcPr>
          <w:p w14:paraId="0000028D" w14:textId="11E66AAD" w:rsidR="000B0F63" w:rsidRPr="00A61669" w:rsidRDefault="000A1487" w:rsidP="00E40261">
            <w:pPr>
              <w:pStyle w:val="TableInfo"/>
              <w:jc w:val="both"/>
              <w:rPr>
                <w:rFonts w:asciiTheme="majorHAnsi" w:hAnsiTheme="majorHAnsi" w:cstheme="majorHAnsi"/>
              </w:rPr>
            </w:pPr>
            <w:r w:rsidRPr="00A61669">
              <w:rPr>
                <w:rFonts w:asciiTheme="majorHAnsi" w:hAnsiTheme="majorHAnsi" w:cstheme="majorHAnsi"/>
                <w:color w:val="000000"/>
                <w:szCs w:val="18"/>
              </w:rPr>
              <w:t>£2,051,016</w:t>
            </w:r>
          </w:p>
        </w:tc>
        <w:tc>
          <w:tcPr>
            <w:tcW w:w="2430" w:type="dxa"/>
            <w:tcMar>
              <w:top w:w="100" w:type="dxa"/>
              <w:left w:w="100" w:type="dxa"/>
              <w:bottom w:w="100" w:type="dxa"/>
              <w:right w:w="100" w:type="dxa"/>
            </w:tcMar>
            <w:vAlign w:val="center"/>
          </w:tcPr>
          <w:p w14:paraId="0000028F" w14:textId="6358E1C0" w:rsidR="000B0F63" w:rsidRPr="00A61669" w:rsidRDefault="000A1487" w:rsidP="00E40261">
            <w:pPr>
              <w:pStyle w:val="TableInfo"/>
              <w:jc w:val="both"/>
              <w:rPr>
                <w:rFonts w:asciiTheme="majorHAnsi" w:hAnsiTheme="majorHAnsi" w:cstheme="majorHAnsi"/>
              </w:rPr>
            </w:pPr>
            <w:r w:rsidRPr="00A61669">
              <w:rPr>
                <w:rFonts w:asciiTheme="majorHAnsi" w:hAnsiTheme="majorHAnsi" w:cstheme="majorHAnsi"/>
                <w:color w:val="000000"/>
                <w:szCs w:val="18"/>
              </w:rPr>
              <w:t>£2,175,576</w:t>
            </w:r>
          </w:p>
        </w:tc>
        <w:tc>
          <w:tcPr>
            <w:tcW w:w="2430" w:type="dxa"/>
            <w:tcMar>
              <w:top w:w="100" w:type="dxa"/>
              <w:left w:w="100" w:type="dxa"/>
              <w:bottom w:w="100" w:type="dxa"/>
              <w:right w:w="100" w:type="dxa"/>
            </w:tcMar>
            <w:vAlign w:val="center"/>
          </w:tcPr>
          <w:p w14:paraId="00000291" w14:textId="0A882EB4" w:rsidR="000B0F63" w:rsidRPr="00A61669" w:rsidRDefault="000A1487" w:rsidP="00E40261">
            <w:pPr>
              <w:pStyle w:val="TableInfo"/>
              <w:jc w:val="both"/>
              <w:rPr>
                <w:rFonts w:asciiTheme="majorHAnsi" w:hAnsiTheme="majorHAnsi" w:cstheme="majorHAnsi"/>
              </w:rPr>
            </w:pPr>
            <w:r w:rsidRPr="00A61669">
              <w:rPr>
                <w:rFonts w:asciiTheme="majorHAnsi" w:hAnsiTheme="majorHAnsi" w:cstheme="majorHAnsi"/>
                <w:color w:val="000000"/>
                <w:szCs w:val="18"/>
              </w:rPr>
              <w:t>£3,250,944</w:t>
            </w:r>
          </w:p>
        </w:tc>
      </w:tr>
      <w:tr w:rsidR="007E7776" w14:paraId="3BB17C0B" w14:textId="77777777">
        <w:tc>
          <w:tcPr>
            <w:tcW w:w="2430" w:type="dxa"/>
            <w:tcMar>
              <w:top w:w="100" w:type="dxa"/>
              <w:left w:w="100" w:type="dxa"/>
              <w:bottom w:w="100" w:type="dxa"/>
              <w:right w:w="100" w:type="dxa"/>
            </w:tcMar>
            <w:vAlign w:val="center"/>
          </w:tcPr>
          <w:p w14:paraId="00000293" w14:textId="162C4AC2"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color w:val="000000"/>
                <w:szCs w:val="18"/>
              </w:rPr>
              <w:t>Frankfurt</w:t>
            </w:r>
          </w:p>
        </w:tc>
        <w:tc>
          <w:tcPr>
            <w:tcW w:w="2430" w:type="dxa"/>
            <w:tcMar>
              <w:top w:w="100" w:type="dxa"/>
              <w:left w:w="100" w:type="dxa"/>
              <w:bottom w:w="100" w:type="dxa"/>
              <w:right w:w="100" w:type="dxa"/>
            </w:tcMar>
            <w:vAlign w:val="center"/>
          </w:tcPr>
          <w:p w14:paraId="00000295" w14:textId="4F973248" w:rsidR="000B0F63" w:rsidRPr="00A61669" w:rsidRDefault="000A1487" w:rsidP="00E40261">
            <w:pPr>
              <w:pStyle w:val="TableInfo"/>
              <w:jc w:val="both"/>
              <w:rPr>
                <w:rFonts w:asciiTheme="majorHAnsi" w:hAnsiTheme="majorHAnsi" w:cstheme="majorHAnsi"/>
              </w:rPr>
            </w:pPr>
            <w:r w:rsidRPr="00A61669">
              <w:rPr>
                <w:rFonts w:asciiTheme="majorHAnsi" w:hAnsiTheme="majorHAnsi" w:cstheme="majorHAnsi"/>
                <w:color w:val="000000"/>
                <w:szCs w:val="18"/>
              </w:rPr>
              <w:t>£2,270,220</w:t>
            </w:r>
          </w:p>
        </w:tc>
        <w:tc>
          <w:tcPr>
            <w:tcW w:w="2430" w:type="dxa"/>
            <w:tcMar>
              <w:top w:w="100" w:type="dxa"/>
              <w:left w:w="100" w:type="dxa"/>
              <w:bottom w:w="100" w:type="dxa"/>
              <w:right w:w="100" w:type="dxa"/>
            </w:tcMar>
            <w:vAlign w:val="center"/>
          </w:tcPr>
          <w:p w14:paraId="00000297" w14:textId="7670E046" w:rsidR="000B0F63" w:rsidRPr="00A61669" w:rsidRDefault="000A1487" w:rsidP="00E40261">
            <w:pPr>
              <w:pStyle w:val="TableInfo"/>
              <w:jc w:val="both"/>
              <w:rPr>
                <w:rFonts w:asciiTheme="majorHAnsi" w:hAnsiTheme="majorHAnsi" w:cstheme="majorHAnsi"/>
              </w:rPr>
            </w:pPr>
            <w:r w:rsidRPr="00A61669">
              <w:rPr>
                <w:rFonts w:asciiTheme="majorHAnsi" w:hAnsiTheme="majorHAnsi" w:cstheme="majorHAnsi"/>
                <w:color w:val="000000"/>
                <w:szCs w:val="18"/>
              </w:rPr>
              <w:t>£2,307,948</w:t>
            </w:r>
          </w:p>
        </w:tc>
        <w:tc>
          <w:tcPr>
            <w:tcW w:w="2430" w:type="dxa"/>
            <w:tcMar>
              <w:top w:w="100" w:type="dxa"/>
              <w:left w:w="100" w:type="dxa"/>
              <w:bottom w:w="100" w:type="dxa"/>
              <w:right w:w="100" w:type="dxa"/>
            </w:tcMar>
            <w:vAlign w:val="center"/>
          </w:tcPr>
          <w:p w14:paraId="00000299" w14:textId="257453A8" w:rsidR="000B0F63" w:rsidRPr="00A61669" w:rsidRDefault="000A1487" w:rsidP="00E40261">
            <w:pPr>
              <w:pStyle w:val="TableInfo"/>
              <w:jc w:val="both"/>
              <w:rPr>
                <w:rFonts w:asciiTheme="majorHAnsi" w:hAnsiTheme="majorHAnsi" w:cstheme="majorHAnsi"/>
              </w:rPr>
            </w:pPr>
            <w:r w:rsidRPr="00A61669">
              <w:rPr>
                <w:rFonts w:asciiTheme="majorHAnsi" w:hAnsiTheme="majorHAnsi" w:cstheme="majorHAnsi"/>
                <w:color w:val="000000"/>
                <w:szCs w:val="18"/>
              </w:rPr>
              <w:t>£3,327,984</w:t>
            </w:r>
          </w:p>
        </w:tc>
      </w:tr>
    </w:tbl>
    <w:p w14:paraId="30E35319" w14:textId="77777777" w:rsidR="00E62A32" w:rsidRPr="00A61669" w:rsidRDefault="00E62A32" w:rsidP="00E40261">
      <w:pPr>
        <w:jc w:val="both"/>
        <w:rPr>
          <w:rFonts w:asciiTheme="majorHAnsi" w:hAnsiTheme="majorHAnsi" w:cstheme="majorHAnsi"/>
        </w:rPr>
      </w:pPr>
    </w:p>
    <w:p w14:paraId="0000029B" w14:textId="0000029C" w:rsidR="000B0F63" w:rsidRPr="00A61669" w:rsidRDefault="00C05D22" w:rsidP="00E40261">
      <w:pPr>
        <w:jc w:val="both"/>
        <w:rPr>
          <w:rFonts w:asciiTheme="majorHAnsi" w:hAnsiTheme="majorHAnsi" w:cstheme="majorHAnsi"/>
        </w:rPr>
      </w:pPr>
      <w:r w:rsidRPr="00A61669">
        <w:rPr>
          <w:rFonts w:asciiTheme="majorHAnsi" w:hAnsiTheme="majorHAnsi" w:cstheme="majorHAnsi"/>
        </w:rPr>
        <w:t>NL / Ireland is the cheapest across all three clouds. London is approximately 9% more expensive than NL / Ireland for GCP (this is a consistent pattern, not a DMG-specific premium).</w:t>
      </w:r>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7E4C3F" w14:paraId="1CDBBFEF" w14:textId="77777777" w:rsidTr="1524DEBB">
        <w:trPr>
          <w:cantSplit/>
        </w:trPr>
        <w:tc>
          <w:tcPr>
            <w:tcW w:w="2430" w:type="dxa"/>
            <w:shd w:val="clear" w:color="auto" w:fill="D9D9D9" w:themeFill="background1" w:themeFillShade="D9"/>
            <w:tcMar>
              <w:top w:w="100" w:type="dxa"/>
              <w:left w:w="100" w:type="dxa"/>
              <w:bottom w:w="100" w:type="dxa"/>
              <w:right w:w="100" w:type="dxa"/>
            </w:tcMar>
          </w:tcPr>
          <w:p w14:paraId="0000029D" w14:textId="0000029E"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Purpose</w:t>
            </w:r>
          </w:p>
        </w:tc>
        <w:tc>
          <w:tcPr>
            <w:tcW w:w="2430" w:type="dxa"/>
            <w:shd w:val="clear" w:color="auto" w:fill="D9D9D9" w:themeFill="background1" w:themeFillShade="D9"/>
            <w:tcMar>
              <w:top w:w="100" w:type="dxa"/>
              <w:left w:w="100" w:type="dxa"/>
              <w:bottom w:w="100" w:type="dxa"/>
              <w:right w:w="100" w:type="dxa"/>
            </w:tcMar>
          </w:tcPr>
          <w:p w14:paraId="0000029F" w14:textId="000002A0"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GCP region</w:t>
            </w:r>
          </w:p>
        </w:tc>
        <w:tc>
          <w:tcPr>
            <w:tcW w:w="2430" w:type="dxa"/>
            <w:shd w:val="clear" w:color="auto" w:fill="D9D9D9" w:themeFill="background1" w:themeFillShade="D9"/>
            <w:tcMar>
              <w:top w:w="100" w:type="dxa"/>
              <w:left w:w="100" w:type="dxa"/>
              <w:bottom w:w="100" w:type="dxa"/>
              <w:right w:w="100" w:type="dxa"/>
            </w:tcMar>
          </w:tcPr>
          <w:p w14:paraId="000002A1" w14:textId="000002A2"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AWS region</w:t>
            </w:r>
          </w:p>
        </w:tc>
        <w:tc>
          <w:tcPr>
            <w:tcW w:w="2430" w:type="dxa"/>
            <w:shd w:val="clear" w:color="auto" w:fill="D9D9D9" w:themeFill="background1" w:themeFillShade="D9"/>
            <w:tcMar>
              <w:top w:w="100" w:type="dxa"/>
              <w:left w:w="100" w:type="dxa"/>
              <w:bottom w:w="100" w:type="dxa"/>
              <w:right w:w="100" w:type="dxa"/>
            </w:tcMar>
          </w:tcPr>
          <w:p w14:paraId="000002A3" w14:textId="000002A4"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Azure region</w:t>
            </w:r>
          </w:p>
        </w:tc>
      </w:tr>
      <w:tr w:rsidR="007E7776" w14:paraId="26738ABA" w14:textId="77777777" w:rsidTr="1524DEBB">
        <w:tc>
          <w:tcPr>
            <w:tcW w:w="2430" w:type="dxa"/>
            <w:tcMar>
              <w:top w:w="100" w:type="dxa"/>
              <w:left w:w="100" w:type="dxa"/>
              <w:bottom w:w="100" w:type="dxa"/>
              <w:right w:w="100" w:type="dxa"/>
            </w:tcMar>
          </w:tcPr>
          <w:p w14:paraId="000002A5" w14:textId="000002A6"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Primary</w:t>
            </w:r>
          </w:p>
        </w:tc>
        <w:tc>
          <w:tcPr>
            <w:tcW w:w="2430" w:type="dxa"/>
            <w:tcMar>
              <w:top w:w="100" w:type="dxa"/>
              <w:left w:w="100" w:type="dxa"/>
              <w:bottom w:w="100" w:type="dxa"/>
              <w:right w:w="100" w:type="dxa"/>
            </w:tcMar>
          </w:tcPr>
          <w:p w14:paraId="000002A7" w14:textId="000002A8"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europe-west2 (London)</w:t>
            </w:r>
          </w:p>
        </w:tc>
        <w:tc>
          <w:tcPr>
            <w:tcW w:w="2430" w:type="dxa"/>
            <w:tcMar>
              <w:top w:w="100" w:type="dxa"/>
              <w:left w:w="100" w:type="dxa"/>
              <w:bottom w:w="100" w:type="dxa"/>
              <w:right w:w="100" w:type="dxa"/>
            </w:tcMar>
          </w:tcPr>
          <w:p w14:paraId="000002A9" w14:textId="000002AA"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eu-west-2 (London)</w:t>
            </w:r>
          </w:p>
        </w:tc>
        <w:tc>
          <w:tcPr>
            <w:tcW w:w="2430" w:type="dxa"/>
            <w:tcMar>
              <w:top w:w="100" w:type="dxa"/>
              <w:left w:w="100" w:type="dxa"/>
              <w:bottom w:w="100" w:type="dxa"/>
              <w:right w:w="100" w:type="dxa"/>
            </w:tcMar>
          </w:tcPr>
          <w:p w14:paraId="000002AB" w14:textId="218AD75E" w:rsidR="000B0F63" w:rsidRPr="00A61669" w:rsidRDefault="009942C0" w:rsidP="00E40261">
            <w:pPr>
              <w:pStyle w:val="TableInfo"/>
              <w:jc w:val="both"/>
              <w:rPr>
                <w:rFonts w:asciiTheme="majorHAnsi" w:hAnsiTheme="majorHAnsi" w:cstheme="majorHAnsi"/>
              </w:rPr>
            </w:pPr>
            <w:r w:rsidRPr="00A61669">
              <w:rPr>
                <w:rFonts w:asciiTheme="majorHAnsi" w:hAnsiTheme="majorHAnsi" w:cstheme="majorHAnsi"/>
                <w:lang w:val="en-GB"/>
              </w:rPr>
              <w:t>U</w:t>
            </w:r>
            <w:r w:rsidR="00C05D22" w:rsidRPr="00A61669">
              <w:rPr>
                <w:rFonts w:asciiTheme="majorHAnsi" w:hAnsiTheme="majorHAnsi" w:cstheme="majorHAnsi"/>
                <w:lang w:val="en-GB"/>
              </w:rPr>
              <w:t>ksouth</w:t>
            </w:r>
            <w:r w:rsidRPr="00A61669">
              <w:rPr>
                <w:rFonts w:asciiTheme="majorHAnsi" w:hAnsiTheme="majorHAnsi" w:cstheme="majorHAnsi"/>
                <w:lang w:val="en-GB"/>
              </w:rPr>
              <w:t xml:space="preserve"> (London)</w:t>
            </w:r>
          </w:p>
        </w:tc>
      </w:tr>
      <w:tr w:rsidR="007E7776" w14:paraId="39F78ABF" w14:textId="77777777" w:rsidTr="1524DEBB">
        <w:tc>
          <w:tcPr>
            <w:tcW w:w="2430" w:type="dxa"/>
            <w:tcMar>
              <w:top w:w="100" w:type="dxa"/>
              <w:left w:w="100" w:type="dxa"/>
              <w:bottom w:w="100" w:type="dxa"/>
              <w:right w:w="100" w:type="dxa"/>
            </w:tcMar>
          </w:tcPr>
          <w:p w14:paraId="000002AD" w14:textId="000002AE"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Secondary</w:t>
            </w:r>
          </w:p>
        </w:tc>
        <w:tc>
          <w:tcPr>
            <w:tcW w:w="2430" w:type="dxa"/>
            <w:tcMar>
              <w:top w:w="100" w:type="dxa"/>
              <w:left w:w="100" w:type="dxa"/>
              <w:bottom w:w="100" w:type="dxa"/>
              <w:right w:w="100" w:type="dxa"/>
            </w:tcMar>
          </w:tcPr>
          <w:p w14:paraId="000002AF" w14:textId="000002B0"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europe-west4 (Netherlands)</w:t>
            </w:r>
          </w:p>
        </w:tc>
        <w:tc>
          <w:tcPr>
            <w:tcW w:w="2430" w:type="dxa"/>
            <w:tcMar>
              <w:top w:w="100" w:type="dxa"/>
              <w:left w:w="100" w:type="dxa"/>
              <w:bottom w:w="100" w:type="dxa"/>
              <w:right w:w="100" w:type="dxa"/>
            </w:tcMar>
          </w:tcPr>
          <w:p w14:paraId="000002B1" w14:textId="000002B2"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eu-west-1 (Ireland)</w:t>
            </w:r>
          </w:p>
        </w:tc>
        <w:tc>
          <w:tcPr>
            <w:tcW w:w="2430" w:type="dxa"/>
            <w:tcMar>
              <w:top w:w="100" w:type="dxa"/>
              <w:left w:w="100" w:type="dxa"/>
              <w:bottom w:w="100" w:type="dxa"/>
              <w:right w:w="100" w:type="dxa"/>
            </w:tcMar>
          </w:tcPr>
          <w:p w14:paraId="000002B3" w14:textId="000002B4"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lang w:val="en-GB"/>
              </w:rPr>
              <w:t>northeurope (Ireland)</w:t>
            </w:r>
          </w:p>
        </w:tc>
      </w:tr>
      <w:tr w:rsidR="007E7776" w14:paraId="59DB5850" w14:textId="77777777" w:rsidTr="1524DEBB">
        <w:trPr>
          <w:trHeight w:val="16"/>
        </w:trPr>
        <w:tc>
          <w:tcPr>
            <w:tcW w:w="2430" w:type="dxa"/>
            <w:tcMar>
              <w:top w:w="100" w:type="dxa"/>
              <w:left w:w="100" w:type="dxa"/>
              <w:bottom w:w="100" w:type="dxa"/>
              <w:right w:w="100" w:type="dxa"/>
            </w:tcMar>
          </w:tcPr>
          <w:p w14:paraId="000002B5" w14:textId="000002B6"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Tertiary</w:t>
            </w:r>
          </w:p>
        </w:tc>
        <w:tc>
          <w:tcPr>
            <w:tcW w:w="2430" w:type="dxa"/>
            <w:tcMar>
              <w:top w:w="100" w:type="dxa"/>
              <w:left w:w="100" w:type="dxa"/>
              <w:bottom w:w="100" w:type="dxa"/>
              <w:right w:w="100" w:type="dxa"/>
            </w:tcMar>
          </w:tcPr>
          <w:p w14:paraId="000002B7" w14:textId="000002B8"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europe-west3 (Frankfurt)</w:t>
            </w:r>
          </w:p>
        </w:tc>
        <w:tc>
          <w:tcPr>
            <w:tcW w:w="2430" w:type="dxa"/>
            <w:tcMar>
              <w:top w:w="100" w:type="dxa"/>
              <w:left w:w="100" w:type="dxa"/>
              <w:bottom w:w="100" w:type="dxa"/>
              <w:right w:w="100" w:type="dxa"/>
            </w:tcMar>
          </w:tcPr>
          <w:p w14:paraId="000002B9" w14:textId="000002BA"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eu-central-1 (Frankfurt)</w:t>
            </w:r>
          </w:p>
        </w:tc>
        <w:tc>
          <w:tcPr>
            <w:tcW w:w="2430" w:type="dxa"/>
            <w:tcMar>
              <w:top w:w="100" w:type="dxa"/>
              <w:left w:w="100" w:type="dxa"/>
              <w:bottom w:w="100" w:type="dxa"/>
              <w:right w:w="100" w:type="dxa"/>
            </w:tcMar>
          </w:tcPr>
          <w:p w14:paraId="000002BB" w14:textId="6C68EBBB" w:rsidR="000B0F63" w:rsidRPr="00A61669" w:rsidRDefault="1BAB210A" w:rsidP="00E40261">
            <w:pPr>
              <w:pStyle w:val="TableInfo"/>
              <w:jc w:val="both"/>
              <w:rPr>
                <w:rFonts w:asciiTheme="majorHAnsi" w:hAnsiTheme="majorHAnsi" w:cstheme="majorHAnsi"/>
              </w:rPr>
            </w:pPr>
            <w:r w:rsidRPr="00A61669">
              <w:rPr>
                <w:rFonts w:asciiTheme="majorHAnsi" w:hAnsiTheme="majorHAnsi" w:cstheme="majorHAnsi"/>
                <w:lang w:val="en-GB"/>
              </w:rPr>
              <w:t>germanywestcentral</w:t>
            </w:r>
            <w:r w:rsidR="009942C0" w:rsidRPr="00A61669">
              <w:rPr>
                <w:rFonts w:asciiTheme="majorHAnsi" w:hAnsiTheme="majorHAnsi" w:cstheme="majorHAnsi"/>
                <w:lang w:val="en-GB"/>
              </w:rPr>
              <w:t xml:space="preserve"> (Frankfurt)</w:t>
            </w:r>
          </w:p>
        </w:tc>
      </w:tr>
    </w:tbl>
    <w:p w14:paraId="50B74FDC" w14:textId="77777777" w:rsidR="00E62A32" w:rsidRPr="00A61669" w:rsidRDefault="00E62A32" w:rsidP="00E40261">
      <w:pPr>
        <w:jc w:val="both"/>
        <w:rPr>
          <w:rFonts w:asciiTheme="majorHAnsi" w:hAnsiTheme="majorHAnsi" w:cstheme="majorHAnsi"/>
        </w:rPr>
      </w:pPr>
    </w:p>
    <w:p w14:paraId="000002BD" w14:textId="02879EAF"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GCP does not have an Ireland region so Netherlands is used as the closest equivalent. London remains the primary choice given regulatory and latency considerations for </w:t>
      </w:r>
      <w:r w:rsidR="007415CD" w:rsidRPr="00A61669">
        <w:rPr>
          <w:rFonts w:asciiTheme="majorHAnsi" w:hAnsiTheme="majorHAnsi" w:cstheme="majorHAnsi"/>
        </w:rPr>
        <w:t>DMG Media’s</w:t>
      </w:r>
      <w:r w:rsidRPr="00A61669">
        <w:rPr>
          <w:rFonts w:asciiTheme="majorHAnsi" w:hAnsiTheme="majorHAnsi" w:cstheme="majorHAnsi"/>
        </w:rPr>
        <w:t xml:space="preserve"> user base.</w:t>
      </w:r>
    </w:p>
    <w:p w14:paraId="000002BF" w14:textId="2171F65B" w:rsidR="000B0F63" w:rsidRPr="00A61669" w:rsidRDefault="1BAB210A" w:rsidP="00E40261">
      <w:pPr>
        <w:pStyle w:val="Heading2"/>
        <w:jc w:val="both"/>
        <w:rPr>
          <w:rFonts w:asciiTheme="majorHAnsi" w:hAnsiTheme="majorHAnsi" w:cstheme="majorHAnsi"/>
        </w:rPr>
      </w:pPr>
      <w:bookmarkStart w:id="94" w:name="_Toc150"/>
      <w:bookmarkStart w:id="95" w:name="_Toc227770933"/>
      <w:r w:rsidRPr="00A61669">
        <w:rPr>
          <w:rFonts w:asciiTheme="majorHAnsi" w:hAnsiTheme="majorHAnsi" w:cstheme="majorHAnsi"/>
        </w:rPr>
        <w:t xml:space="preserve">Component Breakdown (London, PAYG, </w:t>
      </w:r>
      <w:r w:rsidR="001F1D1F">
        <w:rPr>
          <w:rFonts w:asciiTheme="majorHAnsi" w:hAnsiTheme="majorHAnsi" w:cstheme="majorHAnsi"/>
        </w:rPr>
        <w:t>Annually</w:t>
      </w:r>
      <w:r w:rsidRPr="00A61669">
        <w:rPr>
          <w:rFonts w:asciiTheme="majorHAnsi" w:hAnsiTheme="majorHAnsi" w:cstheme="majorHAnsi"/>
        </w:rPr>
        <w:t>)</w:t>
      </w:r>
      <w:bookmarkEnd w:id="94"/>
      <w:bookmarkEnd w:id="95"/>
    </w:p>
    <w:p w14:paraId="000002C1" w14:textId="000002C2" w:rsidR="000B0F63" w:rsidRPr="00A61669" w:rsidRDefault="00C05D22" w:rsidP="00E40261">
      <w:pPr>
        <w:jc w:val="both"/>
        <w:rPr>
          <w:rFonts w:asciiTheme="majorHAnsi" w:hAnsiTheme="majorHAnsi" w:cstheme="majorHAnsi"/>
        </w:rPr>
      </w:pPr>
      <w:r w:rsidRPr="00A61669">
        <w:rPr>
          <w:rFonts w:asciiTheme="majorHAnsi" w:hAnsiTheme="majorHAnsi" w:cstheme="majorHAnsi"/>
        </w:rPr>
        <w:t>This table explains where the cost differences come from.</w:t>
      </w:r>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7E4C3F" w14:paraId="22498146" w14:textId="77777777">
        <w:trPr>
          <w:cantSplit/>
        </w:trPr>
        <w:tc>
          <w:tcPr>
            <w:tcW w:w="2430" w:type="dxa"/>
            <w:shd w:val="clear" w:color="auto" w:fill="D9D9D9"/>
            <w:tcMar>
              <w:top w:w="100" w:type="dxa"/>
              <w:left w:w="100" w:type="dxa"/>
              <w:bottom w:w="100" w:type="dxa"/>
              <w:right w:w="100" w:type="dxa"/>
            </w:tcMar>
            <w:vAlign w:val="center"/>
          </w:tcPr>
          <w:p w14:paraId="000002C3" w14:textId="6A7C9BB4"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b w:val="0"/>
              </w:rPr>
              <w:t>Component</w:t>
            </w:r>
          </w:p>
        </w:tc>
        <w:tc>
          <w:tcPr>
            <w:tcW w:w="2430" w:type="dxa"/>
            <w:shd w:val="clear" w:color="auto" w:fill="D9D9D9"/>
            <w:tcMar>
              <w:top w:w="100" w:type="dxa"/>
              <w:left w:w="100" w:type="dxa"/>
              <w:bottom w:w="100" w:type="dxa"/>
              <w:right w:w="100" w:type="dxa"/>
            </w:tcMar>
            <w:vAlign w:val="center"/>
          </w:tcPr>
          <w:p w14:paraId="000002C5" w14:textId="23268BF5"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b w:val="0"/>
              </w:rPr>
              <w:t>GCP</w:t>
            </w:r>
          </w:p>
        </w:tc>
        <w:tc>
          <w:tcPr>
            <w:tcW w:w="2430" w:type="dxa"/>
            <w:shd w:val="clear" w:color="auto" w:fill="D9D9D9"/>
            <w:tcMar>
              <w:top w:w="100" w:type="dxa"/>
              <w:left w:w="100" w:type="dxa"/>
              <w:bottom w:w="100" w:type="dxa"/>
              <w:right w:w="100" w:type="dxa"/>
            </w:tcMar>
            <w:vAlign w:val="center"/>
          </w:tcPr>
          <w:p w14:paraId="000002C7" w14:textId="190F130D"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b w:val="0"/>
              </w:rPr>
              <w:t>AWS</w:t>
            </w:r>
          </w:p>
        </w:tc>
        <w:tc>
          <w:tcPr>
            <w:tcW w:w="2430" w:type="dxa"/>
            <w:shd w:val="clear" w:color="auto" w:fill="D9D9D9"/>
            <w:tcMar>
              <w:top w:w="100" w:type="dxa"/>
              <w:left w:w="100" w:type="dxa"/>
              <w:bottom w:w="100" w:type="dxa"/>
              <w:right w:w="100" w:type="dxa"/>
            </w:tcMar>
            <w:vAlign w:val="center"/>
          </w:tcPr>
          <w:p w14:paraId="000002C9" w14:textId="180FC1E2"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b w:val="0"/>
              </w:rPr>
              <w:t>Azure</w:t>
            </w:r>
          </w:p>
        </w:tc>
      </w:tr>
      <w:tr w:rsidR="007E7776" w14:paraId="2F5EF586" w14:textId="77777777">
        <w:tc>
          <w:tcPr>
            <w:tcW w:w="2430" w:type="dxa"/>
            <w:tcMar>
              <w:top w:w="100" w:type="dxa"/>
              <w:left w:w="100" w:type="dxa"/>
              <w:bottom w:w="100" w:type="dxa"/>
              <w:right w:w="100" w:type="dxa"/>
            </w:tcMar>
            <w:vAlign w:val="center"/>
          </w:tcPr>
          <w:p w14:paraId="000002CB" w14:textId="6901FA5A"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color w:val="000000"/>
                <w:szCs w:val="18"/>
              </w:rPr>
              <w:t>Compute</w:t>
            </w:r>
          </w:p>
        </w:tc>
        <w:tc>
          <w:tcPr>
            <w:tcW w:w="2430" w:type="dxa"/>
            <w:tcMar>
              <w:top w:w="100" w:type="dxa"/>
              <w:left w:w="100" w:type="dxa"/>
              <w:bottom w:w="100" w:type="dxa"/>
              <w:right w:w="100" w:type="dxa"/>
            </w:tcMar>
            <w:vAlign w:val="center"/>
          </w:tcPr>
          <w:p w14:paraId="000002CD" w14:textId="4AFD5CC9" w:rsidR="000B0F63" w:rsidRPr="00A61669" w:rsidRDefault="008132E4" w:rsidP="00E40261">
            <w:pPr>
              <w:pStyle w:val="TableInfo"/>
              <w:jc w:val="both"/>
              <w:rPr>
                <w:rFonts w:asciiTheme="majorHAnsi" w:hAnsiTheme="majorHAnsi" w:cstheme="majorHAnsi"/>
              </w:rPr>
            </w:pPr>
            <w:r w:rsidRPr="00A61669">
              <w:rPr>
                <w:rFonts w:asciiTheme="majorHAnsi" w:hAnsiTheme="majorHAnsi" w:cstheme="majorHAnsi"/>
                <w:color w:val="000000"/>
                <w:szCs w:val="18"/>
              </w:rPr>
              <w:t>£2,352,300</w:t>
            </w:r>
          </w:p>
        </w:tc>
        <w:tc>
          <w:tcPr>
            <w:tcW w:w="2430" w:type="dxa"/>
            <w:tcMar>
              <w:top w:w="100" w:type="dxa"/>
              <w:left w:w="100" w:type="dxa"/>
              <w:bottom w:w="100" w:type="dxa"/>
              <w:right w:w="100" w:type="dxa"/>
            </w:tcMar>
            <w:vAlign w:val="center"/>
          </w:tcPr>
          <w:p w14:paraId="000002CF" w14:textId="6D255593" w:rsidR="000B0F63" w:rsidRPr="00A61669" w:rsidRDefault="008132E4" w:rsidP="00E40261">
            <w:pPr>
              <w:pStyle w:val="TableInfo"/>
              <w:jc w:val="both"/>
              <w:rPr>
                <w:rFonts w:asciiTheme="majorHAnsi" w:hAnsiTheme="majorHAnsi" w:cstheme="majorHAnsi"/>
              </w:rPr>
            </w:pPr>
            <w:r w:rsidRPr="00A61669">
              <w:rPr>
                <w:rFonts w:asciiTheme="majorHAnsi" w:hAnsiTheme="majorHAnsi" w:cstheme="majorHAnsi"/>
                <w:color w:val="000000"/>
                <w:szCs w:val="18"/>
              </w:rPr>
              <w:t>£2,746,884</w:t>
            </w:r>
          </w:p>
        </w:tc>
        <w:tc>
          <w:tcPr>
            <w:tcW w:w="2430" w:type="dxa"/>
            <w:tcMar>
              <w:top w:w="100" w:type="dxa"/>
              <w:left w:w="100" w:type="dxa"/>
              <w:bottom w:w="100" w:type="dxa"/>
              <w:right w:w="100" w:type="dxa"/>
            </w:tcMar>
            <w:vAlign w:val="center"/>
          </w:tcPr>
          <w:p w14:paraId="000002D1" w14:textId="531B808B" w:rsidR="000B0F63" w:rsidRPr="00A61669" w:rsidRDefault="008132E4" w:rsidP="00E40261">
            <w:pPr>
              <w:pStyle w:val="TableInfo"/>
              <w:jc w:val="both"/>
              <w:rPr>
                <w:rFonts w:asciiTheme="majorHAnsi" w:hAnsiTheme="majorHAnsi" w:cstheme="majorHAnsi"/>
              </w:rPr>
            </w:pPr>
            <w:r w:rsidRPr="00A61669">
              <w:rPr>
                <w:rFonts w:asciiTheme="majorHAnsi" w:hAnsiTheme="majorHAnsi" w:cstheme="majorHAnsi"/>
                <w:color w:val="000000"/>
                <w:szCs w:val="18"/>
              </w:rPr>
              <w:t>£2,740,920</w:t>
            </w:r>
          </w:p>
        </w:tc>
      </w:tr>
      <w:tr w:rsidR="007E7776" w14:paraId="0FB8A058" w14:textId="77777777">
        <w:tc>
          <w:tcPr>
            <w:tcW w:w="2430" w:type="dxa"/>
            <w:tcMar>
              <w:top w:w="100" w:type="dxa"/>
              <w:left w:w="100" w:type="dxa"/>
              <w:bottom w:w="100" w:type="dxa"/>
              <w:right w:w="100" w:type="dxa"/>
            </w:tcMar>
            <w:vAlign w:val="center"/>
          </w:tcPr>
          <w:p w14:paraId="000002D3" w14:textId="04F682C5"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color w:val="000000"/>
                <w:szCs w:val="18"/>
              </w:rPr>
              <w:t>Storage</w:t>
            </w:r>
          </w:p>
        </w:tc>
        <w:tc>
          <w:tcPr>
            <w:tcW w:w="2430" w:type="dxa"/>
            <w:tcMar>
              <w:top w:w="100" w:type="dxa"/>
              <w:left w:w="100" w:type="dxa"/>
              <w:bottom w:w="100" w:type="dxa"/>
              <w:right w:w="100" w:type="dxa"/>
            </w:tcMar>
            <w:vAlign w:val="center"/>
          </w:tcPr>
          <w:p w14:paraId="000002D5" w14:textId="20A6100E" w:rsidR="000B0F63" w:rsidRPr="00A61669" w:rsidRDefault="008132E4" w:rsidP="00E40261">
            <w:pPr>
              <w:pStyle w:val="TableInfo"/>
              <w:jc w:val="both"/>
              <w:rPr>
                <w:rFonts w:asciiTheme="majorHAnsi" w:hAnsiTheme="majorHAnsi" w:cstheme="majorHAnsi"/>
              </w:rPr>
            </w:pPr>
            <w:r w:rsidRPr="00A61669">
              <w:rPr>
                <w:rFonts w:asciiTheme="majorHAnsi" w:hAnsiTheme="majorHAnsi" w:cstheme="majorHAnsi"/>
                <w:color w:val="000000"/>
                <w:szCs w:val="18"/>
              </w:rPr>
              <w:t>£1,092,060</w:t>
            </w:r>
          </w:p>
        </w:tc>
        <w:tc>
          <w:tcPr>
            <w:tcW w:w="2430" w:type="dxa"/>
            <w:tcMar>
              <w:top w:w="100" w:type="dxa"/>
              <w:left w:w="100" w:type="dxa"/>
              <w:bottom w:w="100" w:type="dxa"/>
              <w:right w:w="100" w:type="dxa"/>
            </w:tcMar>
            <w:vAlign w:val="center"/>
          </w:tcPr>
          <w:p w14:paraId="000002D7" w14:textId="52DF878D" w:rsidR="000B0F63" w:rsidRPr="00A61669" w:rsidRDefault="008132E4" w:rsidP="00E40261">
            <w:pPr>
              <w:pStyle w:val="TableInfo"/>
              <w:jc w:val="both"/>
              <w:rPr>
                <w:rFonts w:asciiTheme="majorHAnsi" w:hAnsiTheme="majorHAnsi" w:cstheme="majorHAnsi"/>
              </w:rPr>
            </w:pPr>
            <w:r w:rsidRPr="00A61669">
              <w:rPr>
                <w:rFonts w:asciiTheme="majorHAnsi" w:hAnsiTheme="majorHAnsi" w:cstheme="majorHAnsi"/>
                <w:color w:val="000000"/>
                <w:szCs w:val="18"/>
              </w:rPr>
              <w:t>£763,044</w:t>
            </w:r>
          </w:p>
        </w:tc>
        <w:tc>
          <w:tcPr>
            <w:tcW w:w="2430" w:type="dxa"/>
            <w:tcMar>
              <w:top w:w="100" w:type="dxa"/>
              <w:left w:w="100" w:type="dxa"/>
              <w:bottom w:w="100" w:type="dxa"/>
              <w:right w:w="100" w:type="dxa"/>
            </w:tcMar>
            <w:vAlign w:val="center"/>
          </w:tcPr>
          <w:p w14:paraId="000002D9" w14:textId="5466637B" w:rsidR="000B0F63" w:rsidRPr="00A61669" w:rsidRDefault="008132E4" w:rsidP="00E40261">
            <w:pPr>
              <w:pStyle w:val="TableInfo"/>
              <w:jc w:val="both"/>
              <w:rPr>
                <w:rFonts w:asciiTheme="majorHAnsi" w:hAnsiTheme="majorHAnsi" w:cstheme="majorHAnsi"/>
              </w:rPr>
            </w:pPr>
            <w:r w:rsidRPr="00A61669">
              <w:rPr>
                <w:rFonts w:asciiTheme="majorHAnsi" w:hAnsiTheme="majorHAnsi" w:cstheme="majorHAnsi"/>
                <w:color w:val="000000"/>
                <w:szCs w:val="18"/>
              </w:rPr>
              <w:t>£1,913,352</w:t>
            </w:r>
          </w:p>
        </w:tc>
      </w:tr>
      <w:tr w:rsidR="007E7776" w14:paraId="60540B22" w14:textId="77777777">
        <w:tc>
          <w:tcPr>
            <w:tcW w:w="2430" w:type="dxa"/>
            <w:tcMar>
              <w:top w:w="100" w:type="dxa"/>
              <w:left w:w="100" w:type="dxa"/>
              <w:bottom w:w="100" w:type="dxa"/>
              <w:right w:w="100" w:type="dxa"/>
            </w:tcMar>
            <w:vAlign w:val="center"/>
          </w:tcPr>
          <w:p w14:paraId="000002DB" w14:textId="5332C325"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color w:val="000000"/>
                <w:szCs w:val="18"/>
              </w:rPr>
              <w:t>OS licence</w:t>
            </w:r>
          </w:p>
        </w:tc>
        <w:tc>
          <w:tcPr>
            <w:tcW w:w="2430" w:type="dxa"/>
            <w:tcMar>
              <w:top w:w="100" w:type="dxa"/>
              <w:left w:w="100" w:type="dxa"/>
              <w:bottom w:w="100" w:type="dxa"/>
              <w:right w:w="100" w:type="dxa"/>
            </w:tcMar>
            <w:vAlign w:val="center"/>
          </w:tcPr>
          <w:p w14:paraId="000002DD" w14:textId="74A4F2B0" w:rsidR="000B0F63" w:rsidRPr="00A61669" w:rsidRDefault="008132E4" w:rsidP="00E40261">
            <w:pPr>
              <w:pStyle w:val="TableInfo"/>
              <w:jc w:val="both"/>
              <w:rPr>
                <w:rFonts w:asciiTheme="majorHAnsi" w:hAnsiTheme="majorHAnsi" w:cstheme="majorHAnsi"/>
              </w:rPr>
            </w:pPr>
            <w:r w:rsidRPr="00A61669">
              <w:rPr>
                <w:rFonts w:asciiTheme="majorHAnsi" w:hAnsiTheme="majorHAnsi" w:cstheme="majorHAnsi"/>
                <w:color w:val="000000"/>
                <w:szCs w:val="18"/>
              </w:rPr>
              <w:t>£118,596</w:t>
            </w:r>
          </w:p>
        </w:tc>
        <w:tc>
          <w:tcPr>
            <w:tcW w:w="2430" w:type="dxa"/>
            <w:tcMar>
              <w:top w:w="100" w:type="dxa"/>
              <w:left w:w="100" w:type="dxa"/>
              <w:bottom w:w="100" w:type="dxa"/>
              <w:right w:w="100" w:type="dxa"/>
            </w:tcMar>
            <w:vAlign w:val="center"/>
          </w:tcPr>
          <w:p w14:paraId="000002DF" w14:textId="3ADD580D" w:rsidR="000B0F63" w:rsidRPr="00A61669" w:rsidRDefault="008132E4" w:rsidP="00E40261">
            <w:pPr>
              <w:pStyle w:val="TableInfo"/>
              <w:jc w:val="both"/>
              <w:rPr>
                <w:rFonts w:asciiTheme="majorHAnsi" w:hAnsiTheme="majorHAnsi" w:cstheme="majorHAnsi"/>
              </w:rPr>
            </w:pPr>
            <w:r w:rsidRPr="00A61669">
              <w:rPr>
                <w:rFonts w:asciiTheme="majorHAnsi" w:hAnsiTheme="majorHAnsi" w:cstheme="majorHAnsi"/>
                <w:color w:val="000000"/>
                <w:szCs w:val="18"/>
              </w:rPr>
              <w:t>£253,260</w:t>
            </w:r>
          </w:p>
        </w:tc>
        <w:tc>
          <w:tcPr>
            <w:tcW w:w="2430" w:type="dxa"/>
            <w:tcMar>
              <w:top w:w="100" w:type="dxa"/>
              <w:left w:w="100" w:type="dxa"/>
              <w:bottom w:w="100" w:type="dxa"/>
              <w:right w:w="100" w:type="dxa"/>
            </w:tcMar>
            <w:vAlign w:val="center"/>
          </w:tcPr>
          <w:p w14:paraId="000002E1" w14:textId="68D4F947" w:rsidR="000B0F63" w:rsidRPr="00A61669" w:rsidRDefault="008132E4" w:rsidP="00E40261">
            <w:pPr>
              <w:pStyle w:val="TableInfo"/>
              <w:jc w:val="both"/>
              <w:rPr>
                <w:rFonts w:asciiTheme="majorHAnsi" w:hAnsiTheme="majorHAnsi" w:cstheme="majorHAnsi"/>
              </w:rPr>
            </w:pPr>
            <w:r w:rsidRPr="00A61669">
              <w:rPr>
                <w:rFonts w:asciiTheme="majorHAnsi" w:hAnsiTheme="majorHAnsi" w:cstheme="majorHAnsi"/>
                <w:color w:val="000000"/>
                <w:szCs w:val="18"/>
              </w:rPr>
              <w:t>£210,984</w:t>
            </w:r>
          </w:p>
        </w:tc>
      </w:tr>
      <w:tr w:rsidR="007E7776" w14:paraId="42885691" w14:textId="77777777">
        <w:tc>
          <w:tcPr>
            <w:tcW w:w="2430" w:type="dxa"/>
            <w:tcMar>
              <w:top w:w="100" w:type="dxa"/>
              <w:left w:w="100" w:type="dxa"/>
              <w:bottom w:w="100" w:type="dxa"/>
              <w:right w:w="100" w:type="dxa"/>
            </w:tcMar>
            <w:vAlign w:val="center"/>
          </w:tcPr>
          <w:p w14:paraId="000002E3" w14:textId="46F0C158"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color w:val="000000"/>
                <w:szCs w:val="18"/>
              </w:rPr>
              <w:t>Network (5%)</w:t>
            </w:r>
          </w:p>
        </w:tc>
        <w:tc>
          <w:tcPr>
            <w:tcW w:w="2430" w:type="dxa"/>
            <w:tcMar>
              <w:top w:w="100" w:type="dxa"/>
              <w:left w:w="100" w:type="dxa"/>
              <w:bottom w:w="100" w:type="dxa"/>
              <w:right w:w="100" w:type="dxa"/>
            </w:tcMar>
            <w:vAlign w:val="center"/>
          </w:tcPr>
          <w:p w14:paraId="000002E5" w14:textId="409B6EF5" w:rsidR="000B0F63" w:rsidRPr="00A61669" w:rsidRDefault="008132E4" w:rsidP="00E40261">
            <w:pPr>
              <w:pStyle w:val="TableInfo"/>
              <w:jc w:val="both"/>
              <w:rPr>
                <w:rFonts w:asciiTheme="majorHAnsi" w:hAnsiTheme="majorHAnsi" w:cstheme="majorHAnsi"/>
              </w:rPr>
            </w:pPr>
            <w:r w:rsidRPr="00A61669">
              <w:rPr>
                <w:rFonts w:asciiTheme="majorHAnsi" w:hAnsiTheme="majorHAnsi" w:cstheme="majorHAnsi"/>
                <w:color w:val="000000"/>
                <w:szCs w:val="18"/>
              </w:rPr>
              <w:t>£172,212</w:t>
            </w:r>
          </w:p>
        </w:tc>
        <w:tc>
          <w:tcPr>
            <w:tcW w:w="2430" w:type="dxa"/>
            <w:tcMar>
              <w:top w:w="100" w:type="dxa"/>
              <w:left w:w="100" w:type="dxa"/>
              <w:bottom w:w="100" w:type="dxa"/>
              <w:right w:w="100" w:type="dxa"/>
            </w:tcMar>
            <w:vAlign w:val="center"/>
          </w:tcPr>
          <w:p w14:paraId="000002E7" w14:textId="65EA45D3" w:rsidR="000B0F63" w:rsidRPr="00A61669" w:rsidRDefault="008132E4" w:rsidP="00E40261">
            <w:pPr>
              <w:pStyle w:val="TableInfo"/>
              <w:jc w:val="both"/>
              <w:rPr>
                <w:rFonts w:asciiTheme="majorHAnsi" w:hAnsiTheme="majorHAnsi" w:cstheme="majorHAnsi"/>
              </w:rPr>
            </w:pPr>
            <w:r w:rsidRPr="00A61669">
              <w:rPr>
                <w:rFonts w:asciiTheme="majorHAnsi" w:hAnsiTheme="majorHAnsi" w:cstheme="majorHAnsi"/>
                <w:color w:val="000000"/>
                <w:szCs w:val="18"/>
              </w:rPr>
              <w:t>£175,500</w:t>
            </w:r>
          </w:p>
        </w:tc>
        <w:tc>
          <w:tcPr>
            <w:tcW w:w="2430" w:type="dxa"/>
            <w:tcMar>
              <w:top w:w="100" w:type="dxa"/>
              <w:left w:w="100" w:type="dxa"/>
              <w:bottom w:w="100" w:type="dxa"/>
              <w:right w:w="100" w:type="dxa"/>
            </w:tcMar>
            <w:vAlign w:val="center"/>
          </w:tcPr>
          <w:p w14:paraId="000002E9" w14:textId="0D8783F1" w:rsidR="000B0F63" w:rsidRPr="00A61669" w:rsidRDefault="008132E4" w:rsidP="00E40261">
            <w:pPr>
              <w:pStyle w:val="TableInfo"/>
              <w:jc w:val="both"/>
              <w:rPr>
                <w:rFonts w:asciiTheme="majorHAnsi" w:hAnsiTheme="majorHAnsi" w:cstheme="majorHAnsi"/>
              </w:rPr>
            </w:pPr>
            <w:r w:rsidRPr="00A61669">
              <w:rPr>
                <w:rFonts w:asciiTheme="majorHAnsi" w:hAnsiTheme="majorHAnsi" w:cstheme="majorHAnsi"/>
                <w:color w:val="000000"/>
                <w:szCs w:val="18"/>
              </w:rPr>
              <w:t>£232,716</w:t>
            </w:r>
          </w:p>
        </w:tc>
      </w:tr>
      <w:tr w:rsidR="007E7776" w14:paraId="614D2BE8" w14:textId="77777777">
        <w:tc>
          <w:tcPr>
            <w:tcW w:w="2430" w:type="dxa"/>
            <w:tcMar>
              <w:top w:w="100" w:type="dxa"/>
              <w:left w:w="100" w:type="dxa"/>
              <w:bottom w:w="100" w:type="dxa"/>
              <w:right w:w="100" w:type="dxa"/>
            </w:tcMar>
            <w:vAlign w:val="center"/>
          </w:tcPr>
          <w:p w14:paraId="000002EB" w14:textId="25148D63" w:rsidR="000B0F63" w:rsidRPr="00A61669" w:rsidRDefault="00C05D22" w:rsidP="00E40261">
            <w:pPr>
              <w:pStyle w:val="TableInfo"/>
              <w:jc w:val="both"/>
              <w:rPr>
                <w:rFonts w:asciiTheme="majorHAnsi" w:hAnsiTheme="majorHAnsi" w:cstheme="majorHAnsi"/>
                <w:b/>
              </w:rPr>
            </w:pPr>
            <w:r w:rsidRPr="00A61669">
              <w:rPr>
                <w:rFonts w:asciiTheme="majorHAnsi" w:hAnsiTheme="majorHAnsi" w:cstheme="majorHAnsi"/>
                <w:b/>
                <w:color w:val="000000"/>
                <w:szCs w:val="18"/>
              </w:rPr>
              <w:t>Total PAYG</w:t>
            </w:r>
          </w:p>
        </w:tc>
        <w:tc>
          <w:tcPr>
            <w:tcW w:w="2430" w:type="dxa"/>
            <w:tcMar>
              <w:top w:w="100" w:type="dxa"/>
              <w:left w:w="100" w:type="dxa"/>
              <w:bottom w:w="100" w:type="dxa"/>
              <w:right w:w="100" w:type="dxa"/>
            </w:tcMar>
            <w:vAlign w:val="center"/>
          </w:tcPr>
          <w:p w14:paraId="000002ED" w14:textId="08C6E2AC" w:rsidR="000B0F63" w:rsidRPr="00A61669" w:rsidRDefault="008132E4" w:rsidP="00E40261">
            <w:pPr>
              <w:pStyle w:val="TableInfo"/>
              <w:jc w:val="both"/>
              <w:rPr>
                <w:rFonts w:asciiTheme="majorHAnsi" w:hAnsiTheme="majorHAnsi" w:cstheme="majorHAnsi"/>
                <w:b/>
              </w:rPr>
            </w:pPr>
            <w:r w:rsidRPr="00A61669">
              <w:rPr>
                <w:rFonts w:asciiTheme="majorHAnsi" w:hAnsiTheme="majorHAnsi" w:cstheme="majorHAnsi"/>
                <w:b/>
                <w:bCs/>
                <w:color w:val="000000"/>
                <w:szCs w:val="18"/>
              </w:rPr>
              <w:t>£3,735,168</w:t>
            </w:r>
          </w:p>
        </w:tc>
        <w:tc>
          <w:tcPr>
            <w:tcW w:w="2430" w:type="dxa"/>
            <w:tcMar>
              <w:top w:w="100" w:type="dxa"/>
              <w:left w:w="100" w:type="dxa"/>
              <w:bottom w:w="100" w:type="dxa"/>
              <w:right w:w="100" w:type="dxa"/>
            </w:tcMar>
            <w:vAlign w:val="center"/>
          </w:tcPr>
          <w:p w14:paraId="000002EF" w14:textId="052E9587" w:rsidR="000B0F63" w:rsidRPr="00A61669" w:rsidRDefault="008132E4" w:rsidP="00E40261">
            <w:pPr>
              <w:pStyle w:val="TableInfo"/>
              <w:jc w:val="both"/>
              <w:rPr>
                <w:rFonts w:asciiTheme="majorHAnsi" w:hAnsiTheme="majorHAnsi" w:cstheme="majorHAnsi"/>
                <w:b/>
              </w:rPr>
            </w:pPr>
            <w:r w:rsidRPr="00A61669">
              <w:rPr>
                <w:rFonts w:asciiTheme="majorHAnsi" w:hAnsiTheme="majorHAnsi" w:cstheme="majorHAnsi"/>
                <w:b/>
                <w:bCs/>
                <w:color w:val="000000"/>
                <w:szCs w:val="18"/>
              </w:rPr>
              <w:t>£3,938,676</w:t>
            </w:r>
          </w:p>
        </w:tc>
        <w:tc>
          <w:tcPr>
            <w:tcW w:w="2430" w:type="dxa"/>
            <w:tcMar>
              <w:top w:w="100" w:type="dxa"/>
              <w:left w:w="100" w:type="dxa"/>
              <w:bottom w:w="100" w:type="dxa"/>
              <w:right w:w="100" w:type="dxa"/>
            </w:tcMar>
            <w:vAlign w:val="center"/>
          </w:tcPr>
          <w:p w14:paraId="000002F1" w14:textId="77759036" w:rsidR="000B0F63" w:rsidRPr="00A61669" w:rsidRDefault="008132E4" w:rsidP="00E40261">
            <w:pPr>
              <w:pStyle w:val="TableInfo"/>
              <w:jc w:val="both"/>
              <w:rPr>
                <w:rFonts w:asciiTheme="majorHAnsi" w:hAnsiTheme="majorHAnsi" w:cstheme="majorHAnsi"/>
                <w:b/>
              </w:rPr>
            </w:pPr>
            <w:r w:rsidRPr="00A61669">
              <w:rPr>
                <w:rFonts w:asciiTheme="majorHAnsi" w:hAnsiTheme="majorHAnsi" w:cstheme="majorHAnsi"/>
                <w:b/>
                <w:bCs/>
                <w:color w:val="000000"/>
                <w:szCs w:val="18"/>
              </w:rPr>
              <w:t>£5,097,972</w:t>
            </w:r>
          </w:p>
        </w:tc>
      </w:tr>
    </w:tbl>
    <w:p w14:paraId="345B8C8E" w14:textId="77777777" w:rsidR="00F70712" w:rsidRPr="00A61669" w:rsidRDefault="00F70712" w:rsidP="00E40261">
      <w:pPr>
        <w:jc w:val="both"/>
        <w:rPr>
          <w:rFonts w:asciiTheme="majorHAnsi" w:hAnsiTheme="majorHAnsi" w:cstheme="majorHAnsi"/>
        </w:rPr>
      </w:pPr>
    </w:p>
    <w:p w14:paraId="000002F3" w14:textId="000002F4" w:rsidR="000B0F63" w:rsidRPr="00A61669" w:rsidRDefault="00C05D22" w:rsidP="00E40261">
      <w:pPr>
        <w:jc w:val="both"/>
        <w:rPr>
          <w:rFonts w:asciiTheme="majorHAnsi" w:hAnsiTheme="majorHAnsi" w:cstheme="majorHAnsi"/>
        </w:rPr>
      </w:pPr>
      <w:r w:rsidRPr="00A61669">
        <w:rPr>
          <w:rFonts w:asciiTheme="majorHAnsi" w:hAnsiTheme="majorHAnsi" w:cstheme="majorHAnsi"/>
        </w:rPr>
        <w:lastRenderedPageBreak/>
        <w:t>What to notice:</w:t>
      </w:r>
    </w:p>
    <w:p w14:paraId="000002F5" w14:textId="000002F6" w:rsidR="000B0F63" w:rsidRPr="00A61669" w:rsidRDefault="00C05D22" w:rsidP="007F202E">
      <w:pPr>
        <w:pStyle w:val="ListBullet"/>
        <w:numPr>
          <w:ilvl w:val="0"/>
          <w:numId w:val="13"/>
        </w:numPr>
        <w:jc w:val="both"/>
        <w:rPr>
          <w:rFonts w:asciiTheme="majorHAnsi" w:hAnsiTheme="majorHAnsi" w:cstheme="majorHAnsi"/>
        </w:rPr>
      </w:pPr>
      <w:r w:rsidRPr="00A61669">
        <w:rPr>
          <w:rFonts w:asciiTheme="majorHAnsi" w:hAnsiTheme="majorHAnsi" w:cstheme="majorHAnsi"/>
        </w:rPr>
        <w:t>GCP compute is cheapest because custom instances allow independent CPU and memory sizing. GCP allocated 32% of source vCPU versus AWS 49% and Azure 53%.</w:t>
      </w:r>
    </w:p>
    <w:p w14:paraId="729D8AC2" w14:textId="77777777" w:rsidR="0031004D" w:rsidRPr="00A61669" w:rsidRDefault="00C05D22" w:rsidP="007F202E">
      <w:pPr>
        <w:pStyle w:val="ListBullet"/>
        <w:numPr>
          <w:ilvl w:val="0"/>
          <w:numId w:val="13"/>
        </w:numPr>
        <w:spacing w:after="0"/>
        <w:jc w:val="both"/>
        <w:rPr>
          <w:rFonts w:asciiTheme="majorHAnsi" w:hAnsiTheme="majorHAnsi" w:cstheme="majorHAnsi"/>
        </w:rPr>
      </w:pPr>
      <w:r w:rsidRPr="00A61669">
        <w:rPr>
          <w:rFonts w:asciiTheme="majorHAnsi" w:hAnsiTheme="majorHAnsi" w:cstheme="majorHAnsi"/>
        </w:rPr>
        <w:t xml:space="preserve">Storage cost differences reflect each cloud's storage product pricing model rather than sizing choices. </w:t>
      </w:r>
    </w:p>
    <w:p w14:paraId="45DF6DEC" w14:textId="6163AE20" w:rsidR="0031004D" w:rsidRPr="00A61669" w:rsidRDefault="00C05D22" w:rsidP="007F202E">
      <w:pPr>
        <w:pStyle w:val="ListBullet"/>
        <w:numPr>
          <w:ilvl w:val="1"/>
          <w:numId w:val="13"/>
        </w:numPr>
        <w:spacing w:after="0"/>
        <w:jc w:val="both"/>
        <w:rPr>
          <w:rFonts w:asciiTheme="majorHAnsi" w:hAnsiTheme="majorHAnsi" w:cstheme="majorHAnsi"/>
        </w:rPr>
      </w:pPr>
      <w:r w:rsidRPr="00A61669">
        <w:rPr>
          <w:rFonts w:asciiTheme="majorHAnsi" w:hAnsiTheme="majorHAnsi" w:cstheme="majorHAnsi"/>
        </w:rPr>
        <w:t>AWS gp3 has a relatively low per-GB rate with separately priced IOPS and throughput.</w:t>
      </w:r>
    </w:p>
    <w:p w14:paraId="46BC28D1" w14:textId="77777777" w:rsidR="0031004D" w:rsidRPr="00A61669" w:rsidRDefault="00C05D22" w:rsidP="007F202E">
      <w:pPr>
        <w:pStyle w:val="ListBullet"/>
        <w:numPr>
          <w:ilvl w:val="1"/>
          <w:numId w:val="13"/>
        </w:numPr>
        <w:spacing w:after="0"/>
        <w:jc w:val="both"/>
        <w:rPr>
          <w:rFonts w:asciiTheme="majorHAnsi" w:hAnsiTheme="majorHAnsi" w:cstheme="majorHAnsi"/>
        </w:rPr>
      </w:pPr>
      <w:r w:rsidRPr="00A61669">
        <w:rPr>
          <w:rFonts w:asciiTheme="majorHAnsi" w:hAnsiTheme="majorHAnsi" w:cstheme="majorHAnsi"/>
        </w:rPr>
        <w:t xml:space="preserve">GCP Balanced Persistent Disk and Hyperdisk Balanced are per-GB at a higher unit rate. </w:t>
      </w:r>
    </w:p>
    <w:p w14:paraId="000002F7" w14:textId="2788D0BA" w:rsidR="000B0F63" w:rsidRPr="00A61669" w:rsidRDefault="00C05D22" w:rsidP="007F202E">
      <w:pPr>
        <w:pStyle w:val="ListBullet"/>
        <w:numPr>
          <w:ilvl w:val="1"/>
          <w:numId w:val="13"/>
        </w:numPr>
        <w:spacing w:after="0"/>
        <w:jc w:val="both"/>
        <w:rPr>
          <w:rFonts w:asciiTheme="majorHAnsi" w:hAnsiTheme="majorHAnsi" w:cstheme="majorHAnsi"/>
        </w:rPr>
      </w:pPr>
      <w:r w:rsidRPr="00A61669">
        <w:rPr>
          <w:rFonts w:asciiTheme="majorHAnsi" w:hAnsiTheme="majorHAnsi" w:cstheme="majorHAnsi"/>
        </w:rPr>
        <w:t>Azure assigns Premium SSD with tiered disk sizes (each tier has a minimum GB), which rounds small disks up to the next tier.</w:t>
      </w:r>
    </w:p>
    <w:p w14:paraId="000002F9" w14:textId="000002FA" w:rsidR="000B0F63" w:rsidRPr="00A61669" w:rsidRDefault="00C05D22" w:rsidP="007F202E">
      <w:pPr>
        <w:pStyle w:val="ListBullet"/>
        <w:numPr>
          <w:ilvl w:val="0"/>
          <w:numId w:val="13"/>
        </w:numPr>
        <w:jc w:val="both"/>
        <w:rPr>
          <w:rFonts w:asciiTheme="majorHAnsi" w:hAnsiTheme="majorHAnsi" w:cstheme="majorHAnsi"/>
        </w:rPr>
      </w:pPr>
      <w:r w:rsidRPr="00A61669">
        <w:rPr>
          <w:rFonts w:asciiTheme="majorHAnsi" w:hAnsiTheme="majorHAnsi" w:cstheme="majorHAnsi"/>
        </w:rPr>
        <w:t>OS licence costs differ because GCP allocates fewer vCPUs (less Windows per-vCPU licensing) and Azure has a mid-range allocation. The number scales with vCPU count, not server count.</w:t>
      </w:r>
    </w:p>
    <w:p w14:paraId="000002FB" w14:textId="1B8D16E5" w:rsidR="000B0F63" w:rsidRPr="00A61669" w:rsidRDefault="1BAB210A" w:rsidP="00E40261">
      <w:pPr>
        <w:pStyle w:val="Heading2"/>
        <w:jc w:val="both"/>
        <w:rPr>
          <w:rFonts w:asciiTheme="majorHAnsi" w:hAnsiTheme="majorHAnsi" w:cstheme="majorHAnsi"/>
        </w:rPr>
      </w:pPr>
      <w:bookmarkStart w:id="96" w:name="_Toc151"/>
      <w:bookmarkStart w:id="97" w:name="_Toc227770934"/>
      <w:r w:rsidRPr="00A61669">
        <w:rPr>
          <w:rFonts w:asciiTheme="majorHAnsi" w:hAnsiTheme="majorHAnsi" w:cstheme="majorHAnsi"/>
        </w:rPr>
        <w:t xml:space="preserve">Beyond The </w:t>
      </w:r>
      <w:r w:rsidR="009566FC" w:rsidRPr="00A61669">
        <w:rPr>
          <w:rFonts w:asciiTheme="majorHAnsi" w:hAnsiTheme="majorHAnsi" w:cstheme="majorHAnsi"/>
        </w:rPr>
        <w:t>Cloud Infrastructure cost</w:t>
      </w:r>
      <w:r w:rsidRPr="00A61669">
        <w:rPr>
          <w:rFonts w:asciiTheme="majorHAnsi" w:hAnsiTheme="majorHAnsi" w:cstheme="majorHAnsi"/>
        </w:rPr>
        <w:t>: Optimisation and Options</w:t>
      </w:r>
      <w:bookmarkEnd w:id="96"/>
      <w:bookmarkEnd w:id="97"/>
    </w:p>
    <w:p w14:paraId="000002FD" w14:textId="000002FE" w:rsidR="000B0F63" w:rsidRPr="00A61669" w:rsidRDefault="00C05D22" w:rsidP="00E40261">
      <w:pPr>
        <w:jc w:val="both"/>
        <w:rPr>
          <w:rFonts w:asciiTheme="majorHAnsi" w:hAnsiTheme="majorHAnsi" w:cstheme="majorHAnsi"/>
        </w:rPr>
      </w:pPr>
      <w:r w:rsidRPr="00A61669">
        <w:rPr>
          <w:rFonts w:asciiTheme="majorHAnsi" w:hAnsiTheme="majorHAnsi" w:cstheme="majorHAnsi"/>
        </w:rPr>
        <w:t>The baseline covers compute, storage, OS licence, and internal network. Several items sit on top. Some are mandatory additions for a full view of cloud cost (Oracle, SQL); others are optional levers that reduce cost if DMG Media meets the conditions (BYOL, storage tiering).</w:t>
      </w:r>
    </w:p>
    <w:p w14:paraId="000002FF" w14:textId="05A7C820" w:rsidR="000B0F63" w:rsidRPr="00A61669" w:rsidRDefault="1BAB210A" w:rsidP="00E40261">
      <w:pPr>
        <w:pStyle w:val="Heading3"/>
        <w:jc w:val="both"/>
        <w:rPr>
          <w:rFonts w:asciiTheme="majorHAnsi" w:hAnsiTheme="majorHAnsi" w:cstheme="majorHAnsi"/>
        </w:rPr>
      </w:pPr>
      <w:bookmarkStart w:id="98" w:name="_Toc152"/>
      <w:bookmarkStart w:id="99" w:name="_Toc227770935"/>
      <w:r w:rsidRPr="00A61669">
        <w:rPr>
          <w:rFonts w:asciiTheme="majorHAnsi" w:hAnsiTheme="majorHAnsi" w:cstheme="majorHAnsi"/>
        </w:rPr>
        <w:t>Mandatory additions (</w:t>
      </w:r>
      <w:r w:rsidR="009566FC" w:rsidRPr="00A61669">
        <w:rPr>
          <w:rFonts w:asciiTheme="majorHAnsi" w:hAnsiTheme="majorHAnsi" w:cstheme="majorHAnsi"/>
        </w:rPr>
        <w:t>Annual</w:t>
      </w:r>
      <w:r w:rsidRPr="00A61669">
        <w:rPr>
          <w:rFonts w:asciiTheme="majorHAnsi" w:hAnsiTheme="majorHAnsi" w:cstheme="majorHAnsi"/>
        </w:rPr>
        <w:t>)</w:t>
      </w:r>
      <w:bookmarkEnd w:id="98"/>
      <w:bookmarkEnd w:id="99"/>
    </w:p>
    <w:tbl>
      <w:tblPr>
        <w:tblW w:w="9720" w:type="dxa"/>
        <w:tblCellMar>
          <w:top w:w="100" w:type="dxa"/>
          <w:left w:w="100" w:type="dxa"/>
          <w:bottom w:w="100" w:type="dxa"/>
          <w:right w:w="100" w:type="dxa"/>
        </w:tblCellMar>
        <w:tblLook w:val="04A0" w:firstRow="1" w:lastRow="0" w:firstColumn="1" w:lastColumn="0" w:noHBand="0" w:noVBand="1"/>
      </w:tblPr>
      <w:tblGrid>
        <w:gridCol w:w="1944"/>
        <w:gridCol w:w="1944"/>
        <w:gridCol w:w="1944"/>
        <w:gridCol w:w="1944"/>
        <w:gridCol w:w="1944"/>
      </w:tblGrid>
      <w:tr w:rsidR="00723435" w14:paraId="402BCAFF" w14:textId="77777777" w:rsidTr="1524DEBB">
        <w:trPr>
          <w:cantSplit/>
        </w:trPr>
        <w:tc>
          <w:tcPr>
            <w:tcW w:w="1944" w:type="dxa"/>
            <w:shd w:val="clear" w:color="auto" w:fill="D9D9D9" w:themeFill="background1" w:themeFillShade="D9"/>
            <w:tcMar>
              <w:top w:w="100" w:type="dxa"/>
              <w:left w:w="100" w:type="dxa"/>
              <w:bottom w:w="100" w:type="dxa"/>
              <w:right w:w="100" w:type="dxa"/>
            </w:tcMar>
          </w:tcPr>
          <w:p w14:paraId="00000301" w14:textId="00000302"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Item</w:t>
            </w:r>
          </w:p>
        </w:tc>
        <w:tc>
          <w:tcPr>
            <w:tcW w:w="1944" w:type="dxa"/>
            <w:shd w:val="clear" w:color="auto" w:fill="D9D9D9" w:themeFill="background1" w:themeFillShade="D9"/>
            <w:tcMar>
              <w:top w:w="100" w:type="dxa"/>
              <w:left w:w="100" w:type="dxa"/>
              <w:bottom w:w="100" w:type="dxa"/>
              <w:right w:w="100" w:type="dxa"/>
            </w:tcMar>
          </w:tcPr>
          <w:p w14:paraId="00000303" w14:textId="00000304"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GCP</w:t>
            </w:r>
          </w:p>
        </w:tc>
        <w:tc>
          <w:tcPr>
            <w:tcW w:w="1944" w:type="dxa"/>
            <w:shd w:val="clear" w:color="auto" w:fill="D9D9D9" w:themeFill="background1" w:themeFillShade="D9"/>
            <w:tcMar>
              <w:top w:w="100" w:type="dxa"/>
              <w:left w:w="100" w:type="dxa"/>
              <w:bottom w:w="100" w:type="dxa"/>
              <w:right w:w="100" w:type="dxa"/>
            </w:tcMar>
          </w:tcPr>
          <w:p w14:paraId="00000305" w14:textId="00000306"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AWS</w:t>
            </w:r>
          </w:p>
        </w:tc>
        <w:tc>
          <w:tcPr>
            <w:tcW w:w="1944" w:type="dxa"/>
            <w:shd w:val="clear" w:color="auto" w:fill="D9D9D9" w:themeFill="background1" w:themeFillShade="D9"/>
            <w:tcMar>
              <w:top w:w="100" w:type="dxa"/>
              <w:left w:w="100" w:type="dxa"/>
              <w:bottom w:w="100" w:type="dxa"/>
              <w:right w:w="100" w:type="dxa"/>
            </w:tcMar>
          </w:tcPr>
          <w:p w14:paraId="00000307" w14:textId="00000308"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Azure</w:t>
            </w:r>
          </w:p>
        </w:tc>
        <w:tc>
          <w:tcPr>
            <w:tcW w:w="1944" w:type="dxa"/>
            <w:shd w:val="clear" w:color="auto" w:fill="D9D9D9" w:themeFill="background1" w:themeFillShade="D9"/>
            <w:tcMar>
              <w:top w:w="100" w:type="dxa"/>
              <w:left w:w="100" w:type="dxa"/>
              <w:bottom w:w="100" w:type="dxa"/>
              <w:right w:w="100" w:type="dxa"/>
            </w:tcMar>
          </w:tcPr>
          <w:p w14:paraId="00000309" w14:textId="0000030A"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Condition</w:t>
            </w:r>
          </w:p>
        </w:tc>
      </w:tr>
      <w:tr w:rsidR="007E7776" w14:paraId="1626DFDB" w14:textId="77777777">
        <w:tc>
          <w:tcPr>
            <w:tcW w:w="1944" w:type="dxa"/>
            <w:tcMar>
              <w:top w:w="100" w:type="dxa"/>
              <w:left w:w="100" w:type="dxa"/>
              <w:bottom w:w="100" w:type="dxa"/>
              <w:right w:w="100" w:type="dxa"/>
            </w:tcMar>
          </w:tcPr>
          <w:p w14:paraId="0000030B" w14:textId="0000030C" w:rsidR="000B0F63" w:rsidRPr="00A61669" w:rsidRDefault="1BAB210A" w:rsidP="008E37F6">
            <w:pPr>
              <w:pStyle w:val="TableInfo"/>
              <w:jc w:val="center"/>
              <w:rPr>
                <w:rFonts w:asciiTheme="majorHAnsi" w:hAnsiTheme="majorHAnsi" w:cstheme="majorHAnsi"/>
              </w:rPr>
            </w:pPr>
            <w:r w:rsidRPr="00A61669">
              <w:rPr>
                <w:rFonts w:asciiTheme="majorHAnsi" w:hAnsiTheme="majorHAnsi" w:cstheme="majorHAnsi"/>
                <w:lang w:val="en-GB"/>
              </w:rPr>
              <w:t>Oracle (Exadata@Cloud, Option A)</w:t>
            </w:r>
          </w:p>
        </w:tc>
        <w:tc>
          <w:tcPr>
            <w:tcW w:w="1944" w:type="dxa"/>
            <w:tcMar>
              <w:top w:w="100" w:type="dxa"/>
              <w:left w:w="100" w:type="dxa"/>
              <w:bottom w:w="100" w:type="dxa"/>
              <w:right w:w="100" w:type="dxa"/>
            </w:tcMar>
            <w:vAlign w:val="center"/>
          </w:tcPr>
          <w:p w14:paraId="0000030D" w14:textId="21C4F89F" w:rsidR="000B0F63" w:rsidRPr="00A61669" w:rsidRDefault="009566FC" w:rsidP="008E37F6">
            <w:pPr>
              <w:pStyle w:val="TableInfo"/>
              <w:jc w:val="center"/>
              <w:rPr>
                <w:rFonts w:asciiTheme="majorHAnsi" w:hAnsiTheme="majorHAnsi" w:cstheme="majorHAnsi"/>
              </w:rPr>
            </w:pPr>
            <w:r w:rsidRPr="00A61669">
              <w:rPr>
                <w:rFonts w:asciiTheme="majorHAnsi" w:hAnsiTheme="majorHAnsi" w:cstheme="majorHAnsi"/>
                <w:color w:val="000000"/>
                <w:szCs w:val="18"/>
              </w:rPr>
              <w:t>£514,908</w:t>
            </w:r>
          </w:p>
        </w:tc>
        <w:tc>
          <w:tcPr>
            <w:tcW w:w="1944" w:type="dxa"/>
            <w:tcMar>
              <w:top w:w="100" w:type="dxa"/>
              <w:left w:w="100" w:type="dxa"/>
              <w:bottom w:w="100" w:type="dxa"/>
              <w:right w:w="100" w:type="dxa"/>
            </w:tcMar>
            <w:vAlign w:val="center"/>
          </w:tcPr>
          <w:p w14:paraId="0000030F" w14:textId="5D0397B9" w:rsidR="000B0F63" w:rsidRPr="00A61669" w:rsidRDefault="009566FC" w:rsidP="008E37F6">
            <w:pPr>
              <w:pStyle w:val="TableInfo"/>
              <w:jc w:val="center"/>
              <w:rPr>
                <w:rFonts w:asciiTheme="majorHAnsi" w:hAnsiTheme="majorHAnsi" w:cstheme="majorHAnsi"/>
              </w:rPr>
            </w:pPr>
            <w:r w:rsidRPr="00A61669">
              <w:rPr>
                <w:rFonts w:asciiTheme="majorHAnsi" w:hAnsiTheme="majorHAnsi" w:cstheme="majorHAnsi"/>
                <w:color w:val="000000"/>
                <w:szCs w:val="18"/>
              </w:rPr>
              <w:t>£514,908</w:t>
            </w:r>
          </w:p>
        </w:tc>
        <w:tc>
          <w:tcPr>
            <w:tcW w:w="1944" w:type="dxa"/>
            <w:tcMar>
              <w:top w:w="100" w:type="dxa"/>
              <w:left w:w="100" w:type="dxa"/>
              <w:bottom w:w="100" w:type="dxa"/>
              <w:right w:w="100" w:type="dxa"/>
            </w:tcMar>
            <w:vAlign w:val="center"/>
          </w:tcPr>
          <w:p w14:paraId="00000311" w14:textId="58B933B3" w:rsidR="000B0F63" w:rsidRPr="00A61669" w:rsidRDefault="009566FC" w:rsidP="008E37F6">
            <w:pPr>
              <w:pStyle w:val="TableInfo"/>
              <w:jc w:val="center"/>
              <w:rPr>
                <w:rFonts w:asciiTheme="majorHAnsi" w:hAnsiTheme="majorHAnsi" w:cstheme="majorHAnsi"/>
              </w:rPr>
            </w:pPr>
            <w:r w:rsidRPr="00A61669">
              <w:rPr>
                <w:rFonts w:asciiTheme="majorHAnsi" w:hAnsiTheme="majorHAnsi" w:cstheme="majorHAnsi"/>
                <w:color w:val="000000"/>
                <w:szCs w:val="18"/>
              </w:rPr>
              <w:t>£514,908</w:t>
            </w:r>
          </w:p>
        </w:tc>
        <w:tc>
          <w:tcPr>
            <w:tcW w:w="1944" w:type="dxa"/>
            <w:tcMar>
              <w:top w:w="100" w:type="dxa"/>
              <w:left w:w="100" w:type="dxa"/>
              <w:bottom w:w="100" w:type="dxa"/>
              <w:right w:w="100" w:type="dxa"/>
            </w:tcMar>
          </w:tcPr>
          <w:p w14:paraId="00000313" w14:textId="00000314" w:rsidR="000B0F63" w:rsidRPr="00A61669" w:rsidRDefault="1BAB210A" w:rsidP="008E37F6">
            <w:pPr>
              <w:pStyle w:val="TableInfo"/>
              <w:rPr>
                <w:rFonts w:asciiTheme="majorHAnsi" w:hAnsiTheme="majorHAnsi" w:cstheme="majorHAnsi"/>
              </w:rPr>
            </w:pPr>
            <w:r w:rsidRPr="00A61669">
              <w:rPr>
                <w:rFonts w:asciiTheme="majorHAnsi" w:hAnsiTheme="majorHAnsi" w:cstheme="majorHAnsi"/>
                <w:lang w:val="en-GB"/>
              </w:rPr>
              <w:t>All three clouds offer Exadata@Cloud in London, identical OCI pricing.</w:t>
            </w:r>
          </w:p>
        </w:tc>
      </w:tr>
      <w:tr w:rsidR="007E7776" w14:paraId="59F9B0F8" w14:textId="77777777">
        <w:tc>
          <w:tcPr>
            <w:tcW w:w="1944" w:type="dxa"/>
            <w:tcMar>
              <w:top w:w="100" w:type="dxa"/>
              <w:left w:w="100" w:type="dxa"/>
              <w:bottom w:w="100" w:type="dxa"/>
              <w:right w:w="100" w:type="dxa"/>
            </w:tcMar>
          </w:tcPr>
          <w:p w14:paraId="00000315" w14:textId="00000316" w:rsidR="000B0F63" w:rsidRPr="00A61669" w:rsidRDefault="1BAB210A" w:rsidP="008E37F6">
            <w:pPr>
              <w:pStyle w:val="TableInfo"/>
              <w:jc w:val="center"/>
              <w:rPr>
                <w:rFonts w:asciiTheme="majorHAnsi" w:hAnsiTheme="majorHAnsi" w:cstheme="majorHAnsi"/>
              </w:rPr>
            </w:pPr>
            <w:r w:rsidRPr="00A61669">
              <w:rPr>
                <w:rFonts w:asciiTheme="majorHAnsi" w:hAnsiTheme="majorHAnsi" w:cstheme="majorHAnsi"/>
                <w:lang w:val="en-GB"/>
              </w:rPr>
              <w:t>Oracle support (retained under BYOL)</w:t>
            </w:r>
          </w:p>
        </w:tc>
        <w:tc>
          <w:tcPr>
            <w:tcW w:w="1944" w:type="dxa"/>
            <w:tcMar>
              <w:top w:w="100" w:type="dxa"/>
              <w:left w:w="100" w:type="dxa"/>
              <w:bottom w:w="100" w:type="dxa"/>
              <w:right w:w="100" w:type="dxa"/>
            </w:tcMar>
            <w:vAlign w:val="center"/>
          </w:tcPr>
          <w:p w14:paraId="00000317" w14:textId="4DF31487" w:rsidR="000B0F63" w:rsidRPr="00A61669" w:rsidRDefault="009566FC" w:rsidP="008E37F6">
            <w:pPr>
              <w:pStyle w:val="TableInfo"/>
              <w:jc w:val="center"/>
              <w:rPr>
                <w:rFonts w:asciiTheme="majorHAnsi" w:hAnsiTheme="majorHAnsi" w:cstheme="majorHAnsi"/>
              </w:rPr>
            </w:pPr>
            <w:r w:rsidRPr="00A61669">
              <w:rPr>
                <w:rFonts w:asciiTheme="majorHAnsi" w:hAnsiTheme="majorHAnsi" w:cstheme="majorHAnsi"/>
                <w:color w:val="000000"/>
                <w:szCs w:val="18"/>
              </w:rPr>
              <w:t>£650,004</w:t>
            </w:r>
          </w:p>
        </w:tc>
        <w:tc>
          <w:tcPr>
            <w:tcW w:w="1944" w:type="dxa"/>
            <w:tcMar>
              <w:top w:w="100" w:type="dxa"/>
              <w:left w:w="100" w:type="dxa"/>
              <w:bottom w:w="100" w:type="dxa"/>
              <w:right w:w="100" w:type="dxa"/>
            </w:tcMar>
            <w:vAlign w:val="center"/>
          </w:tcPr>
          <w:p w14:paraId="00000319" w14:textId="72F7FCB9" w:rsidR="000B0F63" w:rsidRPr="00A61669" w:rsidRDefault="009566FC" w:rsidP="008E37F6">
            <w:pPr>
              <w:pStyle w:val="TableInfo"/>
              <w:jc w:val="center"/>
              <w:rPr>
                <w:rFonts w:asciiTheme="majorHAnsi" w:hAnsiTheme="majorHAnsi" w:cstheme="majorHAnsi"/>
              </w:rPr>
            </w:pPr>
            <w:r w:rsidRPr="00A61669">
              <w:rPr>
                <w:rFonts w:asciiTheme="majorHAnsi" w:hAnsiTheme="majorHAnsi" w:cstheme="majorHAnsi"/>
                <w:color w:val="000000"/>
                <w:szCs w:val="18"/>
              </w:rPr>
              <w:t>£650,004</w:t>
            </w:r>
          </w:p>
        </w:tc>
        <w:tc>
          <w:tcPr>
            <w:tcW w:w="1944" w:type="dxa"/>
            <w:tcMar>
              <w:top w:w="100" w:type="dxa"/>
              <w:left w:w="100" w:type="dxa"/>
              <w:bottom w:w="100" w:type="dxa"/>
              <w:right w:w="100" w:type="dxa"/>
            </w:tcMar>
            <w:vAlign w:val="center"/>
          </w:tcPr>
          <w:p w14:paraId="0000031B" w14:textId="5E9DD2C7" w:rsidR="000B0F63" w:rsidRPr="00A61669" w:rsidRDefault="009566FC" w:rsidP="008E37F6">
            <w:pPr>
              <w:pStyle w:val="TableInfo"/>
              <w:jc w:val="center"/>
              <w:rPr>
                <w:rFonts w:asciiTheme="majorHAnsi" w:hAnsiTheme="majorHAnsi" w:cstheme="majorHAnsi"/>
              </w:rPr>
            </w:pPr>
            <w:r w:rsidRPr="00A61669">
              <w:rPr>
                <w:rFonts w:asciiTheme="majorHAnsi" w:hAnsiTheme="majorHAnsi" w:cstheme="majorHAnsi"/>
                <w:color w:val="000000"/>
                <w:szCs w:val="18"/>
              </w:rPr>
              <w:t>£650,004</w:t>
            </w:r>
          </w:p>
        </w:tc>
        <w:tc>
          <w:tcPr>
            <w:tcW w:w="1944" w:type="dxa"/>
            <w:tcMar>
              <w:top w:w="100" w:type="dxa"/>
              <w:left w:w="100" w:type="dxa"/>
              <w:bottom w:w="100" w:type="dxa"/>
              <w:right w:w="100" w:type="dxa"/>
            </w:tcMar>
          </w:tcPr>
          <w:p w14:paraId="0000031D" w14:textId="0D075A49" w:rsidR="000B0F63" w:rsidRPr="00A61669" w:rsidRDefault="0FA103C5" w:rsidP="008E37F6">
            <w:pPr>
              <w:pStyle w:val="TableInfo"/>
              <w:rPr>
                <w:rFonts w:asciiTheme="majorHAnsi" w:hAnsiTheme="majorHAnsi" w:cstheme="majorHAnsi"/>
              </w:rPr>
            </w:pPr>
            <w:r w:rsidRPr="00A61669">
              <w:rPr>
                <w:rFonts w:asciiTheme="majorHAnsi" w:hAnsiTheme="majorHAnsi" w:cstheme="majorHAnsi"/>
                <w:lang w:val="en-GB"/>
              </w:rPr>
              <w:t>£</w:t>
            </w:r>
            <w:r w:rsidR="1BAB210A" w:rsidRPr="00A61669">
              <w:rPr>
                <w:rFonts w:asciiTheme="majorHAnsi" w:hAnsiTheme="majorHAnsi" w:cstheme="majorHAnsi"/>
                <w:lang w:val="en-GB"/>
              </w:rPr>
              <w:t>650K</w:t>
            </w:r>
            <w:r w:rsidR="001120CD" w:rsidRPr="00A61669">
              <w:rPr>
                <w:rFonts w:asciiTheme="majorHAnsi" w:hAnsiTheme="majorHAnsi" w:cstheme="majorHAnsi"/>
                <w:lang w:val="en-GB"/>
              </w:rPr>
              <w:t xml:space="preserve"> per year</w:t>
            </w:r>
            <w:r w:rsidR="1BAB210A" w:rsidRPr="00A61669">
              <w:rPr>
                <w:rFonts w:asciiTheme="majorHAnsi" w:hAnsiTheme="majorHAnsi" w:cstheme="majorHAnsi"/>
                <w:lang w:val="en-GB"/>
              </w:rPr>
              <w:t xml:space="preserve"> Oracle support contract retained under BYOL on all Option A/B paths.</w:t>
            </w:r>
          </w:p>
        </w:tc>
      </w:tr>
      <w:tr w:rsidR="007E7776" w14:paraId="282F0E45" w14:textId="77777777">
        <w:tc>
          <w:tcPr>
            <w:tcW w:w="1944" w:type="dxa"/>
            <w:tcMar>
              <w:top w:w="100" w:type="dxa"/>
              <w:left w:w="100" w:type="dxa"/>
              <w:bottom w:w="100" w:type="dxa"/>
              <w:right w:w="100" w:type="dxa"/>
            </w:tcMar>
          </w:tcPr>
          <w:p w14:paraId="0000031F" w14:textId="00000320" w:rsidR="000B0F63" w:rsidRPr="00A61669" w:rsidRDefault="00C05D22" w:rsidP="008E37F6">
            <w:pPr>
              <w:pStyle w:val="TableInfo"/>
              <w:jc w:val="center"/>
              <w:rPr>
                <w:rFonts w:asciiTheme="majorHAnsi" w:hAnsiTheme="majorHAnsi" w:cstheme="majorHAnsi"/>
              </w:rPr>
            </w:pPr>
            <w:r w:rsidRPr="00A61669">
              <w:rPr>
                <w:rFonts w:asciiTheme="majorHAnsi" w:hAnsiTheme="majorHAnsi" w:cstheme="majorHAnsi"/>
              </w:rPr>
              <w:t>SQL Server surcharge</w:t>
            </w:r>
          </w:p>
        </w:tc>
        <w:tc>
          <w:tcPr>
            <w:tcW w:w="1944" w:type="dxa"/>
            <w:tcMar>
              <w:top w:w="100" w:type="dxa"/>
              <w:left w:w="100" w:type="dxa"/>
              <w:bottom w:w="100" w:type="dxa"/>
              <w:right w:w="100" w:type="dxa"/>
            </w:tcMar>
            <w:vAlign w:val="center"/>
          </w:tcPr>
          <w:p w14:paraId="00000321" w14:textId="4ED6FC71" w:rsidR="000B0F63" w:rsidRPr="00A61669" w:rsidRDefault="009566FC" w:rsidP="008E37F6">
            <w:pPr>
              <w:pStyle w:val="TableInfo"/>
              <w:jc w:val="center"/>
              <w:rPr>
                <w:rFonts w:asciiTheme="majorHAnsi" w:hAnsiTheme="majorHAnsi" w:cstheme="majorHAnsi"/>
              </w:rPr>
            </w:pPr>
            <w:r w:rsidRPr="00A61669">
              <w:rPr>
                <w:rFonts w:asciiTheme="majorHAnsi" w:hAnsiTheme="majorHAnsi" w:cstheme="majorHAnsi"/>
                <w:color w:val="000000"/>
                <w:szCs w:val="18"/>
              </w:rPr>
              <w:t>£183,408</w:t>
            </w:r>
          </w:p>
        </w:tc>
        <w:tc>
          <w:tcPr>
            <w:tcW w:w="1944" w:type="dxa"/>
            <w:tcMar>
              <w:top w:w="100" w:type="dxa"/>
              <w:left w:w="100" w:type="dxa"/>
              <w:bottom w:w="100" w:type="dxa"/>
              <w:right w:w="100" w:type="dxa"/>
            </w:tcMar>
            <w:vAlign w:val="center"/>
          </w:tcPr>
          <w:p w14:paraId="00000323" w14:textId="024F2E9A" w:rsidR="000B0F63" w:rsidRPr="00A61669" w:rsidRDefault="009566FC" w:rsidP="008E37F6">
            <w:pPr>
              <w:pStyle w:val="TableInfo"/>
              <w:jc w:val="center"/>
              <w:rPr>
                <w:rFonts w:asciiTheme="majorHAnsi" w:hAnsiTheme="majorHAnsi" w:cstheme="majorHAnsi"/>
              </w:rPr>
            </w:pPr>
            <w:r w:rsidRPr="00A61669">
              <w:rPr>
                <w:rFonts w:asciiTheme="majorHAnsi" w:hAnsiTheme="majorHAnsi" w:cstheme="majorHAnsi"/>
                <w:color w:val="000000"/>
                <w:szCs w:val="18"/>
              </w:rPr>
              <w:t>£171,432</w:t>
            </w:r>
          </w:p>
        </w:tc>
        <w:tc>
          <w:tcPr>
            <w:tcW w:w="1944" w:type="dxa"/>
            <w:tcMar>
              <w:top w:w="100" w:type="dxa"/>
              <w:left w:w="100" w:type="dxa"/>
              <w:bottom w:w="100" w:type="dxa"/>
              <w:right w:w="100" w:type="dxa"/>
            </w:tcMar>
            <w:vAlign w:val="center"/>
          </w:tcPr>
          <w:p w14:paraId="00000325" w14:textId="5C09DDF4" w:rsidR="000B0F63" w:rsidRPr="00A61669" w:rsidRDefault="009566FC" w:rsidP="008E37F6">
            <w:pPr>
              <w:pStyle w:val="TableInfo"/>
              <w:jc w:val="center"/>
              <w:rPr>
                <w:rFonts w:asciiTheme="majorHAnsi" w:hAnsiTheme="majorHAnsi" w:cstheme="majorHAnsi"/>
              </w:rPr>
            </w:pPr>
            <w:r w:rsidRPr="00A61669">
              <w:rPr>
                <w:rFonts w:asciiTheme="majorHAnsi" w:hAnsiTheme="majorHAnsi" w:cstheme="majorHAnsi"/>
                <w:color w:val="000000"/>
                <w:szCs w:val="18"/>
              </w:rPr>
              <w:t>£171,432</w:t>
            </w:r>
          </w:p>
        </w:tc>
        <w:tc>
          <w:tcPr>
            <w:tcW w:w="1944" w:type="dxa"/>
            <w:tcMar>
              <w:top w:w="100" w:type="dxa"/>
              <w:left w:w="100" w:type="dxa"/>
              <w:bottom w:w="100" w:type="dxa"/>
              <w:right w:w="100" w:type="dxa"/>
            </w:tcMar>
          </w:tcPr>
          <w:p w14:paraId="00000327" w14:textId="1E43D746" w:rsidR="000B0F63" w:rsidRPr="00A61669" w:rsidRDefault="00C05D22" w:rsidP="008E37F6">
            <w:pPr>
              <w:pStyle w:val="TableInfo"/>
              <w:rPr>
                <w:rFonts w:asciiTheme="majorHAnsi" w:hAnsiTheme="majorHAnsi" w:cstheme="majorHAnsi"/>
              </w:rPr>
            </w:pPr>
            <w:r w:rsidRPr="00A61669">
              <w:rPr>
                <w:rFonts w:asciiTheme="majorHAnsi" w:hAnsiTheme="majorHAnsi" w:cstheme="majorHAnsi"/>
              </w:rPr>
              <w:t xml:space="preserve">Nets to zero </w:t>
            </w:r>
            <w:r w:rsidR="00B011CB" w:rsidRPr="00A61669">
              <w:rPr>
                <w:rFonts w:asciiTheme="majorHAnsi" w:hAnsiTheme="majorHAnsi" w:cstheme="majorHAnsi"/>
              </w:rPr>
              <w:t>with</w:t>
            </w:r>
            <w:r w:rsidRPr="00A61669">
              <w:rPr>
                <w:rFonts w:asciiTheme="majorHAnsi" w:hAnsiTheme="majorHAnsi" w:cstheme="majorHAnsi"/>
              </w:rPr>
              <w:t xml:space="preserve"> SA (BYOL). </w:t>
            </w:r>
          </w:p>
        </w:tc>
      </w:tr>
    </w:tbl>
    <w:p w14:paraId="00000329" w14:textId="71FE8F64" w:rsidR="000B0F63" w:rsidRPr="00A61669" w:rsidRDefault="1BAB210A" w:rsidP="008E37F6">
      <w:pPr>
        <w:pStyle w:val="Heading3"/>
        <w:jc w:val="center"/>
        <w:rPr>
          <w:rFonts w:asciiTheme="majorHAnsi" w:hAnsiTheme="majorHAnsi" w:cstheme="majorHAnsi"/>
        </w:rPr>
      </w:pPr>
      <w:bookmarkStart w:id="100" w:name="_Toc153"/>
      <w:bookmarkStart w:id="101" w:name="_Toc227770936"/>
      <w:r w:rsidRPr="00A61669">
        <w:rPr>
          <w:rFonts w:asciiTheme="majorHAnsi" w:hAnsiTheme="majorHAnsi" w:cstheme="majorHAnsi"/>
        </w:rPr>
        <w:t xml:space="preserve">Optional </w:t>
      </w:r>
      <w:r w:rsidR="00DF2C77" w:rsidRPr="00A61669">
        <w:rPr>
          <w:rFonts w:asciiTheme="majorHAnsi" w:hAnsiTheme="majorHAnsi" w:cstheme="majorHAnsi"/>
        </w:rPr>
        <w:t xml:space="preserve">cost reduction </w:t>
      </w:r>
      <w:r w:rsidRPr="00A61669">
        <w:rPr>
          <w:rFonts w:asciiTheme="majorHAnsi" w:hAnsiTheme="majorHAnsi" w:cstheme="majorHAnsi"/>
        </w:rPr>
        <w:t>levers</w:t>
      </w:r>
      <w:bookmarkEnd w:id="100"/>
      <w:bookmarkEnd w:id="101"/>
      <w:r w:rsidR="00DF2C77" w:rsidRPr="00A61669">
        <w:rPr>
          <w:rFonts w:asciiTheme="majorHAnsi" w:hAnsiTheme="majorHAnsi" w:cstheme="majorHAnsi"/>
        </w:rPr>
        <w:t xml:space="preserve"> (annual)</w:t>
      </w:r>
    </w:p>
    <w:tbl>
      <w:tblPr>
        <w:tblW w:w="9720" w:type="dxa"/>
        <w:tblCellMar>
          <w:top w:w="100" w:type="dxa"/>
          <w:left w:w="100" w:type="dxa"/>
          <w:bottom w:w="100" w:type="dxa"/>
          <w:right w:w="100" w:type="dxa"/>
        </w:tblCellMar>
        <w:tblLook w:val="04A0" w:firstRow="1" w:lastRow="0" w:firstColumn="1" w:lastColumn="0" w:noHBand="0" w:noVBand="1"/>
      </w:tblPr>
      <w:tblGrid>
        <w:gridCol w:w="1944"/>
        <w:gridCol w:w="1944"/>
        <w:gridCol w:w="1944"/>
        <w:gridCol w:w="1944"/>
        <w:gridCol w:w="1944"/>
      </w:tblGrid>
      <w:tr w:rsidR="00723435" w14:paraId="0D2B21D4" w14:textId="77777777" w:rsidTr="1BAB210A">
        <w:trPr>
          <w:cantSplit/>
        </w:trPr>
        <w:tc>
          <w:tcPr>
            <w:tcW w:w="1944" w:type="dxa"/>
            <w:shd w:val="clear" w:color="auto" w:fill="D9D9D9" w:themeFill="background1" w:themeFillShade="D9"/>
            <w:tcMar>
              <w:top w:w="100" w:type="dxa"/>
              <w:left w:w="100" w:type="dxa"/>
              <w:bottom w:w="100" w:type="dxa"/>
              <w:right w:w="100" w:type="dxa"/>
            </w:tcMar>
          </w:tcPr>
          <w:p w14:paraId="0000032B" w14:textId="0000032C" w:rsidR="000B0F63" w:rsidRPr="00A61669" w:rsidRDefault="00C05D22" w:rsidP="008E37F6">
            <w:pPr>
              <w:pStyle w:val="TableHeader"/>
              <w:jc w:val="center"/>
              <w:rPr>
                <w:rFonts w:asciiTheme="majorHAnsi" w:hAnsiTheme="majorHAnsi" w:cstheme="majorHAnsi"/>
              </w:rPr>
            </w:pPr>
            <w:r w:rsidRPr="00A61669">
              <w:rPr>
                <w:rFonts w:asciiTheme="majorHAnsi" w:hAnsiTheme="majorHAnsi" w:cstheme="majorHAnsi"/>
              </w:rPr>
              <w:t>Lever</w:t>
            </w:r>
          </w:p>
        </w:tc>
        <w:tc>
          <w:tcPr>
            <w:tcW w:w="1944" w:type="dxa"/>
            <w:shd w:val="clear" w:color="auto" w:fill="D9D9D9" w:themeFill="background1" w:themeFillShade="D9"/>
            <w:tcMar>
              <w:top w:w="100" w:type="dxa"/>
              <w:left w:w="100" w:type="dxa"/>
              <w:bottom w:w="100" w:type="dxa"/>
              <w:right w:w="100" w:type="dxa"/>
            </w:tcMar>
          </w:tcPr>
          <w:p w14:paraId="0000032D" w14:textId="0000032E" w:rsidR="000B0F63" w:rsidRPr="00A61669" w:rsidRDefault="00C05D22" w:rsidP="008E37F6">
            <w:pPr>
              <w:pStyle w:val="TableHeader"/>
              <w:jc w:val="center"/>
              <w:rPr>
                <w:rFonts w:asciiTheme="majorHAnsi" w:hAnsiTheme="majorHAnsi" w:cstheme="majorHAnsi"/>
              </w:rPr>
            </w:pPr>
            <w:r w:rsidRPr="00A61669">
              <w:rPr>
                <w:rFonts w:asciiTheme="majorHAnsi" w:hAnsiTheme="majorHAnsi" w:cstheme="majorHAnsi"/>
              </w:rPr>
              <w:t>GCP impact</w:t>
            </w:r>
          </w:p>
        </w:tc>
        <w:tc>
          <w:tcPr>
            <w:tcW w:w="1944" w:type="dxa"/>
            <w:shd w:val="clear" w:color="auto" w:fill="D9D9D9" w:themeFill="background1" w:themeFillShade="D9"/>
            <w:tcMar>
              <w:top w:w="100" w:type="dxa"/>
              <w:left w:w="100" w:type="dxa"/>
              <w:bottom w:w="100" w:type="dxa"/>
              <w:right w:w="100" w:type="dxa"/>
            </w:tcMar>
          </w:tcPr>
          <w:p w14:paraId="0000032F" w14:textId="00000330" w:rsidR="000B0F63" w:rsidRPr="00A61669" w:rsidRDefault="00C05D22" w:rsidP="008E37F6">
            <w:pPr>
              <w:pStyle w:val="TableHeader"/>
              <w:jc w:val="center"/>
              <w:rPr>
                <w:rFonts w:asciiTheme="majorHAnsi" w:hAnsiTheme="majorHAnsi" w:cstheme="majorHAnsi"/>
              </w:rPr>
            </w:pPr>
            <w:r w:rsidRPr="00A61669">
              <w:rPr>
                <w:rFonts w:asciiTheme="majorHAnsi" w:hAnsiTheme="majorHAnsi" w:cstheme="majorHAnsi"/>
              </w:rPr>
              <w:t>AWS impact</w:t>
            </w:r>
          </w:p>
        </w:tc>
        <w:tc>
          <w:tcPr>
            <w:tcW w:w="1944" w:type="dxa"/>
            <w:shd w:val="clear" w:color="auto" w:fill="D9D9D9" w:themeFill="background1" w:themeFillShade="D9"/>
            <w:tcMar>
              <w:top w:w="100" w:type="dxa"/>
              <w:left w:w="100" w:type="dxa"/>
              <w:bottom w:w="100" w:type="dxa"/>
              <w:right w:w="100" w:type="dxa"/>
            </w:tcMar>
          </w:tcPr>
          <w:p w14:paraId="00000331" w14:textId="00000332" w:rsidR="000B0F63" w:rsidRPr="00A61669" w:rsidRDefault="00C05D22" w:rsidP="008E37F6">
            <w:pPr>
              <w:pStyle w:val="TableHeader"/>
              <w:jc w:val="center"/>
              <w:rPr>
                <w:rFonts w:asciiTheme="majorHAnsi" w:hAnsiTheme="majorHAnsi" w:cstheme="majorHAnsi"/>
              </w:rPr>
            </w:pPr>
            <w:r w:rsidRPr="00A61669">
              <w:rPr>
                <w:rFonts w:asciiTheme="majorHAnsi" w:hAnsiTheme="majorHAnsi" w:cstheme="majorHAnsi"/>
              </w:rPr>
              <w:t>Azure impact</w:t>
            </w:r>
          </w:p>
        </w:tc>
        <w:tc>
          <w:tcPr>
            <w:tcW w:w="1944" w:type="dxa"/>
            <w:shd w:val="clear" w:color="auto" w:fill="D9D9D9" w:themeFill="background1" w:themeFillShade="D9"/>
            <w:tcMar>
              <w:top w:w="100" w:type="dxa"/>
              <w:left w:w="100" w:type="dxa"/>
              <w:bottom w:w="100" w:type="dxa"/>
              <w:right w:w="100" w:type="dxa"/>
            </w:tcMar>
          </w:tcPr>
          <w:p w14:paraId="00000333" w14:textId="00000334" w:rsidR="000B0F63" w:rsidRPr="00A61669" w:rsidRDefault="00C05D22" w:rsidP="008E37F6">
            <w:pPr>
              <w:pStyle w:val="TableHeader"/>
              <w:jc w:val="center"/>
              <w:rPr>
                <w:rFonts w:asciiTheme="majorHAnsi" w:hAnsiTheme="majorHAnsi" w:cstheme="majorHAnsi"/>
              </w:rPr>
            </w:pPr>
            <w:r w:rsidRPr="00A61669">
              <w:rPr>
                <w:rFonts w:asciiTheme="majorHAnsi" w:hAnsiTheme="majorHAnsi" w:cstheme="majorHAnsi"/>
              </w:rPr>
              <w:t>Condition</w:t>
            </w:r>
          </w:p>
        </w:tc>
      </w:tr>
      <w:tr w:rsidR="007E7776" w14:paraId="0020775E" w14:textId="77777777">
        <w:tc>
          <w:tcPr>
            <w:tcW w:w="1944" w:type="dxa"/>
            <w:tcMar>
              <w:top w:w="100" w:type="dxa"/>
              <w:left w:w="100" w:type="dxa"/>
              <w:bottom w:w="100" w:type="dxa"/>
              <w:right w:w="100" w:type="dxa"/>
            </w:tcMar>
          </w:tcPr>
          <w:p w14:paraId="00000335" w14:textId="00000336" w:rsidR="000B0F63" w:rsidRPr="00A61669" w:rsidRDefault="00C05D22" w:rsidP="008E37F6">
            <w:pPr>
              <w:pStyle w:val="TableInfo"/>
              <w:jc w:val="center"/>
              <w:rPr>
                <w:rFonts w:asciiTheme="majorHAnsi" w:hAnsiTheme="majorHAnsi" w:cstheme="majorHAnsi"/>
              </w:rPr>
            </w:pPr>
            <w:r w:rsidRPr="00A61669">
              <w:rPr>
                <w:rFonts w:asciiTheme="majorHAnsi" w:hAnsiTheme="majorHAnsi" w:cstheme="majorHAnsi"/>
              </w:rPr>
              <w:t>Windows BYOL</w:t>
            </w:r>
          </w:p>
        </w:tc>
        <w:tc>
          <w:tcPr>
            <w:tcW w:w="1944" w:type="dxa"/>
            <w:tcMar>
              <w:top w:w="100" w:type="dxa"/>
              <w:left w:w="100" w:type="dxa"/>
              <w:bottom w:w="100" w:type="dxa"/>
              <w:right w:w="100" w:type="dxa"/>
            </w:tcMar>
            <w:vAlign w:val="center"/>
          </w:tcPr>
          <w:p w14:paraId="00000337" w14:textId="721D057E" w:rsidR="00CD1E04" w:rsidRPr="00A61669" w:rsidRDefault="00DF2C77" w:rsidP="008E37F6">
            <w:pPr>
              <w:pStyle w:val="TableInfo"/>
              <w:jc w:val="center"/>
              <w:rPr>
                <w:rFonts w:asciiTheme="majorHAnsi" w:hAnsiTheme="majorHAnsi" w:cstheme="majorHAnsi"/>
              </w:rPr>
            </w:pPr>
            <w:r w:rsidRPr="00A61669">
              <w:rPr>
                <w:rFonts w:asciiTheme="majorHAnsi" w:hAnsiTheme="majorHAnsi" w:cstheme="majorHAnsi"/>
                <w:color w:val="FF0000"/>
                <w:szCs w:val="18"/>
              </w:rPr>
              <w:t>-£86,640</w:t>
            </w:r>
          </w:p>
        </w:tc>
        <w:tc>
          <w:tcPr>
            <w:tcW w:w="1944" w:type="dxa"/>
            <w:tcMar>
              <w:top w:w="100" w:type="dxa"/>
              <w:left w:w="100" w:type="dxa"/>
              <w:bottom w:w="100" w:type="dxa"/>
              <w:right w:w="100" w:type="dxa"/>
            </w:tcMar>
            <w:vAlign w:val="center"/>
          </w:tcPr>
          <w:p w14:paraId="00000339" w14:textId="710BB98C" w:rsidR="00CD1E04" w:rsidRPr="00A61669" w:rsidRDefault="00DF2C77" w:rsidP="008E37F6">
            <w:pPr>
              <w:pStyle w:val="TableInfo"/>
              <w:jc w:val="center"/>
              <w:rPr>
                <w:rFonts w:asciiTheme="majorHAnsi" w:hAnsiTheme="majorHAnsi" w:cstheme="majorHAnsi"/>
                <w:color w:val="FF0000"/>
                <w:szCs w:val="18"/>
              </w:rPr>
            </w:pPr>
            <w:r w:rsidRPr="00A61669">
              <w:rPr>
                <w:rFonts w:asciiTheme="majorHAnsi" w:hAnsiTheme="majorHAnsi" w:cstheme="majorHAnsi"/>
                <w:color w:val="FF0000"/>
                <w:szCs w:val="18"/>
              </w:rPr>
              <w:t>-£103,260</w:t>
            </w:r>
          </w:p>
        </w:tc>
        <w:tc>
          <w:tcPr>
            <w:tcW w:w="1944" w:type="dxa"/>
            <w:tcMar>
              <w:top w:w="100" w:type="dxa"/>
              <w:left w:w="100" w:type="dxa"/>
              <w:bottom w:w="100" w:type="dxa"/>
              <w:right w:w="100" w:type="dxa"/>
            </w:tcMar>
            <w:vAlign w:val="center"/>
          </w:tcPr>
          <w:p w14:paraId="0000033B" w14:textId="51E8D3A4" w:rsidR="000B0F63" w:rsidRPr="00A61669" w:rsidRDefault="003F1196" w:rsidP="003F1196">
            <w:pPr>
              <w:spacing w:after="0"/>
              <w:jc w:val="center"/>
              <w:rPr>
                <w:rFonts w:asciiTheme="majorHAnsi" w:eastAsiaTheme="minorHAnsi" w:hAnsiTheme="majorHAnsi" w:cstheme="majorHAnsi"/>
                <w:color w:val="FF0000"/>
                <w:sz w:val="18"/>
                <w:szCs w:val="18"/>
                <w:lang w:val="en-US"/>
              </w:rPr>
            </w:pPr>
            <w:r w:rsidRPr="00A61669">
              <w:rPr>
                <w:rFonts w:asciiTheme="majorHAnsi" w:eastAsiaTheme="minorHAnsi" w:hAnsiTheme="majorHAnsi" w:cstheme="majorHAnsi"/>
                <w:color w:val="FF0000"/>
                <w:sz w:val="18"/>
                <w:szCs w:val="18"/>
                <w:lang w:val="en-US"/>
              </w:rPr>
              <w:t>-£210,348</w:t>
            </w:r>
          </w:p>
        </w:tc>
        <w:tc>
          <w:tcPr>
            <w:tcW w:w="1944" w:type="dxa"/>
            <w:tcMar>
              <w:top w:w="100" w:type="dxa"/>
              <w:left w:w="100" w:type="dxa"/>
              <w:bottom w:w="100" w:type="dxa"/>
              <w:right w:w="100" w:type="dxa"/>
            </w:tcMar>
          </w:tcPr>
          <w:p w14:paraId="0000033D" w14:textId="0000033E" w:rsidR="000B0F63" w:rsidRPr="00A61669" w:rsidRDefault="00C05D22" w:rsidP="008E37F6">
            <w:pPr>
              <w:pStyle w:val="TableInfo"/>
              <w:rPr>
                <w:rFonts w:asciiTheme="majorHAnsi" w:hAnsiTheme="majorHAnsi" w:cstheme="majorHAnsi"/>
              </w:rPr>
            </w:pPr>
            <w:r w:rsidRPr="00A61669">
              <w:rPr>
                <w:rFonts w:asciiTheme="majorHAnsi" w:hAnsiTheme="majorHAnsi" w:cstheme="majorHAnsi"/>
              </w:rPr>
              <w:t>Requires active Software Assurance. Different mechanics per cloud. In Complete View.</w:t>
            </w:r>
          </w:p>
        </w:tc>
      </w:tr>
      <w:tr w:rsidR="007E7776" w14:paraId="08F6BB52" w14:textId="77777777">
        <w:tc>
          <w:tcPr>
            <w:tcW w:w="1944" w:type="dxa"/>
            <w:tcMar>
              <w:top w:w="100" w:type="dxa"/>
              <w:left w:w="100" w:type="dxa"/>
              <w:bottom w:w="100" w:type="dxa"/>
              <w:right w:w="100" w:type="dxa"/>
            </w:tcMar>
          </w:tcPr>
          <w:p w14:paraId="0000033F" w14:textId="00000340" w:rsidR="000B0F63" w:rsidRPr="00A61669" w:rsidRDefault="00C05D22" w:rsidP="008E37F6">
            <w:pPr>
              <w:pStyle w:val="TableInfo"/>
              <w:jc w:val="center"/>
              <w:rPr>
                <w:rFonts w:asciiTheme="majorHAnsi" w:hAnsiTheme="majorHAnsi" w:cstheme="majorHAnsi"/>
              </w:rPr>
            </w:pPr>
            <w:r w:rsidRPr="00A61669">
              <w:rPr>
                <w:rFonts w:asciiTheme="majorHAnsi" w:hAnsiTheme="majorHAnsi" w:cstheme="majorHAnsi"/>
              </w:rPr>
              <w:t>Storage tiering (non-prod to HDD)</w:t>
            </w:r>
          </w:p>
        </w:tc>
        <w:tc>
          <w:tcPr>
            <w:tcW w:w="1944" w:type="dxa"/>
            <w:tcMar>
              <w:top w:w="100" w:type="dxa"/>
              <w:left w:w="100" w:type="dxa"/>
              <w:bottom w:w="100" w:type="dxa"/>
              <w:right w:w="100" w:type="dxa"/>
            </w:tcMar>
            <w:vAlign w:val="center"/>
          </w:tcPr>
          <w:p w14:paraId="00000341" w14:textId="08B3F906" w:rsidR="000B0F63" w:rsidRPr="00A61669" w:rsidRDefault="00DF2C77" w:rsidP="008E37F6">
            <w:pPr>
              <w:pStyle w:val="TableInfo"/>
              <w:jc w:val="center"/>
              <w:rPr>
                <w:rFonts w:asciiTheme="majorHAnsi" w:hAnsiTheme="majorHAnsi" w:cstheme="majorHAnsi"/>
              </w:rPr>
            </w:pPr>
            <w:r w:rsidRPr="00A61669">
              <w:rPr>
                <w:rFonts w:asciiTheme="majorHAnsi" w:hAnsiTheme="majorHAnsi" w:cstheme="majorHAnsi"/>
                <w:color w:val="FF0000"/>
                <w:szCs w:val="18"/>
              </w:rPr>
              <w:t>-£223,236</w:t>
            </w:r>
          </w:p>
        </w:tc>
        <w:tc>
          <w:tcPr>
            <w:tcW w:w="1944" w:type="dxa"/>
            <w:tcMar>
              <w:top w:w="100" w:type="dxa"/>
              <w:left w:w="100" w:type="dxa"/>
              <w:bottom w:w="100" w:type="dxa"/>
              <w:right w:w="100" w:type="dxa"/>
            </w:tcMar>
            <w:vAlign w:val="center"/>
          </w:tcPr>
          <w:p w14:paraId="00000343" w14:textId="71151C00" w:rsidR="000B0F63" w:rsidRPr="00A61669" w:rsidRDefault="00DF2C77" w:rsidP="008E37F6">
            <w:pPr>
              <w:pStyle w:val="TableInfo"/>
              <w:jc w:val="center"/>
              <w:rPr>
                <w:rFonts w:asciiTheme="majorHAnsi" w:hAnsiTheme="majorHAnsi" w:cstheme="majorHAnsi"/>
                <w:color w:val="FF0000"/>
                <w:szCs w:val="18"/>
              </w:rPr>
            </w:pPr>
            <w:r w:rsidRPr="00A61669">
              <w:rPr>
                <w:rFonts w:asciiTheme="majorHAnsi" w:hAnsiTheme="majorHAnsi" w:cstheme="majorHAnsi"/>
                <w:color w:val="FF0000"/>
                <w:szCs w:val="18"/>
              </w:rPr>
              <w:t>-£123,132</w:t>
            </w:r>
          </w:p>
        </w:tc>
        <w:tc>
          <w:tcPr>
            <w:tcW w:w="1944" w:type="dxa"/>
            <w:tcMar>
              <w:top w:w="100" w:type="dxa"/>
              <w:left w:w="100" w:type="dxa"/>
              <w:bottom w:w="100" w:type="dxa"/>
              <w:right w:w="100" w:type="dxa"/>
            </w:tcMar>
            <w:vAlign w:val="center"/>
          </w:tcPr>
          <w:p w14:paraId="00000345" w14:textId="1D047B8F" w:rsidR="000B0F63" w:rsidRPr="00A61669" w:rsidRDefault="00DF2C77" w:rsidP="008E37F6">
            <w:pPr>
              <w:pStyle w:val="TableInfo"/>
              <w:jc w:val="center"/>
              <w:rPr>
                <w:rFonts w:asciiTheme="majorHAnsi" w:hAnsiTheme="majorHAnsi" w:cstheme="majorHAnsi"/>
                <w:color w:val="FF0000"/>
                <w:szCs w:val="18"/>
              </w:rPr>
            </w:pPr>
            <w:r w:rsidRPr="00A61669">
              <w:rPr>
                <w:rFonts w:asciiTheme="majorHAnsi" w:hAnsiTheme="majorHAnsi" w:cstheme="majorHAnsi"/>
                <w:color w:val="FF0000"/>
                <w:szCs w:val="18"/>
              </w:rPr>
              <w:t>-£119,568</w:t>
            </w:r>
          </w:p>
        </w:tc>
        <w:tc>
          <w:tcPr>
            <w:tcW w:w="1944" w:type="dxa"/>
            <w:tcMar>
              <w:top w:w="100" w:type="dxa"/>
              <w:left w:w="100" w:type="dxa"/>
              <w:bottom w:w="100" w:type="dxa"/>
              <w:right w:w="100" w:type="dxa"/>
            </w:tcMar>
          </w:tcPr>
          <w:p w14:paraId="00000347" w14:textId="00000348" w:rsidR="000B0F63" w:rsidRPr="00A61669" w:rsidRDefault="00C05D22" w:rsidP="008E37F6">
            <w:pPr>
              <w:pStyle w:val="TableInfo"/>
              <w:rPr>
                <w:rFonts w:asciiTheme="majorHAnsi" w:hAnsiTheme="majorHAnsi" w:cstheme="majorHAnsi"/>
              </w:rPr>
            </w:pPr>
            <w:r w:rsidRPr="00A61669">
              <w:rPr>
                <w:rFonts w:asciiTheme="majorHAnsi" w:hAnsiTheme="majorHAnsi" w:cstheme="majorHAnsi"/>
              </w:rPr>
              <w:t xml:space="preserve">Apply to 336 TiB non-prod. GCP has widest SSD-HDD </w:t>
            </w:r>
            <w:r w:rsidRPr="00A61669">
              <w:rPr>
                <w:rFonts w:asciiTheme="majorHAnsi" w:hAnsiTheme="majorHAnsi" w:cstheme="majorHAnsi"/>
              </w:rPr>
              <w:lastRenderedPageBreak/>
              <w:t>gap. In Complete View.</w:t>
            </w:r>
          </w:p>
        </w:tc>
      </w:tr>
      <w:tr w:rsidR="007E7776" w14:paraId="41BCF984" w14:textId="77777777">
        <w:tc>
          <w:tcPr>
            <w:tcW w:w="1944" w:type="dxa"/>
            <w:tcMar>
              <w:top w:w="100" w:type="dxa"/>
              <w:left w:w="100" w:type="dxa"/>
              <w:bottom w:w="100" w:type="dxa"/>
              <w:right w:w="100" w:type="dxa"/>
            </w:tcMar>
          </w:tcPr>
          <w:p w14:paraId="00000349" w14:textId="0000034A"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lastRenderedPageBreak/>
              <w:t>RHEL BYOL</w:t>
            </w:r>
          </w:p>
        </w:tc>
        <w:tc>
          <w:tcPr>
            <w:tcW w:w="1944" w:type="dxa"/>
            <w:tcMar>
              <w:top w:w="100" w:type="dxa"/>
              <w:left w:w="100" w:type="dxa"/>
              <w:bottom w:w="100" w:type="dxa"/>
              <w:right w:w="100" w:type="dxa"/>
            </w:tcMar>
            <w:vAlign w:val="center"/>
          </w:tcPr>
          <w:p w14:paraId="0000034B" w14:textId="64BC8BC2" w:rsidR="000B0F63" w:rsidRPr="00A61669" w:rsidRDefault="00DF2C77" w:rsidP="00D95D23">
            <w:pPr>
              <w:pStyle w:val="TableInfo"/>
              <w:jc w:val="center"/>
              <w:rPr>
                <w:rFonts w:asciiTheme="majorHAnsi" w:hAnsiTheme="majorHAnsi" w:cstheme="majorHAnsi"/>
              </w:rPr>
            </w:pPr>
            <w:r w:rsidRPr="00A61669">
              <w:rPr>
                <w:rFonts w:asciiTheme="majorHAnsi" w:hAnsiTheme="majorHAnsi" w:cstheme="majorHAnsi"/>
                <w:color w:val="FF0000"/>
                <w:szCs w:val="18"/>
              </w:rPr>
              <w:t>-£59,220</w:t>
            </w:r>
          </w:p>
        </w:tc>
        <w:tc>
          <w:tcPr>
            <w:tcW w:w="1944" w:type="dxa"/>
            <w:tcMar>
              <w:top w:w="100" w:type="dxa"/>
              <w:left w:w="100" w:type="dxa"/>
              <w:bottom w:w="100" w:type="dxa"/>
              <w:right w:w="100" w:type="dxa"/>
            </w:tcMar>
            <w:vAlign w:val="center"/>
          </w:tcPr>
          <w:p w14:paraId="0000034D" w14:textId="347957C7" w:rsidR="000B0F63" w:rsidRPr="00A61669" w:rsidRDefault="00DF2C77" w:rsidP="00D95D23">
            <w:pPr>
              <w:pStyle w:val="TableInfo"/>
              <w:jc w:val="center"/>
              <w:rPr>
                <w:rFonts w:asciiTheme="majorHAnsi" w:hAnsiTheme="majorHAnsi" w:cstheme="majorHAnsi"/>
              </w:rPr>
            </w:pPr>
            <w:r w:rsidRPr="00A61669">
              <w:rPr>
                <w:rFonts w:asciiTheme="majorHAnsi" w:hAnsiTheme="majorHAnsi" w:cstheme="majorHAnsi"/>
                <w:color w:val="FF0000"/>
                <w:szCs w:val="18"/>
              </w:rPr>
              <w:t>-£64,800</w:t>
            </w:r>
          </w:p>
        </w:tc>
        <w:tc>
          <w:tcPr>
            <w:tcW w:w="1944" w:type="dxa"/>
            <w:tcMar>
              <w:top w:w="100" w:type="dxa"/>
              <w:left w:w="100" w:type="dxa"/>
              <w:bottom w:w="100" w:type="dxa"/>
              <w:right w:w="100" w:type="dxa"/>
            </w:tcMar>
            <w:vAlign w:val="center"/>
          </w:tcPr>
          <w:p w14:paraId="0000034F" w14:textId="7D843896" w:rsidR="000B0F63" w:rsidRPr="00A61669" w:rsidRDefault="00DF2C77" w:rsidP="00D95D23">
            <w:pPr>
              <w:pStyle w:val="TableInfo"/>
              <w:jc w:val="center"/>
              <w:rPr>
                <w:rFonts w:asciiTheme="majorHAnsi" w:hAnsiTheme="majorHAnsi" w:cstheme="majorHAnsi"/>
              </w:rPr>
            </w:pPr>
            <w:r w:rsidRPr="00A61669">
              <w:rPr>
                <w:rFonts w:asciiTheme="majorHAnsi" w:hAnsiTheme="majorHAnsi" w:cstheme="majorHAnsi"/>
                <w:color w:val="FF0000"/>
                <w:szCs w:val="18"/>
              </w:rPr>
              <w:t>-£59,220</w:t>
            </w:r>
          </w:p>
        </w:tc>
        <w:tc>
          <w:tcPr>
            <w:tcW w:w="1944" w:type="dxa"/>
            <w:tcMar>
              <w:top w:w="100" w:type="dxa"/>
              <w:left w:w="100" w:type="dxa"/>
              <w:bottom w:w="100" w:type="dxa"/>
              <w:right w:w="100" w:type="dxa"/>
            </w:tcMar>
          </w:tcPr>
          <w:p w14:paraId="00000351" w14:textId="00000352" w:rsidR="000B0F63" w:rsidRPr="00A61669" w:rsidRDefault="00C05D22" w:rsidP="008E37F6">
            <w:pPr>
              <w:pStyle w:val="TableInfo"/>
              <w:rPr>
                <w:rFonts w:asciiTheme="majorHAnsi" w:hAnsiTheme="majorHAnsi" w:cstheme="majorHAnsi"/>
              </w:rPr>
            </w:pPr>
            <w:r w:rsidRPr="00A61669">
              <w:rPr>
                <w:rFonts w:asciiTheme="majorHAnsi" w:hAnsiTheme="majorHAnsi" w:cstheme="majorHAnsi"/>
              </w:rPr>
              <w:t>153 servers via Red Hat Cloud Access. Not in Complete View (requires client confirmation).</w:t>
            </w:r>
          </w:p>
        </w:tc>
      </w:tr>
      <w:tr w:rsidR="007E7776" w14:paraId="324D2DAC" w14:textId="77777777">
        <w:tc>
          <w:tcPr>
            <w:tcW w:w="1944" w:type="dxa"/>
            <w:tcMar>
              <w:top w:w="100" w:type="dxa"/>
              <w:left w:w="100" w:type="dxa"/>
              <w:bottom w:w="100" w:type="dxa"/>
              <w:right w:w="100" w:type="dxa"/>
            </w:tcMar>
          </w:tcPr>
          <w:p w14:paraId="00000353" w14:textId="00000354"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Azure Dev/Test</w:t>
            </w:r>
          </w:p>
        </w:tc>
        <w:tc>
          <w:tcPr>
            <w:tcW w:w="1944" w:type="dxa"/>
            <w:tcMar>
              <w:top w:w="100" w:type="dxa"/>
              <w:left w:w="100" w:type="dxa"/>
              <w:bottom w:w="100" w:type="dxa"/>
              <w:right w:w="100" w:type="dxa"/>
            </w:tcMar>
            <w:vAlign w:val="center"/>
          </w:tcPr>
          <w:p w14:paraId="00000355" w14:textId="2A9A07A8" w:rsidR="000B0F63" w:rsidRPr="00A61669" w:rsidRDefault="00C05D22" w:rsidP="00D95D23">
            <w:pPr>
              <w:pStyle w:val="TableInfo"/>
              <w:jc w:val="center"/>
              <w:rPr>
                <w:rFonts w:asciiTheme="majorHAnsi" w:hAnsiTheme="majorHAnsi" w:cstheme="majorHAnsi"/>
              </w:rPr>
            </w:pPr>
            <w:r w:rsidRPr="00A61669">
              <w:rPr>
                <w:rFonts w:asciiTheme="majorHAnsi" w:hAnsiTheme="majorHAnsi" w:cstheme="majorHAnsi"/>
                <w:color w:val="000000"/>
                <w:szCs w:val="18"/>
              </w:rPr>
              <w:t>n/a</w:t>
            </w:r>
          </w:p>
        </w:tc>
        <w:tc>
          <w:tcPr>
            <w:tcW w:w="1944" w:type="dxa"/>
            <w:tcMar>
              <w:top w:w="100" w:type="dxa"/>
              <w:left w:w="100" w:type="dxa"/>
              <w:bottom w:w="100" w:type="dxa"/>
              <w:right w:w="100" w:type="dxa"/>
            </w:tcMar>
            <w:vAlign w:val="center"/>
          </w:tcPr>
          <w:p w14:paraId="00000357" w14:textId="7B9EBBFD" w:rsidR="000B0F63" w:rsidRPr="00A61669" w:rsidRDefault="00C05D22" w:rsidP="00D95D23">
            <w:pPr>
              <w:pStyle w:val="TableInfo"/>
              <w:jc w:val="center"/>
              <w:rPr>
                <w:rFonts w:asciiTheme="majorHAnsi" w:hAnsiTheme="majorHAnsi" w:cstheme="majorHAnsi"/>
              </w:rPr>
            </w:pPr>
            <w:r w:rsidRPr="00A61669">
              <w:rPr>
                <w:rFonts w:asciiTheme="majorHAnsi" w:hAnsiTheme="majorHAnsi" w:cstheme="majorHAnsi"/>
                <w:color w:val="000000"/>
                <w:szCs w:val="18"/>
              </w:rPr>
              <w:t>n/a</w:t>
            </w:r>
          </w:p>
        </w:tc>
        <w:tc>
          <w:tcPr>
            <w:tcW w:w="1944" w:type="dxa"/>
            <w:tcMar>
              <w:top w:w="100" w:type="dxa"/>
              <w:left w:w="100" w:type="dxa"/>
              <w:bottom w:w="100" w:type="dxa"/>
              <w:right w:w="100" w:type="dxa"/>
            </w:tcMar>
            <w:vAlign w:val="center"/>
          </w:tcPr>
          <w:p w14:paraId="00000359" w14:textId="4EB44E06" w:rsidR="000B0F63" w:rsidRPr="00A61669" w:rsidRDefault="00DF2C77" w:rsidP="00D95D23">
            <w:pPr>
              <w:pStyle w:val="TableInfo"/>
              <w:jc w:val="center"/>
              <w:rPr>
                <w:rFonts w:asciiTheme="majorHAnsi" w:hAnsiTheme="majorHAnsi" w:cstheme="majorHAnsi"/>
              </w:rPr>
            </w:pPr>
            <w:r w:rsidRPr="00A61669">
              <w:rPr>
                <w:rFonts w:asciiTheme="majorHAnsi" w:hAnsiTheme="majorHAnsi" w:cstheme="majorHAnsi"/>
                <w:color w:val="FF0000"/>
                <w:szCs w:val="18"/>
              </w:rPr>
              <w:t>-£29,700</w:t>
            </w:r>
          </w:p>
        </w:tc>
        <w:tc>
          <w:tcPr>
            <w:tcW w:w="1944" w:type="dxa"/>
            <w:tcMar>
              <w:top w:w="100" w:type="dxa"/>
              <w:left w:w="100" w:type="dxa"/>
              <w:bottom w:w="100" w:type="dxa"/>
              <w:right w:w="100" w:type="dxa"/>
            </w:tcMar>
          </w:tcPr>
          <w:p w14:paraId="0000035B" w14:textId="0000035C" w:rsidR="000B0F63" w:rsidRPr="00A61669" w:rsidRDefault="00C05D22" w:rsidP="008E37F6">
            <w:pPr>
              <w:pStyle w:val="TableInfo"/>
              <w:rPr>
                <w:rFonts w:asciiTheme="majorHAnsi" w:hAnsiTheme="majorHAnsi" w:cstheme="majorHAnsi"/>
              </w:rPr>
            </w:pPr>
            <w:r w:rsidRPr="00A61669">
              <w:rPr>
                <w:rFonts w:asciiTheme="majorHAnsi" w:hAnsiTheme="majorHAnsi" w:cstheme="majorHAnsi"/>
              </w:rPr>
              <w:t>49 non-prod Windows. Requires EA and Visual Studio subscriptions. Not in Complete View.</w:t>
            </w:r>
          </w:p>
        </w:tc>
      </w:tr>
    </w:tbl>
    <w:p w14:paraId="0000035D" w14:textId="0000035E" w:rsidR="000B0F63" w:rsidRPr="00A61669" w:rsidRDefault="00C05D22" w:rsidP="00E40261">
      <w:pPr>
        <w:jc w:val="both"/>
        <w:rPr>
          <w:rFonts w:asciiTheme="majorHAnsi" w:hAnsiTheme="majorHAnsi" w:cstheme="majorHAnsi"/>
        </w:rPr>
      </w:pPr>
      <w:r w:rsidRPr="00A61669">
        <w:rPr>
          <w:rFonts w:asciiTheme="majorHAnsi" w:hAnsiTheme="majorHAnsi" w:cstheme="majorHAnsi"/>
        </w:rPr>
        <w:t>Windows BYOL mechanics differ materially per cloud:</w:t>
      </w:r>
    </w:p>
    <w:p w14:paraId="0000035F" w14:textId="00000360" w:rsidR="000B0F63" w:rsidRPr="00A61669" w:rsidRDefault="00C05D22" w:rsidP="007F202E">
      <w:pPr>
        <w:pStyle w:val="ListBullet"/>
        <w:numPr>
          <w:ilvl w:val="0"/>
          <w:numId w:val="14"/>
        </w:numPr>
        <w:jc w:val="both"/>
        <w:rPr>
          <w:rFonts w:asciiTheme="majorHAnsi" w:hAnsiTheme="majorHAnsi" w:cstheme="majorHAnsi"/>
        </w:rPr>
      </w:pPr>
      <w:r w:rsidRPr="00A61669">
        <w:rPr>
          <w:rFonts w:asciiTheme="majorHAnsi" w:hAnsiTheme="majorHAnsi" w:cstheme="majorHAnsi"/>
          <w:b/>
        </w:rPr>
        <w:t>Azure uses Azure Hybrid Benefit (AHB).</w:t>
      </w:r>
      <w:r w:rsidRPr="00A61669">
        <w:rPr>
          <w:rFonts w:asciiTheme="majorHAnsi" w:hAnsiTheme="majorHAnsi" w:cstheme="majorHAnsi"/>
        </w:rPr>
        <w:t xml:space="preserve"> This is a pricing toggle. No dedicated infrastructure required. It gives the largest saving because it has no infrastructure overhead.</w:t>
      </w:r>
    </w:p>
    <w:p w14:paraId="00000361" w14:textId="33DA2585" w:rsidR="000B0F63" w:rsidRPr="00A61669" w:rsidRDefault="00C05D22" w:rsidP="007F202E">
      <w:pPr>
        <w:pStyle w:val="ListBullet"/>
        <w:numPr>
          <w:ilvl w:val="0"/>
          <w:numId w:val="14"/>
        </w:numPr>
        <w:jc w:val="both"/>
        <w:rPr>
          <w:rFonts w:asciiTheme="majorHAnsi" w:hAnsiTheme="majorHAnsi" w:cstheme="majorHAnsi"/>
        </w:rPr>
      </w:pPr>
      <w:r w:rsidRPr="00A61669">
        <w:rPr>
          <w:rFonts w:asciiTheme="majorHAnsi" w:hAnsiTheme="majorHAnsi" w:cstheme="majorHAnsi"/>
          <w:b/>
        </w:rPr>
        <w:t>GCP requires Sole Tenant Nodes.</w:t>
      </w:r>
      <w:r w:rsidRPr="00A61669">
        <w:rPr>
          <w:rFonts w:asciiTheme="majorHAnsi" w:hAnsiTheme="majorHAnsi" w:cstheme="majorHAnsi"/>
        </w:rPr>
        <w:t xml:space="preserve"> The Sole Tenant premium is 10% on compute pricing. Windows BYOL also requires the N-series machine family, which is more expensive than the E2 baseline used elsewhere in the TCO. The</w:t>
      </w:r>
      <w:r w:rsidR="00D5216F">
        <w:rPr>
          <w:rFonts w:asciiTheme="majorHAnsi" w:hAnsiTheme="majorHAnsi" w:cstheme="majorHAnsi"/>
        </w:rPr>
        <w:t xml:space="preserve"> £86,640 annual savin</w:t>
      </w:r>
      <w:r w:rsidR="005C4254">
        <w:rPr>
          <w:rFonts w:asciiTheme="majorHAnsi" w:hAnsiTheme="majorHAnsi" w:cstheme="majorHAnsi"/>
        </w:rPr>
        <w:t>g</w:t>
      </w:r>
      <w:r w:rsidRPr="00A61669">
        <w:rPr>
          <w:rFonts w:asciiTheme="majorHAnsi" w:hAnsiTheme="majorHAnsi" w:cstheme="majorHAnsi"/>
        </w:rPr>
        <w:t xml:space="preserve"> is the net saving after the Sole Tenant premium and N-series uplift are deducted.</w:t>
      </w:r>
    </w:p>
    <w:p w14:paraId="00000363" w14:textId="6A4E29C0" w:rsidR="000B0F63" w:rsidRPr="00A61669" w:rsidRDefault="00C05D22" w:rsidP="007F202E">
      <w:pPr>
        <w:pStyle w:val="ListBullet"/>
        <w:numPr>
          <w:ilvl w:val="0"/>
          <w:numId w:val="14"/>
        </w:numPr>
        <w:jc w:val="both"/>
        <w:rPr>
          <w:rFonts w:asciiTheme="majorHAnsi" w:hAnsiTheme="majorHAnsi" w:cstheme="majorHAnsi"/>
        </w:rPr>
      </w:pPr>
      <w:r w:rsidRPr="00A61669">
        <w:rPr>
          <w:rFonts w:asciiTheme="majorHAnsi" w:hAnsiTheme="majorHAnsi" w:cstheme="majorHAnsi"/>
          <w:b/>
        </w:rPr>
        <w:t>AWS requires Dedicated Hosts.</w:t>
      </w:r>
      <w:r w:rsidRPr="00A61669">
        <w:rPr>
          <w:rFonts w:asciiTheme="majorHAnsi" w:hAnsiTheme="majorHAnsi" w:cstheme="majorHAnsi"/>
        </w:rPr>
        <w:t xml:space="preserve"> The </w:t>
      </w:r>
      <w:r w:rsidR="00521E11">
        <w:rPr>
          <w:rFonts w:asciiTheme="majorHAnsi" w:hAnsiTheme="majorHAnsi" w:cstheme="majorHAnsi"/>
        </w:rPr>
        <w:t>£103,260</w:t>
      </w:r>
      <w:r w:rsidR="001120CD" w:rsidRPr="00A61669">
        <w:rPr>
          <w:rFonts w:asciiTheme="majorHAnsi" w:hAnsiTheme="majorHAnsi" w:cstheme="majorHAnsi"/>
        </w:rPr>
        <w:t xml:space="preserve"> </w:t>
      </w:r>
      <w:r w:rsidR="00F42F6E">
        <w:rPr>
          <w:rFonts w:asciiTheme="majorHAnsi" w:hAnsiTheme="majorHAnsi" w:cstheme="majorHAnsi"/>
        </w:rPr>
        <w:t>annual</w:t>
      </w:r>
      <w:r w:rsidRPr="00A61669">
        <w:rPr>
          <w:rFonts w:asciiTheme="majorHAnsi" w:hAnsiTheme="majorHAnsi" w:cstheme="majorHAnsi"/>
        </w:rPr>
        <w:t xml:space="preserve"> is the net saving after the Dedicated Host cost premium is deducted from the gross BYOL saving.</w:t>
      </w:r>
    </w:p>
    <w:p w14:paraId="1E9AC956" w14:textId="77777777" w:rsidR="00904B07" w:rsidRPr="00A61669" w:rsidRDefault="00C05D22" w:rsidP="00E40261">
      <w:pPr>
        <w:pStyle w:val="InsetText"/>
        <w:jc w:val="both"/>
        <w:rPr>
          <w:rFonts w:asciiTheme="majorHAnsi" w:hAnsiTheme="majorHAnsi" w:cstheme="majorHAnsi"/>
        </w:rPr>
      </w:pPr>
      <w:r w:rsidRPr="00A61669">
        <w:rPr>
          <w:rFonts w:asciiTheme="majorHAnsi" w:hAnsiTheme="majorHAnsi" w:cstheme="majorHAnsi"/>
          <w:b/>
        </w:rPr>
        <w:t xml:space="preserve">Important constraint on Windows BYOL on AWS and GCP: </w:t>
      </w:r>
      <w:r w:rsidRPr="00A61669">
        <w:rPr>
          <w:rFonts w:asciiTheme="majorHAnsi" w:hAnsiTheme="majorHAnsi" w:cstheme="majorHAnsi"/>
        </w:rPr>
        <w:t xml:space="preserve">Microsoft's Listed Provider rules (October 2019) require that BYOL Windows licences be acquired before 1 October 2019, or true-upped under an Enterprise Agreement that was in force before that date. Only Windows Server 2019 and earlier is eligible. Windows Server 2022 is not eligible for BYOL on AWS or GCP regardless of Software Assurance status. </w:t>
      </w:r>
    </w:p>
    <w:p w14:paraId="3DAEAF94" w14:textId="77777777" w:rsidR="00904B07" w:rsidRPr="00A61669" w:rsidRDefault="00C05D22" w:rsidP="00663C0F">
      <w:pPr>
        <w:pStyle w:val="InsetText"/>
        <w:spacing w:after="0"/>
        <w:jc w:val="both"/>
        <w:rPr>
          <w:rFonts w:asciiTheme="majorHAnsi" w:hAnsiTheme="majorHAnsi" w:cstheme="majorHAnsi"/>
        </w:rPr>
      </w:pPr>
      <w:r w:rsidRPr="00A61669">
        <w:rPr>
          <w:rFonts w:asciiTheme="majorHAnsi" w:hAnsiTheme="majorHAnsi" w:cstheme="majorHAnsi"/>
        </w:rPr>
        <w:t>Of DMG Media's 225 in-scope Windows servers</w:t>
      </w:r>
      <w:r w:rsidR="00904B07" w:rsidRPr="00A61669">
        <w:rPr>
          <w:rFonts w:asciiTheme="majorHAnsi" w:hAnsiTheme="majorHAnsi" w:cstheme="majorHAnsi"/>
        </w:rPr>
        <w:t>:</w:t>
      </w:r>
      <w:r w:rsidRPr="00A61669">
        <w:rPr>
          <w:rFonts w:asciiTheme="majorHAnsi" w:hAnsiTheme="majorHAnsi" w:cstheme="majorHAnsi"/>
        </w:rPr>
        <w:t xml:space="preserve"> </w:t>
      </w:r>
    </w:p>
    <w:p w14:paraId="431C1629" w14:textId="77777777" w:rsidR="00904B07" w:rsidRPr="00A61669" w:rsidRDefault="00C05D22" w:rsidP="007F202E">
      <w:pPr>
        <w:pStyle w:val="InsetText"/>
        <w:numPr>
          <w:ilvl w:val="1"/>
          <w:numId w:val="14"/>
        </w:numPr>
        <w:spacing w:after="0"/>
        <w:jc w:val="both"/>
        <w:rPr>
          <w:rFonts w:asciiTheme="majorHAnsi" w:hAnsiTheme="majorHAnsi" w:cstheme="majorHAnsi"/>
        </w:rPr>
      </w:pPr>
      <w:r w:rsidRPr="00A61669">
        <w:rPr>
          <w:rFonts w:asciiTheme="majorHAnsi" w:hAnsiTheme="majorHAnsi" w:cstheme="majorHAnsi"/>
        </w:rPr>
        <w:t>160 run Server 2019 (BYOL eligible, subject to EA chain verification)</w:t>
      </w:r>
    </w:p>
    <w:p w14:paraId="17094CC3" w14:textId="77777777" w:rsidR="00904B07" w:rsidRPr="00A61669" w:rsidRDefault="00C05D22" w:rsidP="007F202E">
      <w:pPr>
        <w:pStyle w:val="InsetText"/>
        <w:numPr>
          <w:ilvl w:val="1"/>
          <w:numId w:val="14"/>
        </w:numPr>
        <w:jc w:val="both"/>
        <w:rPr>
          <w:rFonts w:asciiTheme="majorHAnsi" w:hAnsiTheme="majorHAnsi" w:cstheme="majorHAnsi"/>
        </w:rPr>
      </w:pPr>
      <w:r w:rsidRPr="00A61669">
        <w:rPr>
          <w:rFonts w:asciiTheme="majorHAnsi" w:hAnsiTheme="majorHAnsi" w:cstheme="majorHAnsi"/>
        </w:rPr>
        <w:t xml:space="preserve">65 run Server 2022. </w:t>
      </w:r>
    </w:p>
    <w:p w14:paraId="00000365" w14:textId="278AE894" w:rsidR="000B0F63" w:rsidRPr="00A61669" w:rsidRDefault="00C05D22" w:rsidP="00287ED9">
      <w:pPr>
        <w:pStyle w:val="InsetText"/>
        <w:jc w:val="both"/>
        <w:rPr>
          <w:rFonts w:asciiTheme="majorHAnsi" w:hAnsiTheme="majorHAnsi" w:cstheme="majorHAnsi"/>
        </w:rPr>
      </w:pPr>
      <w:r w:rsidRPr="00A61669">
        <w:rPr>
          <w:rFonts w:asciiTheme="majorHAnsi" w:hAnsiTheme="majorHAnsi" w:cstheme="majorHAnsi"/>
        </w:rPr>
        <w:t>Those 65 Server 2022 VMs cannot use DMG Media's existing Windows licences on AWS or GCP. Azure AHB has no such restriction and accepts Server 2022 BYOL normally. This materially affects the BYOL saving realised on AWS and GCP.</w:t>
      </w:r>
    </w:p>
    <w:p w14:paraId="00000367" w14:textId="00000368" w:rsidR="000B0F63" w:rsidRPr="00A61669" w:rsidRDefault="1BAB210A" w:rsidP="00E40261">
      <w:pPr>
        <w:pStyle w:val="Heading2"/>
        <w:jc w:val="both"/>
        <w:rPr>
          <w:rFonts w:asciiTheme="majorHAnsi" w:hAnsiTheme="majorHAnsi" w:cstheme="majorHAnsi"/>
        </w:rPr>
      </w:pPr>
      <w:bookmarkStart w:id="102" w:name="_Toc154"/>
      <w:bookmarkStart w:id="103" w:name="_Toc227770937"/>
      <w:r w:rsidRPr="00A61669">
        <w:rPr>
          <w:rFonts w:asciiTheme="majorHAnsi" w:hAnsiTheme="majorHAnsi" w:cstheme="majorHAnsi"/>
        </w:rPr>
        <w:t>Oracle Paths</w:t>
      </w:r>
      <w:bookmarkEnd w:id="102"/>
      <w:bookmarkEnd w:id="103"/>
    </w:p>
    <w:p w14:paraId="00000369" w14:textId="357FACDC"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Oracle is the single largest cost variable. There are three paths, and they </w:t>
      </w:r>
      <w:r w:rsidR="00F41D73" w:rsidRPr="00A61669">
        <w:rPr>
          <w:rFonts w:asciiTheme="majorHAnsi" w:hAnsiTheme="majorHAnsi" w:cstheme="majorHAnsi"/>
        </w:rPr>
        <w:t xml:space="preserve">each </w:t>
      </w:r>
      <w:r w:rsidRPr="00A61669">
        <w:rPr>
          <w:rFonts w:asciiTheme="majorHAnsi" w:hAnsiTheme="majorHAnsi" w:cstheme="majorHAnsi"/>
        </w:rPr>
        <w:t xml:space="preserve">have very different characteristics. The recommended path for DMG is Exadata@Cloud (Option A) as the primary way. PostgreSQL modernisation (Option C) is a deeper strategic decision that requires careful </w:t>
      </w:r>
      <w:r w:rsidR="00B66D00" w:rsidRPr="00A61669">
        <w:rPr>
          <w:rFonts w:asciiTheme="majorHAnsi" w:hAnsiTheme="majorHAnsi" w:cstheme="majorHAnsi"/>
        </w:rPr>
        <w:t>later p</w:t>
      </w:r>
      <w:r w:rsidRPr="00A61669">
        <w:rPr>
          <w:rFonts w:asciiTheme="majorHAnsi" w:hAnsiTheme="majorHAnsi" w:cstheme="majorHAnsi"/>
        </w:rPr>
        <w:t>hase planning.</w:t>
      </w:r>
    </w:p>
    <w:tbl>
      <w:tblPr>
        <w:tblW w:w="9720" w:type="dxa"/>
        <w:tblCellMar>
          <w:top w:w="100" w:type="dxa"/>
          <w:left w:w="100" w:type="dxa"/>
          <w:bottom w:w="100" w:type="dxa"/>
          <w:right w:w="100" w:type="dxa"/>
        </w:tblCellMar>
        <w:tblLook w:val="04A0" w:firstRow="1" w:lastRow="0" w:firstColumn="1" w:lastColumn="0" w:noHBand="0" w:noVBand="1"/>
      </w:tblPr>
      <w:tblGrid>
        <w:gridCol w:w="1944"/>
        <w:gridCol w:w="1595"/>
        <w:gridCol w:w="1701"/>
        <w:gridCol w:w="1701"/>
        <w:gridCol w:w="2779"/>
      </w:tblGrid>
      <w:tr w:rsidR="00F12A44" w14:paraId="08BB1DF3" w14:textId="77777777" w:rsidTr="1524DEBB">
        <w:trPr>
          <w:cantSplit/>
        </w:trPr>
        <w:tc>
          <w:tcPr>
            <w:tcW w:w="1944" w:type="dxa"/>
            <w:shd w:val="clear" w:color="auto" w:fill="D9D9D9" w:themeFill="background1" w:themeFillShade="D9"/>
            <w:tcMar>
              <w:top w:w="100" w:type="dxa"/>
              <w:left w:w="100" w:type="dxa"/>
              <w:bottom w:w="100" w:type="dxa"/>
              <w:right w:w="100" w:type="dxa"/>
            </w:tcMar>
          </w:tcPr>
          <w:p w14:paraId="0000036B" w14:textId="0000036C" w:rsidR="000B0F63" w:rsidRPr="00A61669" w:rsidRDefault="00C05D22" w:rsidP="00C17011">
            <w:pPr>
              <w:pStyle w:val="TableHeader"/>
              <w:jc w:val="center"/>
              <w:rPr>
                <w:rFonts w:asciiTheme="majorHAnsi" w:hAnsiTheme="majorHAnsi" w:cstheme="majorHAnsi"/>
              </w:rPr>
            </w:pPr>
            <w:r w:rsidRPr="00A61669">
              <w:rPr>
                <w:rFonts w:asciiTheme="majorHAnsi" w:hAnsiTheme="majorHAnsi" w:cstheme="majorHAnsi"/>
              </w:rPr>
              <w:t>Path</w:t>
            </w:r>
          </w:p>
        </w:tc>
        <w:tc>
          <w:tcPr>
            <w:tcW w:w="1595" w:type="dxa"/>
            <w:shd w:val="clear" w:color="auto" w:fill="D9D9D9" w:themeFill="background1" w:themeFillShade="D9"/>
            <w:tcMar>
              <w:top w:w="100" w:type="dxa"/>
              <w:left w:w="100" w:type="dxa"/>
              <w:bottom w:w="100" w:type="dxa"/>
              <w:right w:w="100" w:type="dxa"/>
            </w:tcMar>
          </w:tcPr>
          <w:p w14:paraId="0000036D" w14:textId="1A3C55D8" w:rsidR="000B0F63" w:rsidRPr="00A61669" w:rsidRDefault="000C108A" w:rsidP="00C17011">
            <w:pPr>
              <w:pStyle w:val="TableHeader"/>
              <w:jc w:val="center"/>
              <w:rPr>
                <w:rFonts w:asciiTheme="majorHAnsi" w:hAnsiTheme="majorHAnsi" w:cstheme="majorHAnsi"/>
              </w:rPr>
            </w:pPr>
            <w:r w:rsidRPr="00A61669">
              <w:rPr>
                <w:rFonts w:asciiTheme="majorHAnsi" w:hAnsiTheme="majorHAnsi" w:cstheme="majorHAnsi"/>
              </w:rPr>
              <w:t xml:space="preserve">GCP </w:t>
            </w:r>
            <w:r w:rsidR="00AE0572">
              <w:rPr>
                <w:rFonts w:asciiTheme="majorHAnsi" w:hAnsiTheme="majorHAnsi" w:cstheme="majorHAnsi"/>
              </w:rPr>
              <w:t>Annual</w:t>
            </w:r>
            <w:r w:rsidR="00C17011" w:rsidRPr="00A61669">
              <w:rPr>
                <w:rFonts w:asciiTheme="majorHAnsi" w:hAnsiTheme="majorHAnsi" w:cstheme="majorHAnsi"/>
              </w:rPr>
              <w:t xml:space="preserve"> cost</w:t>
            </w:r>
          </w:p>
        </w:tc>
        <w:tc>
          <w:tcPr>
            <w:tcW w:w="1701" w:type="dxa"/>
            <w:shd w:val="clear" w:color="auto" w:fill="D9D9D9" w:themeFill="background1" w:themeFillShade="D9"/>
            <w:tcMar>
              <w:top w:w="100" w:type="dxa"/>
              <w:left w:w="100" w:type="dxa"/>
              <w:bottom w:w="100" w:type="dxa"/>
              <w:right w:w="100" w:type="dxa"/>
            </w:tcMar>
          </w:tcPr>
          <w:p w14:paraId="0000036F" w14:textId="0B814F53" w:rsidR="000B0F63" w:rsidRPr="00A61669" w:rsidRDefault="000C108A" w:rsidP="00C17011">
            <w:pPr>
              <w:pStyle w:val="TableHeader"/>
              <w:jc w:val="center"/>
              <w:rPr>
                <w:rFonts w:asciiTheme="majorHAnsi" w:hAnsiTheme="majorHAnsi" w:cstheme="majorHAnsi"/>
              </w:rPr>
            </w:pPr>
            <w:r w:rsidRPr="00A61669">
              <w:rPr>
                <w:rFonts w:asciiTheme="majorHAnsi" w:hAnsiTheme="majorHAnsi" w:cstheme="majorHAnsi"/>
              </w:rPr>
              <w:t xml:space="preserve">AWS </w:t>
            </w:r>
            <w:r w:rsidR="00AE0572">
              <w:rPr>
                <w:rFonts w:asciiTheme="majorHAnsi" w:hAnsiTheme="majorHAnsi" w:cstheme="majorHAnsi"/>
              </w:rPr>
              <w:t>Annual</w:t>
            </w:r>
            <w:r w:rsidR="00C17011" w:rsidRPr="00A61669">
              <w:rPr>
                <w:rFonts w:asciiTheme="majorHAnsi" w:hAnsiTheme="majorHAnsi" w:cstheme="majorHAnsi"/>
              </w:rPr>
              <w:t xml:space="preserve"> cost</w:t>
            </w:r>
          </w:p>
        </w:tc>
        <w:tc>
          <w:tcPr>
            <w:tcW w:w="1701" w:type="dxa"/>
            <w:shd w:val="clear" w:color="auto" w:fill="D9D9D9" w:themeFill="background1" w:themeFillShade="D9"/>
            <w:tcMar>
              <w:top w:w="100" w:type="dxa"/>
              <w:left w:w="100" w:type="dxa"/>
              <w:bottom w:w="100" w:type="dxa"/>
              <w:right w:w="100" w:type="dxa"/>
            </w:tcMar>
          </w:tcPr>
          <w:p w14:paraId="00000371" w14:textId="1D5BA6CB" w:rsidR="000B0F63" w:rsidRPr="00A61669" w:rsidRDefault="000C108A" w:rsidP="00C17011">
            <w:pPr>
              <w:pStyle w:val="TableHeader"/>
              <w:jc w:val="center"/>
              <w:rPr>
                <w:rFonts w:asciiTheme="majorHAnsi" w:hAnsiTheme="majorHAnsi" w:cstheme="majorHAnsi"/>
              </w:rPr>
            </w:pPr>
            <w:r w:rsidRPr="00A61669">
              <w:rPr>
                <w:rFonts w:asciiTheme="majorHAnsi" w:hAnsiTheme="majorHAnsi" w:cstheme="majorHAnsi"/>
              </w:rPr>
              <w:t xml:space="preserve">Azure </w:t>
            </w:r>
            <w:r w:rsidR="00AE0572">
              <w:rPr>
                <w:rFonts w:asciiTheme="majorHAnsi" w:hAnsiTheme="majorHAnsi" w:cstheme="majorHAnsi"/>
              </w:rPr>
              <w:t>Annual</w:t>
            </w:r>
            <w:r w:rsidR="00C17011" w:rsidRPr="00A61669">
              <w:rPr>
                <w:rFonts w:asciiTheme="majorHAnsi" w:hAnsiTheme="majorHAnsi" w:cstheme="majorHAnsi"/>
              </w:rPr>
              <w:t xml:space="preserve"> cost</w:t>
            </w:r>
          </w:p>
        </w:tc>
        <w:tc>
          <w:tcPr>
            <w:tcW w:w="2779" w:type="dxa"/>
            <w:shd w:val="clear" w:color="auto" w:fill="D9D9D9" w:themeFill="background1" w:themeFillShade="D9"/>
            <w:tcMar>
              <w:top w:w="100" w:type="dxa"/>
              <w:left w:w="100" w:type="dxa"/>
              <w:bottom w:w="100" w:type="dxa"/>
              <w:right w:w="100" w:type="dxa"/>
            </w:tcMar>
          </w:tcPr>
          <w:p w14:paraId="00000373" w14:textId="00000374" w:rsidR="000B0F63" w:rsidRPr="00A61669" w:rsidRDefault="00C05D22" w:rsidP="00C17011">
            <w:pPr>
              <w:pStyle w:val="TableHeader"/>
              <w:jc w:val="center"/>
              <w:rPr>
                <w:rFonts w:asciiTheme="majorHAnsi" w:hAnsiTheme="majorHAnsi" w:cstheme="majorHAnsi"/>
              </w:rPr>
            </w:pPr>
            <w:r w:rsidRPr="00A61669">
              <w:rPr>
                <w:rFonts w:asciiTheme="majorHAnsi" w:hAnsiTheme="majorHAnsi" w:cstheme="majorHAnsi"/>
              </w:rPr>
              <w:t>Key points</w:t>
            </w:r>
          </w:p>
        </w:tc>
      </w:tr>
      <w:tr w:rsidR="00A0020A" w14:paraId="19312E49" w14:textId="77777777" w:rsidTr="1524DEBB">
        <w:tc>
          <w:tcPr>
            <w:tcW w:w="1944" w:type="dxa"/>
            <w:tcMar>
              <w:top w:w="100" w:type="dxa"/>
              <w:left w:w="100" w:type="dxa"/>
              <w:bottom w:w="100" w:type="dxa"/>
              <w:right w:w="100" w:type="dxa"/>
            </w:tcMar>
          </w:tcPr>
          <w:p w14:paraId="00000375" w14:textId="00000376" w:rsidR="000B0F63" w:rsidRPr="00A61669" w:rsidRDefault="1BAB210A" w:rsidP="00C17011">
            <w:pPr>
              <w:pStyle w:val="TableInfo"/>
              <w:jc w:val="center"/>
              <w:rPr>
                <w:rFonts w:asciiTheme="majorHAnsi" w:hAnsiTheme="majorHAnsi" w:cstheme="majorHAnsi"/>
              </w:rPr>
            </w:pPr>
            <w:r w:rsidRPr="00A61669">
              <w:rPr>
                <w:rFonts w:asciiTheme="majorHAnsi" w:hAnsiTheme="majorHAnsi" w:cstheme="majorHAnsi"/>
                <w:lang w:val="en-GB"/>
              </w:rPr>
              <w:lastRenderedPageBreak/>
              <w:t>A: Exadata@Cloud (primary path)</w:t>
            </w:r>
          </w:p>
        </w:tc>
        <w:tc>
          <w:tcPr>
            <w:tcW w:w="1595" w:type="dxa"/>
            <w:tcMar>
              <w:top w:w="100" w:type="dxa"/>
              <w:left w:w="100" w:type="dxa"/>
              <w:bottom w:w="100" w:type="dxa"/>
              <w:right w:w="100" w:type="dxa"/>
            </w:tcMar>
          </w:tcPr>
          <w:p w14:paraId="00000377" w14:textId="1AAC8E98" w:rsidR="000B0F63" w:rsidRPr="00A61669" w:rsidRDefault="00346CC6" w:rsidP="00C17011">
            <w:pPr>
              <w:pStyle w:val="TableInfo"/>
              <w:jc w:val="center"/>
              <w:rPr>
                <w:rFonts w:asciiTheme="majorHAnsi" w:hAnsiTheme="majorHAnsi" w:cstheme="majorHAnsi"/>
              </w:rPr>
            </w:pPr>
            <w:r w:rsidRPr="00104E14">
              <w:t>£514,908</w:t>
            </w:r>
          </w:p>
        </w:tc>
        <w:tc>
          <w:tcPr>
            <w:tcW w:w="1701" w:type="dxa"/>
            <w:tcMar>
              <w:top w:w="100" w:type="dxa"/>
              <w:left w:w="100" w:type="dxa"/>
              <w:bottom w:w="100" w:type="dxa"/>
              <w:right w:w="100" w:type="dxa"/>
            </w:tcMar>
          </w:tcPr>
          <w:p w14:paraId="00000379" w14:textId="0410A77C" w:rsidR="000B0F63" w:rsidRPr="00A61669" w:rsidRDefault="00346CC6" w:rsidP="00C17011">
            <w:pPr>
              <w:pStyle w:val="TableInfo"/>
              <w:jc w:val="center"/>
              <w:rPr>
                <w:rFonts w:asciiTheme="majorHAnsi" w:hAnsiTheme="majorHAnsi" w:cstheme="majorHAnsi"/>
              </w:rPr>
            </w:pPr>
            <w:r w:rsidRPr="00104E14">
              <w:t>£514,908</w:t>
            </w:r>
          </w:p>
        </w:tc>
        <w:tc>
          <w:tcPr>
            <w:tcW w:w="1701" w:type="dxa"/>
            <w:tcMar>
              <w:top w:w="100" w:type="dxa"/>
              <w:left w:w="100" w:type="dxa"/>
              <w:bottom w:w="100" w:type="dxa"/>
              <w:right w:w="100" w:type="dxa"/>
            </w:tcMar>
          </w:tcPr>
          <w:p w14:paraId="0000037B" w14:textId="313E39D3" w:rsidR="000B0F63" w:rsidRPr="00A61669" w:rsidRDefault="00346CC6" w:rsidP="00C17011">
            <w:pPr>
              <w:pStyle w:val="TableInfo"/>
              <w:jc w:val="center"/>
              <w:rPr>
                <w:rFonts w:asciiTheme="majorHAnsi" w:hAnsiTheme="majorHAnsi" w:cstheme="majorHAnsi"/>
              </w:rPr>
            </w:pPr>
            <w:r w:rsidRPr="00104E14">
              <w:t>£514,908</w:t>
            </w:r>
          </w:p>
        </w:tc>
        <w:tc>
          <w:tcPr>
            <w:tcW w:w="2779" w:type="dxa"/>
            <w:tcMar>
              <w:top w:w="100" w:type="dxa"/>
              <w:left w:w="100" w:type="dxa"/>
              <w:bottom w:w="100" w:type="dxa"/>
              <w:right w:w="100" w:type="dxa"/>
            </w:tcMar>
          </w:tcPr>
          <w:p w14:paraId="0000037D" w14:textId="0000037E" w:rsidR="000B0F63" w:rsidRPr="00A61669" w:rsidRDefault="1BAB210A" w:rsidP="00C17011">
            <w:pPr>
              <w:pStyle w:val="TableInfo"/>
              <w:rPr>
                <w:rFonts w:asciiTheme="majorHAnsi" w:hAnsiTheme="majorHAnsi" w:cstheme="majorHAnsi"/>
              </w:rPr>
            </w:pPr>
            <w:r w:rsidRPr="00A61669">
              <w:rPr>
                <w:rFonts w:asciiTheme="majorHAnsi" w:hAnsiTheme="majorHAnsi" w:cstheme="majorHAnsi"/>
                <w:lang w:val="en-GB"/>
              </w:rPr>
              <w:t>All three clouds offer Oracle Database@Cloud in London. Oracle Database@AWS launched March 2026. Same OCI pricing across all three. Data layer stays on Oracle. Lowest migration risk.</w:t>
            </w:r>
          </w:p>
        </w:tc>
      </w:tr>
      <w:tr w:rsidR="00A0020A" w14:paraId="07F818AA" w14:textId="77777777" w:rsidTr="1524DEBB">
        <w:tc>
          <w:tcPr>
            <w:tcW w:w="1944" w:type="dxa"/>
            <w:tcMar>
              <w:top w:w="100" w:type="dxa"/>
              <w:left w:w="100" w:type="dxa"/>
              <w:bottom w:w="100" w:type="dxa"/>
              <w:right w:w="100" w:type="dxa"/>
            </w:tcMar>
          </w:tcPr>
          <w:p w14:paraId="0000037F" w14:textId="00000380" w:rsidR="000B0F63" w:rsidRPr="00A61669" w:rsidRDefault="00C05D22" w:rsidP="00C17011">
            <w:pPr>
              <w:pStyle w:val="TableInfo"/>
              <w:jc w:val="center"/>
              <w:rPr>
                <w:rFonts w:asciiTheme="majorHAnsi" w:hAnsiTheme="majorHAnsi" w:cstheme="majorHAnsi"/>
              </w:rPr>
            </w:pPr>
            <w:r w:rsidRPr="00A61669">
              <w:rPr>
                <w:rFonts w:asciiTheme="majorHAnsi" w:hAnsiTheme="majorHAnsi" w:cstheme="majorHAnsi"/>
              </w:rPr>
              <w:t>B: Oracle on IaaS VMs (no RAC, Data Guard HA)</w:t>
            </w:r>
          </w:p>
        </w:tc>
        <w:tc>
          <w:tcPr>
            <w:tcW w:w="1595" w:type="dxa"/>
            <w:tcMar>
              <w:top w:w="100" w:type="dxa"/>
              <w:left w:w="100" w:type="dxa"/>
              <w:bottom w:w="100" w:type="dxa"/>
              <w:right w:w="100" w:type="dxa"/>
            </w:tcMar>
          </w:tcPr>
          <w:p w14:paraId="00000381" w14:textId="4396BB1B" w:rsidR="000B0F63" w:rsidRPr="00A61669" w:rsidRDefault="00917E0C" w:rsidP="00C17011">
            <w:pPr>
              <w:pStyle w:val="TableInfo"/>
              <w:jc w:val="center"/>
              <w:rPr>
                <w:rFonts w:asciiTheme="majorHAnsi" w:hAnsiTheme="majorHAnsi" w:cstheme="majorHAnsi"/>
              </w:rPr>
            </w:pPr>
            <w:r w:rsidRPr="00DB2D54">
              <w:t>£745,944</w:t>
            </w:r>
          </w:p>
        </w:tc>
        <w:tc>
          <w:tcPr>
            <w:tcW w:w="1701" w:type="dxa"/>
            <w:tcMar>
              <w:top w:w="100" w:type="dxa"/>
              <w:left w:w="100" w:type="dxa"/>
              <w:bottom w:w="100" w:type="dxa"/>
              <w:right w:w="100" w:type="dxa"/>
            </w:tcMar>
          </w:tcPr>
          <w:p w14:paraId="00000383" w14:textId="51470F1F" w:rsidR="000B0F63" w:rsidRPr="00A61669" w:rsidRDefault="00917E0C" w:rsidP="00C17011">
            <w:pPr>
              <w:pStyle w:val="TableInfo"/>
              <w:jc w:val="center"/>
              <w:rPr>
                <w:rFonts w:asciiTheme="majorHAnsi" w:hAnsiTheme="majorHAnsi" w:cstheme="majorHAnsi"/>
              </w:rPr>
            </w:pPr>
            <w:r w:rsidRPr="00DB2D54">
              <w:t>£578,328</w:t>
            </w:r>
          </w:p>
        </w:tc>
        <w:tc>
          <w:tcPr>
            <w:tcW w:w="1701" w:type="dxa"/>
            <w:tcMar>
              <w:top w:w="100" w:type="dxa"/>
              <w:left w:w="100" w:type="dxa"/>
              <w:bottom w:w="100" w:type="dxa"/>
              <w:right w:w="100" w:type="dxa"/>
            </w:tcMar>
          </w:tcPr>
          <w:p w14:paraId="00000385" w14:textId="02D5AD98" w:rsidR="000B0F63" w:rsidRPr="00A61669" w:rsidRDefault="00917E0C" w:rsidP="00C17011">
            <w:pPr>
              <w:pStyle w:val="TableInfo"/>
              <w:jc w:val="center"/>
              <w:rPr>
                <w:rFonts w:asciiTheme="majorHAnsi" w:hAnsiTheme="majorHAnsi" w:cstheme="majorHAnsi"/>
              </w:rPr>
            </w:pPr>
            <w:r w:rsidRPr="00DB2D54">
              <w:t>£578,328</w:t>
            </w:r>
          </w:p>
        </w:tc>
        <w:tc>
          <w:tcPr>
            <w:tcW w:w="2779" w:type="dxa"/>
            <w:tcMar>
              <w:top w:w="100" w:type="dxa"/>
              <w:left w:w="100" w:type="dxa"/>
              <w:bottom w:w="100" w:type="dxa"/>
              <w:right w:w="100" w:type="dxa"/>
            </w:tcMar>
          </w:tcPr>
          <w:p w14:paraId="00000387" w14:textId="2C8F15DB" w:rsidR="000B0F63" w:rsidRPr="00A61669" w:rsidRDefault="00917E0C" w:rsidP="00C17011">
            <w:pPr>
              <w:pStyle w:val="TableInfo"/>
              <w:rPr>
                <w:rFonts w:asciiTheme="majorHAnsi" w:hAnsiTheme="majorHAnsi" w:cstheme="majorHAnsi"/>
              </w:rPr>
            </w:pPr>
            <w:r w:rsidRPr="00A61669">
              <w:rPr>
                <w:rFonts w:asciiTheme="majorHAnsi" w:hAnsiTheme="majorHAnsi" w:cstheme="majorHAnsi"/>
              </w:rPr>
              <w:t>DMG Media</w:t>
            </w:r>
            <w:r w:rsidR="00C05D22" w:rsidRPr="00A61669">
              <w:rPr>
                <w:rFonts w:asciiTheme="majorHAnsi" w:hAnsiTheme="majorHAnsi" w:cstheme="majorHAnsi"/>
              </w:rPr>
              <w:t xml:space="preserve"> manages Oracle directly. Loses RAC. Uses Data Guard for HA. Cost varies by cloud because underlying VM pricing differs.</w:t>
            </w:r>
          </w:p>
        </w:tc>
      </w:tr>
      <w:tr w:rsidR="00A0020A" w14:paraId="7533904B" w14:textId="77777777" w:rsidTr="1524DEBB">
        <w:tc>
          <w:tcPr>
            <w:tcW w:w="1944" w:type="dxa"/>
            <w:tcMar>
              <w:top w:w="100" w:type="dxa"/>
              <w:left w:w="100" w:type="dxa"/>
              <w:bottom w:w="100" w:type="dxa"/>
              <w:right w:w="100" w:type="dxa"/>
            </w:tcMar>
          </w:tcPr>
          <w:p w14:paraId="00000389" w14:textId="0000038A" w:rsidR="000B0F63" w:rsidRPr="00A61669" w:rsidRDefault="00C05D22" w:rsidP="00C17011">
            <w:pPr>
              <w:pStyle w:val="TableInfo"/>
              <w:jc w:val="center"/>
              <w:rPr>
                <w:rFonts w:asciiTheme="majorHAnsi" w:hAnsiTheme="majorHAnsi" w:cstheme="majorHAnsi"/>
              </w:rPr>
            </w:pPr>
            <w:r w:rsidRPr="00A61669">
              <w:rPr>
                <w:rFonts w:asciiTheme="majorHAnsi" w:hAnsiTheme="majorHAnsi" w:cstheme="majorHAnsi"/>
              </w:rPr>
              <w:t>C:</w:t>
            </w:r>
            <w:r w:rsidR="00C33614" w:rsidRPr="00A61669">
              <w:rPr>
                <w:rFonts w:asciiTheme="majorHAnsi" w:hAnsiTheme="majorHAnsi" w:cstheme="majorHAnsi"/>
              </w:rPr>
              <w:t xml:space="preserve"> </w:t>
            </w:r>
            <w:r w:rsidRPr="00A61669">
              <w:rPr>
                <w:rFonts w:asciiTheme="majorHAnsi" w:hAnsiTheme="majorHAnsi" w:cstheme="majorHAnsi"/>
              </w:rPr>
              <w:t>PostgreSQL modernisation</w:t>
            </w:r>
          </w:p>
        </w:tc>
        <w:tc>
          <w:tcPr>
            <w:tcW w:w="1595" w:type="dxa"/>
            <w:tcMar>
              <w:top w:w="100" w:type="dxa"/>
              <w:left w:w="100" w:type="dxa"/>
              <w:bottom w:w="100" w:type="dxa"/>
              <w:right w:w="100" w:type="dxa"/>
            </w:tcMar>
          </w:tcPr>
          <w:p w14:paraId="0000038B" w14:textId="21EAFEFA" w:rsidR="000B0F63" w:rsidRPr="00A61669" w:rsidRDefault="00C17011" w:rsidP="00C17011">
            <w:pPr>
              <w:pStyle w:val="TableInfo"/>
              <w:jc w:val="center"/>
              <w:rPr>
                <w:rFonts w:asciiTheme="majorHAnsi" w:hAnsiTheme="majorHAnsi" w:cstheme="majorHAnsi"/>
              </w:rPr>
            </w:pPr>
            <w:r>
              <w:t>£</w:t>
            </w:r>
            <w:r w:rsidR="00AE0572" w:rsidRPr="00DD3710">
              <w:t>619,104</w:t>
            </w:r>
            <w:r w:rsidR="004C1EDF">
              <w:t xml:space="preserve"> </w:t>
            </w:r>
            <w:r w:rsidR="1BAB210A" w:rsidRPr="004C1EDF">
              <w:t>(AlloyDB)</w:t>
            </w:r>
          </w:p>
        </w:tc>
        <w:tc>
          <w:tcPr>
            <w:tcW w:w="1701" w:type="dxa"/>
            <w:tcMar>
              <w:top w:w="100" w:type="dxa"/>
              <w:left w:w="100" w:type="dxa"/>
              <w:bottom w:w="100" w:type="dxa"/>
              <w:right w:w="100" w:type="dxa"/>
            </w:tcMar>
          </w:tcPr>
          <w:p w14:paraId="1BF309B5" w14:textId="77777777" w:rsidR="00CE41C8" w:rsidRDefault="00AE0572" w:rsidP="00AE0572">
            <w:pPr>
              <w:pStyle w:val="TableInfo"/>
              <w:jc w:val="center"/>
            </w:pPr>
            <w:r w:rsidRPr="00DD3710">
              <w:t>£452,244</w:t>
            </w:r>
            <w:r w:rsidR="00CE41C8">
              <w:t xml:space="preserve"> </w:t>
            </w:r>
          </w:p>
          <w:p w14:paraId="0000038D" w14:textId="690C67B2" w:rsidR="000B0F63" w:rsidRPr="00A61669" w:rsidRDefault="00C05D22" w:rsidP="00C17011">
            <w:pPr>
              <w:pStyle w:val="TableInfo"/>
              <w:jc w:val="center"/>
              <w:rPr>
                <w:rFonts w:asciiTheme="majorHAnsi" w:hAnsiTheme="majorHAnsi" w:cstheme="majorHAnsi"/>
              </w:rPr>
            </w:pPr>
            <w:r>
              <w:t>(Aurora)</w:t>
            </w:r>
          </w:p>
        </w:tc>
        <w:tc>
          <w:tcPr>
            <w:tcW w:w="1701" w:type="dxa"/>
            <w:tcMar>
              <w:top w:w="100" w:type="dxa"/>
              <w:left w:w="100" w:type="dxa"/>
              <w:bottom w:w="100" w:type="dxa"/>
              <w:right w:w="100" w:type="dxa"/>
            </w:tcMar>
          </w:tcPr>
          <w:p w14:paraId="5B42C4A2" w14:textId="77777777" w:rsidR="00AF472F" w:rsidRDefault="00AE0572" w:rsidP="00AE0572">
            <w:pPr>
              <w:pStyle w:val="TableInfo"/>
              <w:jc w:val="center"/>
            </w:pPr>
            <w:r w:rsidRPr="00DD3710">
              <w:t>£382,788</w:t>
            </w:r>
            <w:r w:rsidR="00AF472F">
              <w:t xml:space="preserve"> </w:t>
            </w:r>
          </w:p>
          <w:p w14:paraId="0000038F" w14:textId="28017719" w:rsidR="000B0F63" w:rsidRPr="00A61669" w:rsidRDefault="00C05D22" w:rsidP="00C17011">
            <w:pPr>
              <w:pStyle w:val="TableInfo"/>
              <w:jc w:val="center"/>
              <w:rPr>
                <w:rFonts w:asciiTheme="majorHAnsi" w:hAnsiTheme="majorHAnsi" w:cstheme="majorHAnsi"/>
              </w:rPr>
            </w:pPr>
            <w:r>
              <w:t>(Flex Server)</w:t>
            </w:r>
          </w:p>
        </w:tc>
        <w:tc>
          <w:tcPr>
            <w:tcW w:w="2779" w:type="dxa"/>
            <w:tcMar>
              <w:top w:w="100" w:type="dxa"/>
              <w:left w:w="100" w:type="dxa"/>
              <w:bottom w:w="100" w:type="dxa"/>
              <w:right w:w="100" w:type="dxa"/>
            </w:tcMar>
          </w:tcPr>
          <w:p w14:paraId="00000391" w14:textId="27A52856" w:rsidR="000B0F63" w:rsidRPr="00A61669" w:rsidRDefault="00C05D22" w:rsidP="00C17011">
            <w:pPr>
              <w:pStyle w:val="TableInfo"/>
              <w:rPr>
                <w:rFonts w:asciiTheme="majorHAnsi" w:hAnsiTheme="majorHAnsi" w:cstheme="majorHAnsi"/>
              </w:rPr>
            </w:pPr>
            <w:r w:rsidRPr="00A61669">
              <w:rPr>
                <w:rFonts w:asciiTheme="majorHAnsi" w:hAnsiTheme="majorHAnsi" w:cstheme="majorHAnsi"/>
              </w:rPr>
              <w:t xml:space="preserve">Each cloud's managed PostgreSQL. All with HA. Requires significant application refactoring and PL/SQL conversion. </w:t>
            </w:r>
            <w:r w:rsidR="00100959" w:rsidRPr="00A61669">
              <w:rPr>
                <w:rFonts w:asciiTheme="majorHAnsi" w:hAnsiTheme="majorHAnsi" w:cstheme="majorHAnsi"/>
              </w:rPr>
              <w:t>Part 2</w:t>
            </w:r>
            <w:r w:rsidRPr="00A61669">
              <w:rPr>
                <w:rFonts w:asciiTheme="majorHAnsi" w:hAnsiTheme="majorHAnsi" w:cstheme="majorHAnsi"/>
              </w:rPr>
              <w:t xml:space="preserve"> validation essential.</w:t>
            </w:r>
          </w:p>
        </w:tc>
      </w:tr>
    </w:tbl>
    <w:p w14:paraId="7BCCD7C8" w14:textId="77777777" w:rsidR="008F60BF" w:rsidRPr="00A61669" w:rsidRDefault="008F60BF" w:rsidP="008F60BF">
      <w:pPr>
        <w:pStyle w:val="InsetText"/>
        <w:ind w:left="0"/>
        <w:jc w:val="both"/>
        <w:rPr>
          <w:rFonts w:asciiTheme="majorHAnsi" w:hAnsiTheme="majorHAnsi" w:cstheme="majorHAnsi"/>
          <w:b/>
        </w:rPr>
      </w:pPr>
    </w:p>
    <w:p w14:paraId="00000393" w14:textId="020FFAFC" w:rsidR="000B0F63" w:rsidRPr="00A61669" w:rsidRDefault="00C05D22" w:rsidP="008F60BF">
      <w:pPr>
        <w:pStyle w:val="InsetText"/>
        <w:ind w:left="0"/>
        <w:jc w:val="both"/>
        <w:rPr>
          <w:rFonts w:asciiTheme="majorHAnsi" w:hAnsiTheme="majorHAnsi" w:cstheme="majorHAnsi"/>
        </w:rPr>
      </w:pPr>
      <w:r w:rsidRPr="00A61669">
        <w:rPr>
          <w:rFonts w:asciiTheme="majorHAnsi" w:hAnsiTheme="majorHAnsi" w:cstheme="majorHAnsi"/>
          <w:b/>
        </w:rPr>
        <w:t xml:space="preserve">Important context for Option C (PostgreSQL): </w:t>
      </w:r>
      <w:r w:rsidRPr="00A61669">
        <w:rPr>
          <w:rFonts w:asciiTheme="majorHAnsi" w:hAnsiTheme="majorHAnsi" w:cstheme="majorHAnsi"/>
        </w:rPr>
        <w:t xml:space="preserve">this is a </w:t>
      </w:r>
      <w:r w:rsidR="00100959" w:rsidRPr="00A61669">
        <w:rPr>
          <w:rFonts w:asciiTheme="majorHAnsi" w:hAnsiTheme="majorHAnsi" w:cstheme="majorHAnsi"/>
        </w:rPr>
        <w:t>Part 2</w:t>
      </w:r>
      <w:r w:rsidRPr="00A61669">
        <w:rPr>
          <w:rFonts w:asciiTheme="majorHAnsi" w:hAnsiTheme="majorHAnsi" w:cstheme="majorHAnsi"/>
        </w:rPr>
        <w:t xml:space="preserve"> strategic decision, not a </w:t>
      </w:r>
      <w:r w:rsidR="00100959" w:rsidRPr="00A61669">
        <w:rPr>
          <w:rFonts w:asciiTheme="majorHAnsi" w:hAnsiTheme="majorHAnsi" w:cstheme="majorHAnsi"/>
        </w:rPr>
        <w:t>Part 1</w:t>
      </w:r>
      <w:r w:rsidRPr="00A61669">
        <w:rPr>
          <w:rFonts w:asciiTheme="majorHAnsi" w:hAnsiTheme="majorHAnsi" w:cstheme="majorHAnsi"/>
        </w:rPr>
        <w:t xml:space="preserve"> action. Each hyperscaler has its own transformation support paths (AWS SCT and DMS, Azure Database Migration Service, Google Database Migration Service plus AlloyDB's Oracle compatibility mode). The saving potential is material, but the path requires: full DMA assessment of the </w:t>
      </w:r>
      <w:r w:rsidR="00490323" w:rsidRPr="00A61669">
        <w:rPr>
          <w:rFonts w:asciiTheme="majorHAnsi" w:hAnsiTheme="majorHAnsi" w:cstheme="majorHAnsi"/>
        </w:rPr>
        <w:t>Mail Online</w:t>
      </w:r>
      <w:r w:rsidRPr="00A61669">
        <w:rPr>
          <w:rFonts w:asciiTheme="majorHAnsi" w:hAnsiTheme="majorHAnsi" w:cstheme="majorHAnsi"/>
        </w:rPr>
        <w:t xml:space="preserve"> B-cluster (currently uncollected), per-cluster PL/SQL conversion scoping, application-by-application impact assessment, and business prioritisation.</w:t>
      </w:r>
    </w:p>
    <w:p w14:paraId="00000395" w14:textId="00000396" w:rsidR="000B0F63" w:rsidRPr="00A61669" w:rsidRDefault="00C05D22" w:rsidP="00E40261">
      <w:pPr>
        <w:jc w:val="both"/>
        <w:rPr>
          <w:rFonts w:asciiTheme="majorHAnsi" w:hAnsiTheme="majorHAnsi" w:cstheme="majorHAnsi"/>
        </w:rPr>
      </w:pPr>
      <w:r w:rsidRPr="00A61669">
        <w:rPr>
          <w:rFonts w:asciiTheme="majorHAnsi" w:hAnsiTheme="majorHAnsi" w:cstheme="majorHAnsi"/>
        </w:rPr>
        <w:t>Oracle support treatment under each path:</w:t>
      </w:r>
    </w:p>
    <w:p w14:paraId="00000397" w14:textId="031FC7B5" w:rsidR="000B0F63" w:rsidRPr="00A61669" w:rsidRDefault="00C05D22" w:rsidP="007F202E">
      <w:pPr>
        <w:pStyle w:val="ListBullet"/>
        <w:numPr>
          <w:ilvl w:val="0"/>
          <w:numId w:val="15"/>
        </w:numPr>
        <w:jc w:val="both"/>
        <w:rPr>
          <w:rFonts w:asciiTheme="majorHAnsi" w:hAnsiTheme="majorHAnsi" w:cstheme="majorHAnsi"/>
        </w:rPr>
      </w:pPr>
      <w:r w:rsidRPr="00A61669">
        <w:rPr>
          <w:rFonts w:asciiTheme="majorHAnsi" w:hAnsiTheme="majorHAnsi" w:cstheme="majorHAnsi"/>
          <w:b/>
        </w:rPr>
        <w:t xml:space="preserve">Option A (Exadata@Cloud, BYOL): </w:t>
      </w:r>
      <w:r w:rsidR="007415CD" w:rsidRPr="00A61669">
        <w:rPr>
          <w:rFonts w:asciiTheme="majorHAnsi" w:hAnsiTheme="majorHAnsi" w:cstheme="majorHAnsi"/>
        </w:rPr>
        <w:t>DMG Media</w:t>
      </w:r>
      <w:r w:rsidRPr="00A61669">
        <w:rPr>
          <w:rFonts w:asciiTheme="majorHAnsi" w:hAnsiTheme="majorHAnsi" w:cstheme="majorHAnsi"/>
        </w:rPr>
        <w:t xml:space="preserve"> must retain </w:t>
      </w:r>
      <w:r w:rsidR="007415CD" w:rsidRPr="00A61669">
        <w:rPr>
          <w:rFonts w:asciiTheme="majorHAnsi" w:hAnsiTheme="majorHAnsi" w:cstheme="majorHAnsi"/>
        </w:rPr>
        <w:t>DMG Media’s</w:t>
      </w:r>
      <w:r w:rsidRPr="00A61669">
        <w:rPr>
          <w:rFonts w:asciiTheme="majorHAnsi" w:hAnsiTheme="majorHAnsi" w:cstheme="majorHAnsi"/>
        </w:rPr>
        <w:t xml:space="preserve"> </w:t>
      </w:r>
      <w:r w:rsidR="00312BB7" w:rsidRPr="00A61669">
        <w:rPr>
          <w:rFonts w:asciiTheme="majorHAnsi" w:hAnsiTheme="majorHAnsi" w:cstheme="majorHAnsi"/>
        </w:rPr>
        <w:t>£</w:t>
      </w:r>
      <w:r w:rsidRPr="00A61669">
        <w:rPr>
          <w:rFonts w:asciiTheme="majorHAnsi" w:hAnsiTheme="majorHAnsi" w:cstheme="majorHAnsi"/>
        </w:rPr>
        <w:t>650K</w:t>
      </w:r>
      <w:r w:rsidR="001120CD" w:rsidRPr="00A61669">
        <w:rPr>
          <w:rFonts w:asciiTheme="majorHAnsi" w:hAnsiTheme="majorHAnsi" w:cstheme="majorHAnsi"/>
        </w:rPr>
        <w:t xml:space="preserve"> per year</w:t>
      </w:r>
      <w:r w:rsidRPr="00A61669">
        <w:rPr>
          <w:rFonts w:asciiTheme="majorHAnsi" w:hAnsiTheme="majorHAnsi" w:cstheme="majorHAnsi"/>
        </w:rPr>
        <w:t xml:space="preserve"> Oracle support contract while using Exadata@Cloud. BYOL on Oracle requires active support.</w:t>
      </w:r>
    </w:p>
    <w:p w14:paraId="00000399" w14:textId="0E53D4F0" w:rsidR="000B0F63" w:rsidRPr="00A61669" w:rsidRDefault="00C05D22" w:rsidP="007F202E">
      <w:pPr>
        <w:pStyle w:val="ListBullet"/>
        <w:numPr>
          <w:ilvl w:val="0"/>
          <w:numId w:val="15"/>
        </w:numPr>
        <w:jc w:val="both"/>
        <w:rPr>
          <w:rFonts w:asciiTheme="majorHAnsi" w:hAnsiTheme="majorHAnsi" w:cstheme="majorHAnsi"/>
        </w:rPr>
      </w:pPr>
      <w:r w:rsidRPr="00A61669">
        <w:rPr>
          <w:rFonts w:asciiTheme="majorHAnsi" w:hAnsiTheme="majorHAnsi" w:cstheme="majorHAnsi"/>
          <w:b/>
        </w:rPr>
        <w:t xml:space="preserve">Option B (Oracle on IaaS BYOL): </w:t>
      </w:r>
      <w:r w:rsidRPr="00A61669">
        <w:rPr>
          <w:rFonts w:asciiTheme="majorHAnsi" w:hAnsiTheme="majorHAnsi" w:cstheme="majorHAnsi"/>
        </w:rPr>
        <w:t xml:space="preserve">same. </w:t>
      </w:r>
      <w:r w:rsidR="00312BB7" w:rsidRPr="00A61669">
        <w:rPr>
          <w:rFonts w:asciiTheme="majorHAnsi" w:hAnsiTheme="majorHAnsi" w:cstheme="majorHAnsi"/>
        </w:rPr>
        <w:t>£</w:t>
      </w:r>
      <w:r w:rsidRPr="00A61669">
        <w:rPr>
          <w:rFonts w:asciiTheme="majorHAnsi" w:hAnsiTheme="majorHAnsi" w:cstheme="majorHAnsi"/>
        </w:rPr>
        <w:t>650K</w:t>
      </w:r>
      <w:r w:rsidR="001120CD" w:rsidRPr="00A61669">
        <w:rPr>
          <w:rFonts w:asciiTheme="majorHAnsi" w:hAnsiTheme="majorHAnsi" w:cstheme="majorHAnsi"/>
        </w:rPr>
        <w:t xml:space="preserve"> per year</w:t>
      </w:r>
      <w:r w:rsidRPr="00A61669">
        <w:rPr>
          <w:rFonts w:asciiTheme="majorHAnsi" w:hAnsiTheme="majorHAnsi" w:cstheme="majorHAnsi"/>
        </w:rPr>
        <w:t xml:space="preserve"> retained.</w:t>
      </w:r>
    </w:p>
    <w:p w14:paraId="0000039B" w14:textId="3B8AA657" w:rsidR="000B0F63" w:rsidRPr="00A61669" w:rsidRDefault="00C05D22" w:rsidP="007F202E">
      <w:pPr>
        <w:pStyle w:val="ListBullet"/>
        <w:numPr>
          <w:ilvl w:val="0"/>
          <w:numId w:val="15"/>
        </w:numPr>
        <w:jc w:val="both"/>
        <w:rPr>
          <w:rFonts w:asciiTheme="majorHAnsi" w:hAnsiTheme="majorHAnsi" w:cstheme="majorHAnsi"/>
        </w:rPr>
      </w:pPr>
      <w:r w:rsidRPr="00A61669">
        <w:rPr>
          <w:rFonts w:asciiTheme="majorHAnsi" w:hAnsiTheme="majorHAnsi" w:cstheme="majorHAnsi"/>
          <w:b/>
        </w:rPr>
        <w:t xml:space="preserve">Option C (PostgreSQL): </w:t>
      </w:r>
      <w:r w:rsidRPr="00A61669">
        <w:rPr>
          <w:rFonts w:asciiTheme="majorHAnsi" w:hAnsiTheme="majorHAnsi" w:cstheme="majorHAnsi"/>
        </w:rPr>
        <w:t xml:space="preserve">once Oracle is fully decommissioned, support can be dropped. This is the only path that eliminates the </w:t>
      </w:r>
      <w:r w:rsidR="00312BB7" w:rsidRPr="00A61669">
        <w:rPr>
          <w:rFonts w:asciiTheme="majorHAnsi" w:hAnsiTheme="majorHAnsi" w:cstheme="majorHAnsi"/>
        </w:rPr>
        <w:t>£</w:t>
      </w:r>
      <w:r w:rsidRPr="00A61669">
        <w:rPr>
          <w:rFonts w:asciiTheme="majorHAnsi" w:hAnsiTheme="majorHAnsi" w:cstheme="majorHAnsi"/>
        </w:rPr>
        <w:t>650K</w:t>
      </w:r>
      <w:r w:rsidR="001120CD" w:rsidRPr="00A61669">
        <w:rPr>
          <w:rFonts w:asciiTheme="majorHAnsi" w:hAnsiTheme="majorHAnsi" w:cstheme="majorHAnsi"/>
        </w:rPr>
        <w:t xml:space="preserve"> per year</w:t>
      </w:r>
      <w:r w:rsidRPr="00A61669">
        <w:rPr>
          <w:rFonts w:asciiTheme="majorHAnsi" w:hAnsiTheme="majorHAnsi" w:cstheme="majorHAnsi"/>
        </w:rPr>
        <w:t xml:space="preserve"> support line. Reinstatement is penalised (150% of last fee plus back-support), so the decision to drop must be final.</w:t>
      </w:r>
      <w:r w:rsidR="00E71829" w:rsidRPr="00A61669">
        <w:rPr>
          <w:rFonts w:asciiTheme="majorHAnsi" w:hAnsiTheme="majorHAnsi" w:cstheme="majorHAnsi"/>
        </w:rPr>
        <w:t xml:space="preserve"> The saving potential is presented without the conversion cost to achieve it. PL/SQL conversion, application refactoring, testing, and cutover effort are not estimated in Part 1 and are a material factor in the Part</w:t>
      </w:r>
      <w:r w:rsidR="00823F74" w:rsidRPr="00A61669">
        <w:rPr>
          <w:rFonts w:asciiTheme="majorHAnsi" w:hAnsiTheme="majorHAnsi" w:cstheme="majorHAnsi"/>
        </w:rPr>
        <w:t xml:space="preserve"> 2</w:t>
      </w:r>
      <w:r w:rsidR="00E71829" w:rsidRPr="00A61669">
        <w:rPr>
          <w:rFonts w:asciiTheme="majorHAnsi" w:hAnsiTheme="majorHAnsi" w:cstheme="majorHAnsi"/>
        </w:rPr>
        <w:t xml:space="preserve"> business case for the PostgreSQL path.</w:t>
      </w:r>
    </w:p>
    <w:p w14:paraId="0000039D" w14:textId="0000039E" w:rsidR="000B0F63" w:rsidRPr="00A61669" w:rsidRDefault="1BAB210A" w:rsidP="00E40261">
      <w:pPr>
        <w:pStyle w:val="Heading2"/>
        <w:jc w:val="both"/>
        <w:rPr>
          <w:rFonts w:asciiTheme="majorHAnsi" w:hAnsiTheme="majorHAnsi" w:cstheme="majorHAnsi"/>
        </w:rPr>
      </w:pPr>
      <w:bookmarkStart w:id="104" w:name="_Toc155"/>
      <w:bookmarkStart w:id="105" w:name="_Toc227770938"/>
      <w:r w:rsidRPr="00A61669">
        <w:rPr>
          <w:rFonts w:asciiTheme="majorHAnsi" w:hAnsiTheme="majorHAnsi" w:cstheme="majorHAnsi"/>
        </w:rPr>
        <w:t>Atex Multicast Cost Impact</w:t>
      </w:r>
      <w:bookmarkEnd w:id="104"/>
      <w:bookmarkEnd w:id="105"/>
    </w:p>
    <w:p w14:paraId="0000039F" w14:textId="000003A0" w:rsidR="000B0F63" w:rsidRPr="00A61669" w:rsidRDefault="00C05D22" w:rsidP="00E40261">
      <w:pPr>
        <w:jc w:val="both"/>
        <w:rPr>
          <w:rFonts w:asciiTheme="majorHAnsi" w:hAnsiTheme="majorHAnsi" w:cstheme="majorHAnsi"/>
        </w:rPr>
      </w:pPr>
      <w:r w:rsidRPr="00A61669">
        <w:rPr>
          <w:rFonts w:asciiTheme="majorHAnsi" w:hAnsiTheme="majorHAnsi" w:cstheme="majorHAnsi"/>
        </w:rPr>
        <w:t>The Atex multicast constraint (architectural detail in Section 6) has a cost dimension worth noting here. On AWS, native Transit Gateway multicast adds a small charge (tens to a few hundred pounds per month at DMG Media's traffic profile) from attachment and data-processing fees. On GCP and Azure, the only native workaround is VMware-on-cloud (GCVE, AVS); post-October 2025 these require customer-provided VCF subscription licences on top, making that path materially more expensive than either the AWS native route or a vendor-led Atex unicast refactor.</w:t>
      </w:r>
    </w:p>
    <w:p w14:paraId="000003A1" w14:textId="000003A2" w:rsidR="000B0F63" w:rsidRPr="00A61669" w:rsidRDefault="1BAB210A" w:rsidP="00E40261">
      <w:pPr>
        <w:pStyle w:val="Heading2"/>
        <w:jc w:val="both"/>
        <w:rPr>
          <w:rFonts w:asciiTheme="majorHAnsi" w:hAnsiTheme="majorHAnsi" w:cstheme="majorHAnsi"/>
        </w:rPr>
      </w:pPr>
      <w:bookmarkStart w:id="106" w:name="_Toc156"/>
      <w:bookmarkStart w:id="107" w:name="_Toc227770939"/>
      <w:r w:rsidRPr="00A61669">
        <w:rPr>
          <w:rFonts w:asciiTheme="majorHAnsi" w:hAnsiTheme="majorHAnsi" w:cstheme="majorHAnsi"/>
        </w:rPr>
        <w:lastRenderedPageBreak/>
        <w:t>The Complete View (London, 3-Year Committed)</w:t>
      </w:r>
      <w:bookmarkEnd w:id="106"/>
      <w:bookmarkEnd w:id="107"/>
    </w:p>
    <w:p w14:paraId="000003A3" w14:textId="157BE351" w:rsidR="000B0F63" w:rsidRDefault="00C05D22" w:rsidP="00E40261">
      <w:pPr>
        <w:jc w:val="both"/>
        <w:rPr>
          <w:rFonts w:asciiTheme="majorHAnsi" w:hAnsiTheme="majorHAnsi" w:cstheme="majorHAnsi"/>
        </w:rPr>
      </w:pPr>
      <w:r w:rsidRPr="00A61669">
        <w:rPr>
          <w:rFonts w:asciiTheme="majorHAnsi" w:hAnsiTheme="majorHAnsi" w:cstheme="majorHAnsi"/>
        </w:rPr>
        <w:t>This is the full picture: baseline compute and storage, operating system licensing, storage tiering savings, Windows BYOL, SQL Server BYOL</w:t>
      </w:r>
      <w:r w:rsidR="00DC2E91">
        <w:rPr>
          <w:rFonts w:asciiTheme="majorHAnsi" w:hAnsiTheme="majorHAnsi" w:cstheme="majorHAnsi"/>
        </w:rPr>
        <w:t>, RHEL BYOL</w:t>
      </w:r>
      <w:r w:rsidRPr="00A61669">
        <w:rPr>
          <w:rFonts w:asciiTheme="majorHAnsi" w:hAnsiTheme="majorHAnsi" w:cstheme="majorHAnsi"/>
        </w:rPr>
        <w:t xml:space="preserve"> (via License Mobility on AWS and GCP, AHB on Azure), Oracle Exadata@Cloud (Option A), Oracle support retained under BYOL, and indicative internet egress. Complete View assumes Microsoft Software Assurance in place for both Windows Server and SQL Server</w:t>
      </w:r>
      <w:r w:rsidR="00C02934" w:rsidRPr="00A61669">
        <w:rPr>
          <w:rFonts w:asciiTheme="majorHAnsi" w:hAnsiTheme="majorHAnsi" w:cstheme="majorHAnsi"/>
        </w:rPr>
        <w:t>.</w:t>
      </w:r>
      <w:r w:rsidRPr="00A61669">
        <w:rPr>
          <w:rFonts w:asciiTheme="majorHAnsi" w:hAnsiTheme="majorHAnsi" w:cstheme="majorHAnsi"/>
        </w:rPr>
        <w:t xml:space="preserve"> All component lines are </w:t>
      </w:r>
      <w:r>
        <w:rPr>
          <w:rFonts w:asciiTheme="majorHAnsi" w:hAnsiTheme="majorHAnsi" w:cstheme="majorHAnsi"/>
        </w:rPr>
        <w:t>annual.</w:t>
      </w:r>
    </w:p>
    <w:tbl>
      <w:tblPr>
        <w:tblW w:w="9592" w:type="dxa"/>
        <w:tblCellMar>
          <w:top w:w="15" w:type="dxa"/>
        </w:tblCellMar>
        <w:tblLook w:val="04A0" w:firstRow="1" w:lastRow="0" w:firstColumn="1" w:lastColumn="0" w:noHBand="0" w:noVBand="1"/>
      </w:tblPr>
      <w:tblGrid>
        <w:gridCol w:w="2835"/>
        <w:gridCol w:w="2977"/>
        <w:gridCol w:w="1276"/>
        <w:gridCol w:w="2268"/>
        <w:gridCol w:w="236"/>
      </w:tblGrid>
      <w:tr w:rsidR="009D73B9" w:rsidRPr="009D73B9" w14:paraId="553A6720" w14:textId="77777777" w:rsidTr="009D73B9">
        <w:trPr>
          <w:gridAfter w:val="1"/>
          <w:wAfter w:w="236" w:type="dxa"/>
          <w:trHeight w:val="397"/>
        </w:trPr>
        <w:tc>
          <w:tcPr>
            <w:tcW w:w="2835" w:type="dxa"/>
            <w:tcBorders>
              <w:top w:val="nil"/>
              <w:left w:val="nil"/>
              <w:bottom w:val="nil"/>
              <w:right w:val="nil"/>
            </w:tcBorders>
            <w:shd w:val="clear" w:color="000000" w:fill="D9D9D9"/>
            <w:vAlign w:val="center"/>
            <w:hideMark/>
          </w:tcPr>
          <w:p w14:paraId="3F6D8BEE" w14:textId="77777777" w:rsidR="009D73B9" w:rsidRPr="009D73B9" w:rsidRDefault="009D73B9" w:rsidP="009D73B9">
            <w:pPr>
              <w:spacing w:after="0" w:line="240" w:lineRule="auto"/>
              <w:jc w:val="center"/>
              <w:rPr>
                <w:rFonts w:ascii="Arial" w:eastAsia="Times New Roman" w:hAnsi="Arial" w:cs="Arial"/>
                <w:b/>
                <w:bCs/>
                <w:color w:val="000000"/>
                <w:sz w:val="18"/>
                <w:szCs w:val="18"/>
                <w:lang w:eastAsia="en-GB"/>
              </w:rPr>
            </w:pPr>
            <w:r w:rsidRPr="009D73B9">
              <w:rPr>
                <w:rFonts w:ascii="Arial" w:eastAsia="Times New Roman" w:hAnsi="Arial" w:cs="Arial"/>
                <w:b/>
                <w:bCs/>
                <w:color w:val="000000"/>
                <w:sz w:val="18"/>
                <w:szCs w:val="18"/>
                <w:lang w:eastAsia="en-GB"/>
              </w:rPr>
              <w:t>Cost (annual)</w:t>
            </w:r>
          </w:p>
        </w:tc>
        <w:tc>
          <w:tcPr>
            <w:tcW w:w="2977" w:type="dxa"/>
            <w:tcBorders>
              <w:top w:val="nil"/>
              <w:left w:val="nil"/>
              <w:bottom w:val="nil"/>
              <w:right w:val="nil"/>
            </w:tcBorders>
            <w:shd w:val="clear" w:color="000000" w:fill="D9D9D9"/>
            <w:vAlign w:val="center"/>
            <w:hideMark/>
          </w:tcPr>
          <w:p w14:paraId="689DFE81" w14:textId="77777777" w:rsidR="009D73B9" w:rsidRPr="009D73B9" w:rsidRDefault="009D73B9" w:rsidP="009D73B9">
            <w:pPr>
              <w:spacing w:after="0" w:line="240" w:lineRule="auto"/>
              <w:jc w:val="center"/>
              <w:rPr>
                <w:rFonts w:ascii="Arial" w:eastAsia="Times New Roman" w:hAnsi="Arial" w:cs="Arial"/>
                <w:b/>
                <w:bCs/>
                <w:color w:val="000000"/>
                <w:sz w:val="18"/>
                <w:szCs w:val="18"/>
                <w:lang w:eastAsia="en-GB"/>
              </w:rPr>
            </w:pPr>
            <w:r w:rsidRPr="009D73B9">
              <w:rPr>
                <w:rFonts w:ascii="Arial" w:eastAsia="Times New Roman" w:hAnsi="Arial" w:cs="Arial"/>
                <w:b/>
                <w:bCs/>
                <w:color w:val="000000"/>
                <w:sz w:val="18"/>
                <w:szCs w:val="18"/>
                <w:lang w:eastAsia="en-GB"/>
              </w:rPr>
              <w:t>AWS</w:t>
            </w:r>
          </w:p>
        </w:tc>
        <w:tc>
          <w:tcPr>
            <w:tcW w:w="1276" w:type="dxa"/>
            <w:tcBorders>
              <w:top w:val="nil"/>
              <w:left w:val="nil"/>
              <w:bottom w:val="nil"/>
              <w:right w:val="nil"/>
            </w:tcBorders>
            <w:shd w:val="clear" w:color="000000" w:fill="D9D9D9"/>
            <w:vAlign w:val="center"/>
            <w:hideMark/>
          </w:tcPr>
          <w:p w14:paraId="10397AED" w14:textId="77777777" w:rsidR="009D73B9" w:rsidRPr="009D73B9" w:rsidRDefault="009D73B9" w:rsidP="009D73B9">
            <w:pPr>
              <w:spacing w:after="0" w:line="240" w:lineRule="auto"/>
              <w:jc w:val="center"/>
              <w:rPr>
                <w:rFonts w:ascii="Arial" w:eastAsia="Times New Roman" w:hAnsi="Arial" w:cs="Arial"/>
                <w:b/>
                <w:bCs/>
                <w:color w:val="000000"/>
                <w:sz w:val="18"/>
                <w:szCs w:val="18"/>
                <w:lang w:eastAsia="en-GB"/>
              </w:rPr>
            </w:pPr>
            <w:r w:rsidRPr="009D73B9">
              <w:rPr>
                <w:rFonts w:ascii="Arial" w:eastAsia="Times New Roman" w:hAnsi="Arial" w:cs="Arial"/>
                <w:b/>
                <w:bCs/>
                <w:color w:val="000000"/>
                <w:sz w:val="18"/>
                <w:szCs w:val="18"/>
                <w:lang w:eastAsia="en-GB"/>
              </w:rPr>
              <w:t>GCP</w:t>
            </w:r>
          </w:p>
        </w:tc>
        <w:tc>
          <w:tcPr>
            <w:tcW w:w="2268" w:type="dxa"/>
            <w:tcBorders>
              <w:top w:val="nil"/>
              <w:left w:val="nil"/>
              <w:bottom w:val="nil"/>
              <w:right w:val="nil"/>
            </w:tcBorders>
            <w:shd w:val="clear" w:color="000000" w:fill="D9D9D9"/>
            <w:vAlign w:val="center"/>
            <w:hideMark/>
          </w:tcPr>
          <w:p w14:paraId="082D8455" w14:textId="77777777" w:rsidR="009D73B9" w:rsidRPr="009D73B9" w:rsidRDefault="009D73B9" w:rsidP="009D73B9">
            <w:pPr>
              <w:spacing w:after="0" w:line="240" w:lineRule="auto"/>
              <w:jc w:val="center"/>
              <w:rPr>
                <w:rFonts w:ascii="Arial" w:eastAsia="Times New Roman" w:hAnsi="Arial" w:cs="Arial"/>
                <w:b/>
                <w:bCs/>
                <w:color w:val="000000"/>
                <w:sz w:val="18"/>
                <w:szCs w:val="18"/>
                <w:lang w:eastAsia="en-GB"/>
              </w:rPr>
            </w:pPr>
            <w:r w:rsidRPr="009D73B9">
              <w:rPr>
                <w:rFonts w:ascii="Arial" w:eastAsia="Times New Roman" w:hAnsi="Arial" w:cs="Arial"/>
                <w:b/>
                <w:bCs/>
                <w:color w:val="000000"/>
                <w:sz w:val="18"/>
                <w:szCs w:val="18"/>
                <w:lang w:eastAsia="en-GB"/>
              </w:rPr>
              <w:t>Azure</w:t>
            </w:r>
          </w:p>
        </w:tc>
      </w:tr>
      <w:tr w:rsidR="009D73B9" w:rsidRPr="009D73B9" w14:paraId="73D6D546" w14:textId="77777777" w:rsidTr="00D147FC">
        <w:trPr>
          <w:gridAfter w:val="1"/>
          <w:wAfter w:w="236" w:type="dxa"/>
          <w:trHeight w:val="397"/>
        </w:trPr>
        <w:tc>
          <w:tcPr>
            <w:tcW w:w="9356" w:type="dxa"/>
            <w:gridSpan w:val="4"/>
            <w:tcBorders>
              <w:top w:val="nil"/>
              <w:left w:val="nil"/>
              <w:bottom w:val="nil"/>
              <w:right w:val="nil"/>
            </w:tcBorders>
            <w:shd w:val="clear" w:color="auto" w:fill="F2F2F2" w:themeFill="background1" w:themeFillShade="F2"/>
            <w:vAlign w:val="center"/>
            <w:hideMark/>
          </w:tcPr>
          <w:p w14:paraId="3C9323F2" w14:textId="77777777" w:rsidR="009D73B9" w:rsidRPr="009D73B9" w:rsidRDefault="009D73B9" w:rsidP="009D73B9">
            <w:pPr>
              <w:spacing w:after="0" w:line="240" w:lineRule="auto"/>
              <w:rPr>
                <w:rFonts w:ascii="Arial" w:eastAsia="Times New Roman" w:hAnsi="Arial" w:cs="Arial"/>
                <w:b/>
                <w:bCs/>
                <w:color w:val="000000"/>
                <w:sz w:val="18"/>
                <w:szCs w:val="18"/>
                <w:lang w:eastAsia="en-GB"/>
              </w:rPr>
            </w:pPr>
            <w:r w:rsidRPr="009D73B9">
              <w:rPr>
                <w:rFonts w:ascii="Arial" w:eastAsia="Times New Roman" w:hAnsi="Arial" w:cs="Arial"/>
                <w:b/>
                <w:bCs/>
                <w:color w:val="000000"/>
                <w:sz w:val="18"/>
                <w:szCs w:val="18"/>
                <w:lang w:eastAsia="en-GB"/>
              </w:rPr>
              <w:t>Cloud Consumption Costs</w:t>
            </w:r>
          </w:p>
        </w:tc>
      </w:tr>
      <w:tr w:rsidR="00FE0CF6" w:rsidRPr="009D73B9" w14:paraId="79C2CC4D" w14:textId="77777777" w:rsidTr="009D73B9">
        <w:trPr>
          <w:gridAfter w:val="1"/>
          <w:wAfter w:w="236" w:type="dxa"/>
          <w:trHeight w:val="397"/>
        </w:trPr>
        <w:tc>
          <w:tcPr>
            <w:tcW w:w="2835" w:type="dxa"/>
            <w:tcBorders>
              <w:top w:val="nil"/>
              <w:left w:val="nil"/>
              <w:bottom w:val="nil"/>
              <w:right w:val="nil"/>
            </w:tcBorders>
            <w:vAlign w:val="center"/>
            <w:hideMark/>
          </w:tcPr>
          <w:p w14:paraId="13C0E0E2" w14:textId="77777777" w:rsidR="00FE0CF6" w:rsidRPr="009D73B9" w:rsidRDefault="00FE0CF6" w:rsidP="00FE0CF6">
            <w:pPr>
              <w:spacing w:after="0" w:line="240" w:lineRule="auto"/>
              <w:rPr>
                <w:rFonts w:ascii="Arial" w:eastAsia="Times New Roman" w:hAnsi="Arial" w:cs="Arial"/>
                <w:color w:val="000000"/>
                <w:sz w:val="18"/>
                <w:szCs w:val="18"/>
                <w:lang w:eastAsia="en-GB"/>
              </w:rPr>
            </w:pPr>
            <w:r w:rsidRPr="009D73B9">
              <w:rPr>
                <w:rFonts w:ascii="Arial" w:eastAsia="Times New Roman" w:hAnsi="Arial" w:cs="Arial"/>
                <w:color w:val="000000"/>
                <w:sz w:val="18"/>
                <w:szCs w:val="18"/>
                <w:lang w:eastAsia="en-GB"/>
              </w:rPr>
              <w:t>Cloud infrastructure (3yr committed: compute, storage, OS, network)</w:t>
            </w:r>
          </w:p>
        </w:tc>
        <w:tc>
          <w:tcPr>
            <w:tcW w:w="2977" w:type="dxa"/>
            <w:tcBorders>
              <w:top w:val="nil"/>
              <w:left w:val="nil"/>
              <w:bottom w:val="nil"/>
              <w:right w:val="nil"/>
            </w:tcBorders>
            <w:vAlign w:val="center"/>
            <w:hideMark/>
          </w:tcPr>
          <w:p w14:paraId="697FFAB7" w14:textId="5A6E8D48" w:rsidR="00FE0CF6" w:rsidRPr="009D73B9" w:rsidRDefault="00FE0CF6" w:rsidP="00FE0CF6">
            <w:pPr>
              <w:spacing w:after="0" w:line="240" w:lineRule="auto"/>
              <w:jc w:val="center"/>
              <w:rPr>
                <w:rFonts w:ascii="Arial" w:eastAsia="Times New Roman" w:hAnsi="Arial" w:cs="Arial"/>
                <w:color w:val="000000"/>
                <w:sz w:val="18"/>
                <w:szCs w:val="18"/>
                <w:lang w:eastAsia="en-GB"/>
              </w:rPr>
            </w:pPr>
            <w:r>
              <w:rPr>
                <w:rFonts w:ascii="Arial" w:hAnsi="Arial" w:cs="Arial"/>
                <w:color w:val="000000"/>
                <w:sz w:val="18"/>
                <w:szCs w:val="18"/>
              </w:rPr>
              <w:t>£2,283,419</w:t>
            </w:r>
          </w:p>
        </w:tc>
        <w:tc>
          <w:tcPr>
            <w:tcW w:w="1276" w:type="dxa"/>
            <w:tcBorders>
              <w:top w:val="nil"/>
              <w:left w:val="nil"/>
              <w:bottom w:val="nil"/>
              <w:right w:val="nil"/>
            </w:tcBorders>
            <w:vAlign w:val="center"/>
            <w:hideMark/>
          </w:tcPr>
          <w:p w14:paraId="6DC23CA8" w14:textId="4AFD04FA" w:rsidR="00FE0CF6" w:rsidRPr="009D73B9" w:rsidRDefault="00FE0CF6" w:rsidP="00FE0CF6">
            <w:pPr>
              <w:spacing w:after="0" w:line="240" w:lineRule="auto"/>
              <w:jc w:val="center"/>
              <w:rPr>
                <w:rFonts w:ascii="Arial" w:eastAsia="Times New Roman" w:hAnsi="Arial" w:cs="Arial"/>
                <w:color w:val="000000"/>
                <w:sz w:val="18"/>
                <w:szCs w:val="18"/>
                <w:lang w:eastAsia="en-GB"/>
              </w:rPr>
            </w:pPr>
            <w:r>
              <w:rPr>
                <w:rFonts w:ascii="Arial" w:hAnsi="Arial" w:cs="Arial"/>
                <w:color w:val="000000"/>
                <w:sz w:val="18"/>
                <w:szCs w:val="18"/>
              </w:rPr>
              <w:t>£2,243,685</w:t>
            </w:r>
          </w:p>
        </w:tc>
        <w:tc>
          <w:tcPr>
            <w:tcW w:w="2268" w:type="dxa"/>
            <w:tcBorders>
              <w:top w:val="nil"/>
              <w:left w:val="nil"/>
              <w:bottom w:val="nil"/>
              <w:right w:val="nil"/>
            </w:tcBorders>
            <w:vAlign w:val="center"/>
            <w:hideMark/>
          </w:tcPr>
          <w:p w14:paraId="4F9DF4BD" w14:textId="1B066ECC" w:rsidR="00FE0CF6" w:rsidRPr="009D73B9" w:rsidRDefault="00FE0CF6" w:rsidP="00FE0CF6">
            <w:pPr>
              <w:spacing w:after="0" w:line="240" w:lineRule="auto"/>
              <w:jc w:val="center"/>
              <w:rPr>
                <w:rFonts w:ascii="Arial" w:eastAsia="Times New Roman" w:hAnsi="Arial" w:cs="Arial"/>
                <w:color w:val="000000"/>
                <w:sz w:val="18"/>
                <w:szCs w:val="18"/>
                <w:lang w:eastAsia="en-GB"/>
              </w:rPr>
            </w:pPr>
            <w:r>
              <w:rPr>
                <w:rFonts w:ascii="Arial" w:hAnsi="Arial" w:cs="Arial"/>
                <w:color w:val="000000"/>
                <w:sz w:val="18"/>
                <w:szCs w:val="18"/>
              </w:rPr>
              <w:t>£3,298,566</w:t>
            </w:r>
          </w:p>
        </w:tc>
      </w:tr>
      <w:tr w:rsidR="009D73B9" w:rsidRPr="009D73B9" w14:paraId="0F0EF927" w14:textId="77777777" w:rsidTr="009D73B9">
        <w:trPr>
          <w:gridAfter w:val="1"/>
          <w:wAfter w:w="236" w:type="dxa"/>
          <w:trHeight w:val="397"/>
        </w:trPr>
        <w:tc>
          <w:tcPr>
            <w:tcW w:w="2835" w:type="dxa"/>
            <w:tcBorders>
              <w:top w:val="nil"/>
              <w:left w:val="nil"/>
              <w:bottom w:val="nil"/>
              <w:right w:val="nil"/>
            </w:tcBorders>
            <w:vAlign w:val="center"/>
            <w:hideMark/>
          </w:tcPr>
          <w:p w14:paraId="4124976A" w14:textId="77777777" w:rsidR="009D73B9" w:rsidRPr="009D73B9" w:rsidRDefault="009D73B9" w:rsidP="009D73B9">
            <w:pPr>
              <w:spacing w:after="0" w:line="240" w:lineRule="auto"/>
              <w:rPr>
                <w:rFonts w:ascii="Arial" w:eastAsia="Times New Roman" w:hAnsi="Arial" w:cs="Arial"/>
                <w:color w:val="000000"/>
                <w:sz w:val="18"/>
                <w:szCs w:val="18"/>
                <w:lang w:eastAsia="en-GB"/>
              </w:rPr>
            </w:pPr>
            <w:r w:rsidRPr="009D73B9">
              <w:rPr>
                <w:rFonts w:ascii="Arial" w:eastAsia="Times New Roman" w:hAnsi="Arial" w:cs="Arial"/>
                <w:color w:val="000000"/>
                <w:sz w:val="18"/>
                <w:szCs w:val="18"/>
                <w:lang w:eastAsia="en-GB"/>
              </w:rPr>
              <w:t>Oracle Exadata@Cloud</w:t>
            </w:r>
          </w:p>
        </w:tc>
        <w:tc>
          <w:tcPr>
            <w:tcW w:w="2977" w:type="dxa"/>
            <w:tcBorders>
              <w:top w:val="nil"/>
              <w:left w:val="nil"/>
              <w:bottom w:val="nil"/>
              <w:right w:val="nil"/>
            </w:tcBorders>
            <w:vAlign w:val="center"/>
            <w:hideMark/>
          </w:tcPr>
          <w:p w14:paraId="33D197A6" w14:textId="77777777" w:rsidR="009D73B9" w:rsidRPr="009D73B9" w:rsidRDefault="009D73B9" w:rsidP="009D73B9">
            <w:pPr>
              <w:spacing w:after="0" w:line="240" w:lineRule="auto"/>
              <w:jc w:val="center"/>
              <w:rPr>
                <w:rFonts w:ascii="Arial" w:eastAsia="Times New Roman" w:hAnsi="Arial" w:cs="Arial"/>
                <w:color w:val="000000"/>
                <w:sz w:val="18"/>
                <w:szCs w:val="18"/>
                <w:lang w:eastAsia="en-GB"/>
              </w:rPr>
            </w:pPr>
            <w:r w:rsidRPr="009D73B9">
              <w:rPr>
                <w:rFonts w:ascii="Arial" w:eastAsia="Times New Roman" w:hAnsi="Arial" w:cs="Arial"/>
                <w:color w:val="000000"/>
                <w:sz w:val="18"/>
                <w:szCs w:val="18"/>
                <w:lang w:eastAsia="en-GB"/>
              </w:rPr>
              <w:t>£514,908</w:t>
            </w:r>
          </w:p>
        </w:tc>
        <w:tc>
          <w:tcPr>
            <w:tcW w:w="1276" w:type="dxa"/>
            <w:tcBorders>
              <w:top w:val="nil"/>
              <w:left w:val="nil"/>
              <w:bottom w:val="nil"/>
              <w:right w:val="nil"/>
            </w:tcBorders>
            <w:vAlign w:val="center"/>
            <w:hideMark/>
          </w:tcPr>
          <w:p w14:paraId="0AB3827D" w14:textId="77777777" w:rsidR="009D73B9" w:rsidRPr="009D73B9" w:rsidRDefault="009D73B9" w:rsidP="009D73B9">
            <w:pPr>
              <w:spacing w:after="0" w:line="240" w:lineRule="auto"/>
              <w:jc w:val="center"/>
              <w:rPr>
                <w:rFonts w:ascii="Arial" w:eastAsia="Times New Roman" w:hAnsi="Arial" w:cs="Arial"/>
                <w:color w:val="000000"/>
                <w:sz w:val="18"/>
                <w:szCs w:val="18"/>
                <w:lang w:eastAsia="en-GB"/>
              </w:rPr>
            </w:pPr>
            <w:r w:rsidRPr="009D73B9">
              <w:rPr>
                <w:rFonts w:ascii="Arial" w:eastAsia="Times New Roman" w:hAnsi="Arial" w:cs="Arial"/>
                <w:color w:val="000000"/>
                <w:sz w:val="18"/>
                <w:szCs w:val="18"/>
                <w:lang w:eastAsia="en-GB"/>
              </w:rPr>
              <w:t>£514,908</w:t>
            </w:r>
          </w:p>
        </w:tc>
        <w:tc>
          <w:tcPr>
            <w:tcW w:w="2268" w:type="dxa"/>
            <w:tcBorders>
              <w:top w:val="nil"/>
              <w:left w:val="nil"/>
              <w:bottom w:val="nil"/>
              <w:right w:val="nil"/>
            </w:tcBorders>
            <w:vAlign w:val="center"/>
            <w:hideMark/>
          </w:tcPr>
          <w:p w14:paraId="23A1BE51" w14:textId="77777777" w:rsidR="009D73B9" w:rsidRPr="009D73B9" w:rsidRDefault="009D73B9" w:rsidP="009D73B9">
            <w:pPr>
              <w:spacing w:after="0" w:line="240" w:lineRule="auto"/>
              <w:jc w:val="center"/>
              <w:rPr>
                <w:rFonts w:ascii="Arial" w:eastAsia="Times New Roman" w:hAnsi="Arial" w:cs="Arial"/>
                <w:color w:val="000000"/>
                <w:sz w:val="18"/>
                <w:szCs w:val="18"/>
                <w:lang w:eastAsia="en-GB"/>
              </w:rPr>
            </w:pPr>
            <w:r w:rsidRPr="009D73B9">
              <w:rPr>
                <w:rFonts w:ascii="Arial" w:eastAsia="Times New Roman" w:hAnsi="Arial" w:cs="Arial"/>
                <w:color w:val="000000"/>
                <w:sz w:val="18"/>
                <w:szCs w:val="18"/>
                <w:lang w:eastAsia="en-GB"/>
              </w:rPr>
              <w:t>£514,908</w:t>
            </w:r>
          </w:p>
        </w:tc>
      </w:tr>
      <w:tr w:rsidR="009D73B9" w:rsidRPr="009D73B9" w14:paraId="22F2A297" w14:textId="77777777" w:rsidTr="009D73B9">
        <w:trPr>
          <w:gridAfter w:val="1"/>
          <w:wAfter w:w="236" w:type="dxa"/>
          <w:trHeight w:val="397"/>
        </w:trPr>
        <w:tc>
          <w:tcPr>
            <w:tcW w:w="2835" w:type="dxa"/>
            <w:tcBorders>
              <w:top w:val="nil"/>
              <w:left w:val="nil"/>
              <w:bottom w:val="nil"/>
              <w:right w:val="nil"/>
            </w:tcBorders>
            <w:vAlign w:val="center"/>
            <w:hideMark/>
          </w:tcPr>
          <w:p w14:paraId="4C790AD5" w14:textId="77777777" w:rsidR="009D73B9" w:rsidRPr="009D73B9" w:rsidRDefault="009D73B9" w:rsidP="009D73B9">
            <w:pPr>
              <w:spacing w:after="0" w:line="240" w:lineRule="auto"/>
              <w:rPr>
                <w:rFonts w:ascii="Arial" w:eastAsia="Times New Roman" w:hAnsi="Arial" w:cs="Arial"/>
                <w:color w:val="000000"/>
                <w:sz w:val="18"/>
                <w:szCs w:val="18"/>
                <w:lang w:eastAsia="en-GB"/>
              </w:rPr>
            </w:pPr>
            <w:r w:rsidRPr="009D73B9">
              <w:rPr>
                <w:rFonts w:ascii="Arial" w:eastAsia="Times New Roman" w:hAnsi="Arial" w:cs="Arial"/>
                <w:color w:val="000000"/>
                <w:sz w:val="18"/>
                <w:szCs w:val="18"/>
                <w:lang w:eastAsia="en-GB"/>
              </w:rPr>
              <w:t>Hyperscaler support (Enterprise)</w:t>
            </w:r>
          </w:p>
        </w:tc>
        <w:tc>
          <w:tcPr>
            <w:tcW w:w="2977" w:type="dxa"/>
            <w:tcBorders>
              <w:top w:val="nil"/>
              <w:left w:val="nil"/>
              <w:bottom w:val="nil"/>
              <w:right w:val="nil"/>
            </w:tcBorders>
            <w:vAlign w:val="center"/>
            <w:hideMark/>
          </w:tcPr>
          <w:p w14:paraId="5AA17A06" w14:textId="77777777" w:rsidR="009D73B9" w:rsidRPr="009D73B9" w:rsidRDefault="009D73B9" w:rsidP="009D73B9">
            <w:pPr>
              <w:spacing w:after="0" w:line="240" w:lineRule="auto"/>
              <w:jc w:val="center"/>
              <w:rPr>
                <w:rFonts w:ascii="Arial" w:eastAsia="Times New Roman" w:hAnsi="Arial" w:cs="Arial"/>
                <w:color w:val="000000"/>
                <w:sz w:val="18"/>
                <w:szCs w:val="18"/>
                <w:lang w:eastAsia="en-GB"/>
              </w:rPr>
            </w:pPr>
            <w:r w:rsidRPr="009D73B9">
              <w:rPr>
                <w:rFonts w:ascii="Arial" w:eastAsia="Times New Roman" w:hAnsi="Arial" w:cs="Arial"/>
                <w:color w:val="000000"/>
                <w:sz w:val="18"/>
                <w:szCs w:val="18"/>
                <w:lang w:eastAsia="en-GB"/>
              </w:rPr>
              <w:t>£200,609</w:t>
            </w:r>
          </w:p>
        </w:tc>
        <w:tc>
          <w:tcPr>
            <w:tcW w:w="1276" w:type="dxa"/>
            <w:tcBorders>
              <w:top w:val="nil"/>
              <w:left w:val="nil"/>
              <w:bottom w:val="nil"/>
              <w:right w:val="nil"/>
            </w:tcBorders>
            <w:vAlign w:val="center"/>
            <w:hideMark/>
          </w:tcPr>
          <w:p w14:paraId="7FD3208D" w14:textId="77777777" w:rsidR="009D73B9" w:rsidRPr="009D73B9" w:rsidRDefault="009D73B9" w:rsidP="009D73B9">
            <w:pPr>
              <w:spacing w:after="0" w:line="240" w:lineRule="auto"/>
              <w:jc w:val="center"/>
              <w:rPr>
                <w:rFonts w:ascii="Arial" w:eastAsia="Times New Roman" w:hAnsi="Arial" w:cs="Arial"/>
                <w:color w:val="000000"/>
                <w:sz w:val="18"/>
                <w:szCs w:val="18"/>
                <w:lang w:eastAsia="en-GB"/>
              </w:rPr>
            </w:pPr>
            <w:r w:rsidRPr="009D73B9">
              <w:rPr>
                <w:rFonts w:ascii="Arial" w:eastAsia="Times New Roman" w:hAnsi="Arial" w:cs="Arial"/>
                <w:color w:val="000000"/>
                <w:sz w:val="18"/>
                <w:szCs w:val="18"/>
                <w:lang w:eastAsia="en-GB"/>
              </w:rPr>
              <w:t>£224,369</w:t>
            </w:r>
          </w:p>
        </w:tc>
        <w:tc>
          <w:tcPr>
            <w:tcW w:w="2268" w:type="dxa"/>
            <w:tcBorders>
              <w:top w:val="nil"/>
              <w:left w:val="nil"/>
              <w:bottom w:val="nil"/>
              <w:right w:val="nil"/>
            </w:tcBorders>
            <w:vAlign w:val="center"/>
            <w:hideMark/>
          </w:tcPr>
          <w:p w14:paraId="6194C266" w14:textId="77777777" w:rsidR="009D73B9" w:rsidRPr="009D73B9" w:rsidRDefault="009D73B9" w:rsidP="009D73B9">
            <w:pPr>
              <w:spacing w:after="0" w:line="240" w:lineRule="auto"/>
              <w:jc w:val="center"/>
              <w:rPr>
                <w:rFonts w:ascii="Arial" w:eastAsia="Times New Roman" w:hAnsi="Arial" w:cs="Arial"/>
                <w:color w:val="000000"/>
                <w:sz w:val="18"/>
                <w:szCs w:val="18"/>
                <w:lang w:eastAsia="en-GB"/>
              </w:rPr>
            </w:pPr>
            <w:r w:rsidRPr="009D73B9">
              <w:rPr>
                <w:rFonts w:ascii="Arial" w:eastAsia="Times New Roman" w:hAnsi="Arial" w:cs="Arial"/>
                <w:color w:val="000000"/>
                <w:sz w:val="18"/>
                <w:szCs w:val="18"/>
                <w:lang w:eastAsia="en-GB"/>
              </w:rPr>
              <w:t>£271,670</w:t>
            </w:r>
          </w:p>
        </w:tc>
      </w:tr>
      <w:tr w:rsidR="009D73B9" w:rsidRPr="009D73B9" w14:paraId="2A313DE6" w14:textId="77777777" w:rsidTr="009D73B9">
        <w:trPr>
          <w:gridAfter w:val="1"/>
          <w:wAfter w:w="236" w:type="dxa"/>
          <w:trHeight w:val="397"/>
        </w:trPr>
        <w:tc>
          <w:tcPr>
            <w:tcW w:w="2835" w:type="dxa"/>
            <w:tcBorders>
              <w:top w:val="nil"/>
              <w:left w:val="nil"/>
              <w:bottom w:val="nil"/>
              <w:right w:val="nil"/>
            </w:tcBorders>
            <w:vAlign w:val="center"/>
            <w:hideMark/>
          </w:tcPr>
          <w:p w14:paraId="51544509" w14:textId="77777777" w:rsidR="009D73B9" w:rsidRPr="009D73B9" w:rsidRDefault="009D73B9" w:rsidP="009D73B9">
            <w:pPr>
              <w:spacing w:after="0" w:line="240" w:lineRule="auto"/>
              <w:rPr>
                <w:rFonts w:ascii="Arial" w:eastAsia="Times New Roman" w:hAnsi="Arial" w:cs="Arial"/>
                <w:color w:val="000000"/>
                <w:sz w:val="18"/>
                <w:szCs w:val="18"/>
                <w:lang w:eastAsia="en-GB"/>
              </w:rPr>
            </w:pPr>
            <w:r w:rsidRPr="009D73B9">
              <w:rPr>
                <w:rFonts w:ascii="Arial" w:eastAsia="Times New Roman" w:hAnsi="Arial" w:cs="Arial"/>
                <w:color w:val="000000"/>
                <w:sz w:val="18"/>
                <w:szCs w:val="18"/>
                <w:lang w:eastAsia="en-GB"/>
              </w:rPr>
              <w:t>Internet egress (illustrative, 100TB/mo)</w:t>
            </w:r>
          </w:p>
        </w:tc>
        <w:tc>
          <w:tcPr>
            <w:tcW w:w="2977" w:type="dxa"/>
            <w:tcBorders>
              <w:top w:val="nil"/>
              <w:left w:val="nil"/>
              <w:bottom w:val="nil"/>
              <w:right w:val="nil"/>
            </w:tcBorders>
            <w:vAlign w:val="center"/>
            <w:hideMark/>
          </w:tcPr>
          <w:p w14:paraId="28E93D5E" w14:textId="77777777" w:rsidR="009D73B9" w:rsidRPr="009D73B9" w:rsidRDefault="009D73B9" w:rsidP="009D73B9">
            <w:pPr>
              <w:spacing w:after="0" w:line="240" w:lineRule="auto"/>
              <w:jc w:val="center"/>
              <w:rPr>
                <w:rFonts w:ascii="Arial" w:eastAsia="Times New Roman" w:hAnsi="Arial" w:cs="Arial"/>
                <w:color w:val="000000"/>
                <w:sz w:val="18"/>
                <w:szCs w:val="18"/>
                <w:lang w:eastAsia="en-GB"/>
              </w:rPr>
            </w:pPr>
            <w:r w:rsidRPr="009D73B9">
              <w:rPr>
                <w:rFonts w:ascii="Arial" w:eastAsia="Times New Roman" w:hAnsi="Arial" w:cs="Arial"/>
                <w:color w:val="000000"/>
                <w:sz w:val="18"/>
                <w:szCs w:val="18"/>
                <w:lang w:eastAsia="en-GB"/>
              </w:rPr>
              <w:t>£70,668</w:t>
            </w:r>
          </w:p>
        </w:tc>
        <w:tc>
          <w:tcPr>
            <w:tcW w:w="1276" w:type="dxa"/>
            <w:tcBorders>
              <w:top w:val="nil"/>
              <w:left w:val="nil"/>
              <w:bottom w:val="nil"/>
              <w:right w:val="nil"/>
            </w:tcBorders>
            <w:vAlign w:val="center"/>
            <w:hideMark/>
          </w:tcPr>
          <w:p w14:paraId="16E4037C" w14:textId="77777777" w:rsidR="009D73B9" w:rsidRPr="009D73B9" w:rsidRDefault="009D73B9" w:rsidP="009D73B9">
            <w:pPr>
              <w:spacing w:after="0" w:line="240" w:lineRule="auto"/>
              <w:jc w:val="center"/>
              <w:rPr>
                <w:rFonts w:ascii="Arial" w:eastAsia="Times New Roman" w:hAnsi="Arial" w:cs="Arial"/>
                <w:color w:val="000000"/>
                <w:sz w:val="18"/>
                <w:szCs w:val="18"/>
                <w:lang w:eastAsia="en-GB"/>
              </w:rPr>
            </w:pPr>
            <w:r w:rsidRPr="009D73B9">
              <w:rPr>
                <w:rFonts w:ascii="Arial" w:eastAsia="Times New Roman" w:hAnsi="Arial" w:cs="Arial"/>
                <w:color w:val="000000"/>
                <w:sz w:val="18"/>
                <w:szCs w:val="18"/>
                <w:lang w:eastAsia="en-GB"/>
              </w:rPr>
              <w:t>£75,288</w:t>
            </w:r>
          </w:p>
        </w:tc>
        <w:tc>
          <w:tcPr>
            <w:tcW w:w="2268" w:type="dxa"/>
            <w:tcBorders>
              <w:top w:val="nil"/>
              <w:left w:val="nil"/>
              <w:bottom w:val="nil"/>
              <w:right w:val="nil"/>
            </w:tcBorders>
            <w:vAlign w:val="center"/>
            <w:hideMark/>
          </w:tcPr>
          <w:p w14:paraId="446678B3" w14:textId="77777777" w:rsidR="009D73B9" w:rsidRPr="009D73B9" w:rsidRDefault="009D73B9" w:rsidP="009D73B9">
            <w:pPr>
              <w:spacing w:after="0" w:line="240" w:lineRule="auto"/>
              <w:jc w:val="center"/>
              <w:rPr>
                <w:rFonts w:ascii="Arial" w:eastAsia="Times New Roman" w:hAnsi="Arial" w:cs="Arial"/>
                <w:color w:val="000000"/>
                <w:sz w:val="18"/>
                <w:szCs w:val="18"/>
                <w:lang w:eastAsia="en-GB"/>
              </w:rPr>
            </w:pPr>
            <w:r w:rsidRPr="009D73B9">
              <w:rPr>
                <w:rFonts w:ascii="Arial" w:eastAsia="Times New Roman" w:hAnsi="Arial" w:cs="Arial"/>
                <w:color w:val="000000"/>
                <w:sz w:val="18"/>
                <w:szCs w:val="18"/>
                <w:lang w:eastAsia="en-GB"/>
              </w:rPr>
              <w:t>£57,984</w:t>
            </w:r>
          </w:p>
        </w:tc>
      </w:tr>
      <w:tr w:rsidR="009D73B9" w:rsidRPr="009D73B9" w14:paraId="7E690D58" w14:textId="77777777" w:rsidTr="00D147FC">
        <w:trPr>
          <w:gridAfter w:val="1"/>
          <w:wAfter w:w="236" w:type="dxa"/>
          <w:trHeight w:val="397"/>
        </w:trPr>
        <w:tc>
          <w:tcPr>
            <w:tcW w:w="9356" w:type="dxa"/>
            <w:gridSpan w:val="4"/>
            <w:tcBorders>
              <w:top w:val="nil"/>
              <w:left w:val="nil"/>
              <w:bottom w:val="nil"/>
              <w:right w:val="nil"/>
            </w:tcBorders>
            <w:shd w:val="clear" w:color="auto" w:fill="F2F2F2" w:themeFill="background1" w:themeFillShade="F2"/>
            <w:vAlign w:val="center"/>
            <w:hideMark/>
          </w:tcPr>
          <w:p w14:paraId="3E207659" w14:textId="77777777" w:rsidR="009D73B9" w:rsidRPr="009D73B9" w:rsidRDefault="009D73B9" w:rsidP="009D73B9">
            <w:pPr>
              <w:spacing w:after="0" w:line="240" w:lineRule="auto"/>
              <w:rPr>
                <w:rFonts w:ascii="Arial" w:eastAsia="Times New Roman" w:hAnsi="Arial" w:cs="Arial"/>
                <w:b/>
                <w:bCs/>
                <w:color w:val="000000"/>
                <w:sz w:val="18"/>
                <w:szCs w:val="18"/>
                <w:lang w:eastAsia="en-GB"/>
              </w:rPr>
            </w:pPr>
            <w:r w:rsidRPr="009D73B9">
              <w:rPr>
                <w:rFonts w:ascii="Arial" w:eastAsia="Times New Roman" w:hAnsi="Arial" w:cs="Arial"/>
                <w:b/>
                <w:bCs/>
                <w:color w:val="000000"/>
                <w:sz w:val="18"/>
                <w:szCs w:val="18"/>
                <w:lang w:eastAsia="en-GB"/>
              </w:rPr>
              <w:t>Services costs carried into cloud in 'lift &amp; shift’ – reduce by transformation</w:t>
            </w:r>
          </w:p>
        </w:tc>
      </w:tr>
      <w:tr w:rsidR="00FE0CF6" w:rsidRPr="009D73B9" w14:paraId="3FD5D40C" w14:textId="77777777" w:rsidTr="009D73B9">
        <w:trPr>
          <w:gridAfter w:val="1"/>
          <w:wAfter w:w="236" w:type="dxa"/>
          <w:trHeight w:val="397"/>
        </w:trPr>
        <w:tc>
          <w:tcPr>
            <w:tcW w:w="2835" w:type="dxa"/>
            <w:tcBorders>
              <w:top w:val="nil"/>
              <w:left w:val="nil"/>
              <w:bottom w:val="nil"/>
              <w:right w:val="nil"/>
            </w:tcBorders>
            <w:vAlign w:val="center"/>
            <w:hideMark/>
          </w:tcPr>
          <w:p w14:paraId="1F31E115" w14:textId="77777777" w:rsidR="00FE0CF6" w:rsidRPr="009D73B9" w:rsidRDefault="00FE0CF6" w:rsidP="00FE0CF6">
            <w:pPr>
              <w:spacing w:after="0" w:line="240" w:lineRule="auto"/>
              <w:rPr>
                <w:rFonts w:ascii="Arial" w:eastAsia="Times New Roman" w:hAnsi="Arial" w:cs="Arial"/>
                <w:color w:val="000000"/>
                <w:sz w:val="18"/>
                <w:szCs w:val="18"/>
                <w:lang w:eastAsia="en-GB"/>
              </w:rPr>
            </w:pPr>
            <w:r w:rsidRPr="009D73B9">
              <w:rPr>
                <w:rFonts w:ascii="Arial" w:eastAsia="Times New Roman" w:hAnsi="Arial" w:cs="Arial"/>
                <w:color w:val="000000"/>
                <w:sz w:val="18"/>
                <w:szCs w:val="18"/>
                <w:lang w:eastAsia="en-GB"/>
              </w:rPr>
              <w:t>DB management, security tooling, Oracle support, Ubuntu patching, MS support</w:t>
            </w:r>
          </w:p>
        </w:tc>
        <w:tc>
          <w:tcPr>
            <w:tcW w:w="2977" w:type="dxa"/>
            <w:tcBorders>
              <w:top w:val="nil"/>
              <w:left w:val="nil"/>
              <w:bottom w:val="nil"/>
              <w:right w:val="nil"/>
            </w:tcBorders>
            <w:vAlign w:val="center"/>
            <w:hideMark/>
          </w:tcPr>
          <w:p w14:paraId="57949CB2" w14:textId="4E09F7FC" w:rsidR="00FE0CF6" w:rsidRPr="009D73B9" w:rsidRDefault="00FE0CF6" w:rsidP="00FE0CF6">
            <w:pPr>
              <w:spacing w:after="0" w:line="240" w:lineRule="auto"/>
              <w:jc w:val="center"/>
              <w:rPr>
                <w:rFonts w:ascii="Arial" w:eastAsia="Times New Roman" w:hAnsi="Arial" w:cs="Arial"/>
                <w:color w:val="000000"/>
                <w:sz w:val="18"/>
                <w:szCs w:val="18"/>
                <w:lang w:eastAsia="en-GB"/>
              </w:rPr>
            </w:pPr>
            <w:r>
              <w:rPr>
                <w:rFonts w:ascii="Arial" w:hAnsi="Arial" w:cs="Arial"/>
                <w:color w:val="000000"/>
                <w:sz w:val="18"/>
                <w:szCs w:val="18"/>
              </w:rPr>
              <w:t>£1,761,888</w:t>
            </w:r>
          </w:p>
        </w:tc>
        <w:tc>
          <w:tcPr>
            <w:tcW w:w="1276" w:type="dxa"/>
            <w:tcBorders>
              <w:top w:val="nil"/>
              <w:left w:val="nil"/>
              <w:bottom w:val="nil"/>
              <w:right w:val="nil"/>
            </w:tcBorders>
            <w:vAlign w:val="center"/>
            <w:hideMark/>
          </w:tcPr>
          <w:p w14:paraId="7B4C5019" w14:textId="69B2C2DE" w:rsidR="00FE0CF6" w:rsidRPr="009D73B9" w:rsidRDefault="00FE0CF6" w:rsidP="00FE0CF6">
            <w:pPr>
              <w:spacing w:after="0" w:line="240" w:lineRule="auto"/>
              <w:jc w:val="center"/>
              <w:rPr>
                <w:rFonts w:ascii="Arial" w:eastAsia="Times New Roman" w:hAnsi="Arial" w:cs="Arial"/>
                <w:color w:val="000000"/>
                <w:sz w:val="18"/>
                <w:szCs w:val="18"/>
                <w:lang w:eastAsia="en-GB"/>
              </w:rPr>
            </w:pPr>
            <w:r>
              <w:rPr>
                <w:rFonts w:ascii="Arial" w:hAnsi="Arial" w:cs="Arial"/>
                <w:color w:val="000000"/>
                <w:sz w:val="18"/>
                <w:szCs w:val="18"/>
              </w:rPr>
              <w:t>£1,761,888</w:t>
            </w:r>
          </w:p>
        </w:tc>
        <w:tc>
          <w:tcPr>
            <w:tcW w:w="2268" w:type="dxa"/>
            <w:tcBorders>
              <w:top w:val="nil"/>
              <w:left w:val="nil"/>
              <w:bottom w:val="nil"/>
              <w:right w:val="nil"/>
            </w:tcBorders>
            <w:vAlign w:val="center"/>
            <w:hideMark/>
          </w:tcPr>
          <w:p w14:paraId="39A9BD74" w14:textId="0BCB5857" w:rsidR="00FE0CF6" w:rsidRPr="009D73B9" w:rsidRDefault="00FE0CF6" w:rsidP="00FE0CF6">
            <w:pPr>
              <w:spacing w:after="0" w:line="240" w:lineRule="auto"/>
              <w:jc w:val="center"/>
              <w:rPr>
                <w:rFonts w:ascii="Arial" w:eastAsia="Times New Roman" w:hAnsi="Arial" w:cs="Arial"/>
                <w:color w:val="000000"/>
                <w:sz w:val="18"/>
                <w:szCs w:val="18"/>
                <w:lang w:eastAsia="en-GB"/>
              </w:rPr>
            </w:pPr>
            <w:r>
              <w:rPr>
                <w:rFonts w:ascii="Arial" w:hAnsi="Arial" w:cs="Arial"/>
                <w:color w:val="000000"/>
                <w:sz w:val="18"/>
                <w:szCs w:val="18"/>
              </w:rPr>
              <w:t>£1,761,888</w:t>
            </w:r>
          </w:p>
        </w:tc>
      </w:tr>
      <w:tr w:rsidR="009D73B9" w:rsidRPr="009D73B9" w14:paraId="42EE29A9" w14:textId="77777777" w:rsidTr="00D147FC">
        <w:trPr>
          <w:gridAfter w:val="1"/>
          <w:wAfter w:w="236" w:type="dxa"/>
          <w:trHeight w:val="397"/>
        </w:trPr>
        <w:tc>
          <w:tcPr>
            <w:tcW w:w="9356" w:type="dxa"/>
            <w:gridSpan w:val="4"/>
            <w:tcBorders>
              <w:top w:val="nil"/>
              <w:left w:val="nil"/>
              <w:bottom w:val="nil"/>
              <w:right w:val="nil"/>
            </w:tcBorders>
            <w:shd w:val="clear" w:color="auto" w:fill="F2F2F2" w:themeFill="background1" w:themeFillShade="F2"/>
            <w:vAlign w:val="center"/>
            <w:hideMark/>
          </w:tcPr>
          <w:p w14:paraId="0934A016" w14:textId="77777777" w:rsidR="009D73B9" w:rsidRPr="009D73B9" w:rsidRDefault="009D73B9" w:rsidP="009D73B9">
            <w:pPr>
              <w:spacing w:after="0" w:line="240" w:lineRule="auto"/>
              <w:rPr>
                <w:rFonts w:ascii="Arial" w:eastAsia="Times New Roman" w:hAnsi="Arial" w:cs="Arial"/>
                <w:b/>
                <w:bCs/>
                <w:color w:val="000000"/>
                <w:sz w:val="18"/>
                <w:szCs w:val="18"/>
                <w:lang w:eastAsia="en-GB"/>
              </w:rPr>
            </w:pPr>
            <w:r w:rsidRPr="009D73B9">
              <w:rPr>
                <w:rFonts w:ascii="Arial" w:eastAsia="Times New Roman" w:hAnsi="Arial" w:cs="Arial"/>
                <w:b/>
                <w:bCs/>
                <w:color w:val="000000"/>
                <w:sz w:val="18"/>
                <w:szCs w:val="18"/>
                <w:lang w:eastAsia="en-GB"/>
              </w:rPr>
              <w:t>OS/DB License costs carried into Cloud – offset with BYOL discount</w:t>
            </w:r>
          </w:p>
        </w:tc>
      </w:tr>
      <w:tr w:rsidR="009D73B9" w:rsidRPr="009D73B9" w14:paraId="04CEC274" w14:textId="77777777" w:rsidTr="009D73B9">
        <w:trPr>
          <w:gridAfter w:val="1"/>
          <w:wAfter w:w="236" w:type="dxa"/>
          <w:trHeight w:val="397"/>
        </w:trPr>
        <w:tc>
          <w:tcPr>
            <w:tcW w:w="2835" w:type="dxa"/>
            <w:tcBorders>
              <w:top w:val="nil"/>
              <w:left w:val="nil"/>
              <w:bottom w:val="nil"/>
              <w:right w:val="nil"/>
            </w:tcBorders>
            <w:vAlign w:val="center"/>
            <w:hideMark/>
          </w:tcPr>
          <w:p w14:paraId="45C0FEAD" w14:textId="77777777" w:rsidR="009D73B9" w:rsidRPr="009D73B9" w:rsidRDefault="009D73B9" w:rsidP="009D73B9">
            <w:pPr>
              <w:spacing w:after="0" w:line="240" w:lineRule="auto"/>
              <w:rPr>
                <w:rFonts w:ascii="Arial" w:eastAsia="Times New Roman" w:hAnsi="Arial" w:cs="Arial"/>
                <w:color w:val="000000"/>
                <w:sz w:val="18"/>
                <w:szCs w:val="18"/>
                <w:lang w:eastAsia="en-GB"/>
              </w:rPr>
            </w:pPr>
            <w:r w:rsidRPr="009D73B9">
              <w:rPr>
                <w:rFonts w:ascii="Arial" w:eastAsia="Times New Roman" w:hAnsi="Arial" w:cs="Arial"/>
                <w:color w:val="000000"/>
                <w:sz w:val="18"/>
                <w:szCs w:val="18"/>
                <w:lang w:eastAsia="en-GB"/>
              </w:rPr>
              <w:t>Licensing (Windows, SQL, RHEL)</w:t>
            </w:r>
          </w:p>
        </w:tc>
        <w:tc>
          <w:tcPr>
            <w:tcW w:w="2977" w:type="dxa"/>
            <w:tcBorders>
              <w:top w:val="nil"/>
              <w:left w:val="nil"/>
              <w:bottom w:val="nil"/>
              <w:right w:val="nil"/>
            </w:tcBorders>
            <w:vAlign w:val="center"/>
            <w:hideMark/>
          </w:tcPr>
          <w:p w14:paraId="17F71B3A" w14:textId="77777777" w:rsidR="009D73B9" w:rsidRPr="009D73B9" w:rsidRDefault="009D73B9" w:rsidP="009D73B9">
            <w:pPr>
              <w:spacing w:after="0" w:line="240" w:lineRule="auto"/>
              <w:jc w:val="center"/>
              <w:rPr>
                <w:rFonts w:ascii="Arial" w:eastAsia="Times New Roman" w:hAnsi="Arial" w:cs="Arial"/>
                <w:color w:val="000000"/>
                <w:sz w:val="18"/>
                <w:szCs w:val="18"/>
                <w:lang w:eastAsia="en-GB"/>
              </w:rPr>
            </w:pPr>
            <w:r w:rsidRPr="009D73B9">
              <w:rPr>
                <w:rFonts w:ascii="Arial" w:eastAsia="Times New Roman" w:hAnsi="Arial" w:cs="Arial"/>
                <w:color w:val="000000"/>
                <w:sz w:val="18"/>
                <w:szCs w:val="18"/>
                <w:lang w:eastAsia="en-GB"/>
              </w:rPr>
              <w:t>£326,793</w:t>
            </w:r>
          </w:p>
        </w:tc>
        <w:tc>
          <w:tcPr>
            <w:tcW w:w="1276" w:type="dxa"/>
            <w:tcBorders>
              <w:top w:val="nil"/>
              <w:left w:val="nil"/>
              <w:bottom w:val="nil"/>
              <w:right w:val="nil"/>
            </w:tcBorders>
            <w:vAlign w:val="center"/>
            <w:hideMark/>
          </w:tcPr>
          <w:p w14:paraId="7DDC3484" w14:textId="77777777" w:rsidR="009D73B9" w:rsidRPr="009D73B9" w:rsidRDefault="009D73B9" w:rsidP="009D73B9">
            <w:pPr>
              <w:spacing w:after="0" w:line="240" w:lineRule="auto"/>
              <w:jc w:val="center"/>
              <w:rPr>
                <w:rFonts w:ascii="Arial" w:eastAsia="Times New Roman" w:hAnsi="Arial" w:cs="Arial"/>
                <w:color w:val="000000"/>
                <w:sz w:val="18"/>
                <w:szCs w:val="18"/>
                <w:lang w:eastAsia="en-GB"/>
              </w:rPr>
            </w:pPr>
            <w:r w:rsidRPr="009D73B9">
              <w:rPr>
                <w:rFonts w:ascii="Arial" w:eastAsia="Times New Roman" w:hAnsi="Arial" w:cs="Arial"/>
                <w:color w:val="000000"/>
                <w:sz w:val="18"/>
                <w:szCs w:val="18"/>
                <w:lang w:eastAsia="en-GB"/>
              </w:rPr>
              <w:t>£326,793</w:t>
            </w:r>
          </w:p>
        </w:tc>
        <w:tc>
          <w:tcPr>
            <w:tcW w:w="2268" w:type="dxa"/>
            <w:tcBorders>
              <w:top w:val="nil"/>
              <w:left w:val="nil"/>
              <w:bottom w:val="nil"/>
              <w:right w:val="nil"/>
            </w:tcBorders>
            <w:vAlign w:val="center"/>
            <w:hideMark/>
          </w:tcPr>
          <w:p w14:paraId="03D7B1DB" w14:textId="77777777" w:rsidR="009D73B9" w:rsidRPr="009D73B9" w:rsidRDefault="009D73B9" w:rsidP="009D73B9">
            <w:pPr>
              <w:spacing w:after="0" w:line="240" w:lineRule="auto"/>
              <w:jc w:val="center"/>
              <w:rPr>
                <w:rFonts w:ascii="Arial" w:eastAsia="Times New Roman" w:hAnsi="Arial" w:cs="Arial"/>
                <w:color w:val="000000"/>
                <w:sz w:val="18"/>
                <w:szCs w:val="18"/>
                <w:lang w:eastAsia="en-GB"/>
              </w:rPr>
            </w:pPr>
            <w:r w:rsidRPr="009D73B9">
              <w:rPr>
                <w:rFonts w:ascii="Arial" w:eastAsia="Times New Roman" w:hAnsi="Arial" w:cs="Arial"/>
                <w:color w:val="000000"/>
                <w:sz w:val="18"/>
                <w:szCs w:val="18"/>
                <w:lang w:eastAsia="en-GB"/>
              </w:rPr>
              <w:t>£326,793</w:t>
            </w:r>
          </w:p>
        </w:tc>
      </w:tr>
      <w:tr w:rsidR="009D73B9" w:rsidRPr="009D73B9" w14:paraId="6B1AA6CB" w14:textId="77777777" w:rsidTr="009D73B9">
        <w:trPr>
          <w:gridAfter w:val="1"/>
          <w:wAfter w:w="236" w:type="dxa"/>
          <w:trHeight w:val="397"/>
        </w:trPr>
        <w:tc>
          <w:tcPr>
            <w:tcW w:w="2835" w:type="dxa"/>
            <w:tcBorders>
              <w:top w:val="nil"/>
              <w:left w:val="nil"/>
              <w:bottom w:val="nil"/>
              <w:right w:val="nil"/>
            </w:tcBorders>
            <w:vAlign w:val="center"/>
            <w:hideMark/>
          </w:tcPr>
          <w:p w14:paraId="0B068FD8" w14:textId="77777777" w:rsidR="009D73B9" w:rsidRPr="009D73B9" w:rsidRDefault="009D73B9" w:rsidP="009D73B9">
            <w:pPr>
              <w:spacing w:after="0" w:line="240" w:lineRule="auto"/>
              <w:rPr>
                <w:rFonts w:ascii="Arial" w:eastAsia="Times New Roman" w:hAnsi="Arial" w:cs="Arial"/>
                <w:color w:val="000000"/>
                <w:sz w:val="18"/>
                <w:szCs w:val="18"/>
                <w:lang w:eastAsia="en-GB"/>
              </w:rPr>
            </w:pPr>
            <w:r w:rsidRPr="009D73B9">
              <w:rPr>
                <w:rFonts w:ascii="Arial" w:eastAsia="Times New Roman" w:hAnsi="Arial" w:cs="Arial"/>
                <w:color w:val="000000"/>
                <w:sz w:val="18"/>
                <w:szCs w:val="18"/>
                <w:lang w:eastAsia="en-GB"/>
              </w:rPr>
              <w:t>BYOL discount applied</w:t>
            </w:r>
          </w:p>
        </w:tc>
        <w:tc>
          <w:tcPr>
            <w:tcW w:w="2977" w:type="dxa"/>
            <w:tcBorders>
              <w:top w:val="nil"/>
              <w:left w:val="nil"/>
              <w:bottom w:val="nil"/>
              <w:right w:val="nil"/>
            </w:tcBorders>
            <w:vAlign w:val="center"/>
            <w:hideMark/>
          </w:tcPr>
          <w:p w14:paraId="15C911AF" w14:textId="77777777" w:rsidR="009D73B9" w:rsidRPr="009D73B9" w:rsidRDefault="009D73B9" w:rsidP="009D73B9">
            <w:pPr>
              <w:spacing w:after="0" w:line="240" w:lineRule="auto"/>
              <w:jc w:val="center"/>
              <w:rPr>
                <w:rFonts w:ascii="Arial" w:eastAsia="Times New Roman" w:hAnsi="Arial" w:cs="Arial"/>
                <w:color w:val="FF0000"/>
                <w:sz w:val="18"/>
                <w:szCs w:val="18"/>
                <w:lang w:eastAsia="en-GB"/>
              </w:rPr>
            </w:pPr>
            <w:r w:rsidRPr="009D73B9">
              <w:rPr>
                <w:rFonts w:ascii="Arial" w:eastAsia="Times New Roman" w:hAnsi="Arial" w:cs="Arial"/>
                <w:color w:val="FF0000"/>
                <w:sz w:val="18"/>
                <w:szCs w:val="18"/>
                <w:lang w:eastAsia="en-GB"/>
              </w:rPr>
              <w:t>-£339,492</w:t>
            </w:r>
          </w:p>
        </w:tc>
        <w:tc>
          <w:tcPr>
            <w:tcW w:w="1276" w:type="dxa"/>
            <w:tcBorders>
              <w:top w:val="nil"/>
              <w:left w:val="nil"/>
              <w:bottom w:val="nil"/>
              <w:right w:val="nil"/>
            </w:tcBorders>
            <w:vAlign w:val="center"/>
            <w:hideMark/>
          </w:tcPr>
          <w:p w14:paraId="5DB83399" w14:textId="77777777" w:rsidR="009D73B9" w:rsidRPr="009D73B9" w:rsidRDefault="009D73B9" w:rsidP="009D73B9">
            <w:pPr>
              <w:spacing w:after="0" w:line="240" w:lineRule="auto"/>
              <w:jc w:val="center"/>
              <w:rPr>
                <w:rFonts w:ascii="Arial" w:eastAsia="Times New Roman" w:hAnsi="Arial" w:cs="Arial"/>
                <w:color w:val="FF0000"/>
                <w:sz w:val="18"/>
                <w:szCs w:val="18"/>
                <w:lang w:eastAsia="en-GB"/>
              </w:rPr>
            </w:pPr>
            <w:r w:rsidRPr="009D73B9">
              <w:rPr>
                <w:rFonts w:ascii="Arial" w:eastAsia="Times New Roman" w:hAnsi="Arial" w:cs="Arial"/>
                <w:color w:val="FF0000"/>
                <w:sz w:val="18"/>
                <w:szCs w:val="18"/>
                <w:lang w:eastAsia="en-GB"/>
              </w:rPr>
              <w:t>-£329,268</w:t>
            </w:r>
          </w:p>
        </w:tc>
        <w:tc>
          <w:tcPr>
            <w:tcW w:w="2268" w:type="dxa"/>
            <w:tcBorders>
              <w:top w:val="nil"/>
              <w:left w:val="nil"/>
              <w:bottom w:val="nil"/>
              <w:right w:val="nil"/>
            </w:tcBorders>
            <w:vAlign w:val="center"/>
            <w:hideMark/>
          </w:tcPr>
          <w:p w14:paraId="7EA06A4A" w14:textId="77777777" w:rsidR="009D73B9" w:rsidRPr="009D73B9" w:rsidRDefault="009D73B9" w:rsidP="009D73B9">
            <w:pPr>
              <w:spacing w:after="0" w:line="240" w:lineRule="auto"/>
              <w:jc w:val="center"/>
              <w:rPr>
                <w:rFonts w:ascii="Arial" w:eastAsia="Times New Roman" w:hAnsi="Arial" w:cs="Arial"/>
                <w:color w:val="FF0000"/>
                <w:sz w:val="18"/>
                <w:szCs w:val="18"/>
                <w:lang w:eastAsia="en-GB"/>
              </w:rPr>
            </w:pPr>
            <w:r w:rsidRPr="009D73B9">
              <w:rPr>
                <w:rFonts w:ascii="Arial" w:eastAsia="Times New Roman" w:hAnsi="Arial" w:cs="Arial"/>
                <w:color w:val="FF0000"/>
                <w:sz w:val="18"/>
                <w:szCs w:val="18"/>
                <w:lang w:eastAsia="en-GB"/>
              </w:rPr>
              <w:t>-£441,000</w:t>
            </w:r>
          </w:p>
        </w:tc>
      </w:tr>
      <w:tr w:rsidR="009D73B9" w:rsidRPr="009D73B9" w14:paraId="0A816EF5" w14:textId="77777777" w:rsidTr="00D147FC">
        <w:trPr>
          <w:gridAfter w:val="1"/>
          <w:wAfter w:w="236" w:type="dxa"/>
          <w:trHeight w:val="397"/>
        </w:trPr>
        <w:tc>
          <w:tcPr>
            <w:tcW w:w="9356" w:type="dxa"/>
            <w:gridSpan w:val="4"/>
            <w:tcBorders>
              <w:top w:val="nil"/>
              <w:left w:val="nil"/>
              <w:bottom w:val="nil"/>
              <w:right w:val="nil"/>
            </w:tcBorders>
            <w:shd w:val="clear" w:color="auto" w:fill="F2F2F2" w:themeFill="background1" w:themeFillShade="F2"/>
            <w:vAlign w:val="center"/>
            <w:hideMark/>
          </w:tcPr>
          <w:p w14:paraId="787DBB25" w14:textId="77777777" w:rsidR="009D73B9" w:rsidRPr="009D73B9" w:rsidRDefault="009D73B9" w:rsidP="009D73B9">
            <w:pPr>
              <w:spacing w:after="0" w:line="240" w:lineRule="auto"/>
              <w:rPr>
                <w:rFonts w:ascii="Arial" w:eastAsia="Times New Roman" w:hAnsi="Arial" w:cs="Arial"/>
                <w:b/>
                <w:bCs/>
                <w:color w:val="000000"/>
                <w:sz w:val="18"/>
                <w:szCs w:val="18"/>
                <w:lang w:eastAsia="en-GB"/>
              </w:rPr>
            </w:pPr>
            <w:r w:rsidRPr="009D73B9">
              <w:rPr>
                <w:rFonts w:ascii="Arial" w:eastAsia="Times New Roman" w:hAnsi="Arial" w:cs="Arial"/>
                <w:b/>
                <w:bCs/>
                <w:color w:val="000000"/>
                <w:sz w:val="18"/>
                <w:szCs w:val="18"/>
                <w:lang w:eastAsia="en-GB"/>
              </w:rPr>
              <w:t>Additional Optimisation</w:t>
            </w:r>
          </w:p>
        </w:tc>
      </w:tr>
      <w:tr w:rsidR="009D73B9" w:rsidRPr="009D73B9" w14:paraId="56C1BDB9" w14:textId="77777777" w:rsidTr="009D73B9">
        <w:trPr>
          <w:gridAfter w:val="1"/>
          <w:wAfter w:w="236" w:type="dxa"/>
          <w:trHeight w:val="397"/>
        </w:trPr>
        <w:tc>
          <w:tcPr>
            <w:tcW w:w="2835" w:type="dxa"/>
            <w:tcBorders>
              <w:top w:val="nil"/>
              <w:left w:val="nil"/>
              <w:bottom w:val="nil"/>
              <w:right w:val="nil"/>
            </w:tcBorders>
            <w:vAlign w:val="center"/>
            <w:hideMark/>
          </w:tcPr>
          <w:p w14:paraId="228A71DD" w14:textId="77777777" w:rsidR="009D73B9" w:rsidRPr="009D73B9" w:rsidRDefault="009D73B9" w:rsidP="009D73B9">
            <w:pPr>
              <w:spacing w:after="0" w:line="240" w:lineRule="auto"/>
              <w:rPr>
                <w:rFonts w:ascii="Arial" w:eastAsia="Times New Roman" w:hAnsi="Arial" w:cs="Arial"/>
                <w:color w:val="000000"/>
                <w:sz w:val="18"/>
                <w:szCs w:val="18"/>
                <w:lang w:eastAsia="en-GB"/>
              </w:rPr>
            </w:pPr>
            <w:r w:rsidRPr="009D73B9">
              <w:rPr>
                <w:rFonts w:ascii="Arial" w:eastAsia="Times New Roman" w:hAnsi="Arial" w:cs="Arial"/>
                <w:color w:val="000000"/>
                <w:sz w:val="18"/>
                <w:szCs w:val="18"/>
                <w:lang w:eastAsia="en-GB"/>
              </w:rPr>
              <w:t>Storage tiering (non-prod to HDD)</w:t>
            </w:r>
          </w:p>
        </w:tc>
        <w:tc>
          <w:tcPr>
            <w:tcW w:w="2977" w:type="dxa"/>
            <w:tcBorders>
              <w:top w:val="nil"/>
              <w:left w:val="nil"/>
              <w:bottom w:val="nil"/>
              <w:right w:val="nil"/>
            </w:tcBorders>
            <w:vAlign w:val="center"/>
            <w:hideMark/>
          </w:tcPr>
          <w:p w14:paraId="343F025A" w14:textId="77777777" w:rsidR="009D73B9" w:rsidRPr="009D73B9" w:rsidRDefault="009D73B9" w:rsidP="009D73B9">
            <w:pPr>
              <w:spacing w:after="0" w:line="240" w:lineRule="auto"/>
              <w:jc w:val="center"/>
              <w:rPr>
                <w:rFonts w:ascii="Arial" w:eastAsia="Times New Roman" w:hAnsi="Arial" w:cs="Arial"/>
                <w:color w:val="FF0000"/>
                <w:sz w:val="18"/>
                <w:szCs w:val="18"/>
                <w:lang w:eastAsia="en-GB"/>
              </w:rPr>
            </w:pPr>
            <w:r w:rsidRPr="009D73B9">
              <w:rPr>
                <w:rFonts w:ascii="Arial" w:eastAsia="Times New Roman" w:hAnsi="Arial" w:cs="Arial"/>
                <w:color w:val="FF0000"/>
                <w:sz w:val="18"/>
                <w:szCs w:val="18"/>
                <w:lang w:eastAsia="en-GB"/>
              </w:rPr>
              <w:t>-£123,132</w:t>
            </w:r>
          </w:p>
        </w:tc>
        <w:tc>
          <w:tcPr>
            <w:tcW w:w="1276" w:type="dxa"/>
            <w:tcBorders>
              <w:top w:val="nil"/>
              <w:left w:val="nil"/>
              <w:bottom w:val="nil"/>
              <w:right w:val="nil"/>
            </w:tcBorders>
            <w:vAlign w:val="center"/>
            <w:hideMark/>
          </w:tcPr>
          <w:p w14:paraId="704A1314" w14:textId="77777777" w:rsidR="009D73B9" w:rsidRPr="009D73B9" w:rsidRDefault="009D73B9" w:rsidP="009D73B9">
            <w:pPr>
              <w:spacing w:after="0" w:line="240" w:lineRule="auto"/>
              <w:jc w:val="center"/>
              <w:rPr>
                <w:rFonts w:ascii="Arial" w:eastAsia="Times New Roman" w:hAnsi="Arial" w:cs="Arial"/>
                <w:color w:val="FF0000"/>
                <w:sz w:val="18"/>
                <w:szCs w:val="18"/>
                <w:lang w:eastAsia="en-GB"/>
              </w:rPr>
            </w:pPr>
            <w:r w:rsidRPr="009D73B9">
              <w:rPr>
                <w:rFonts w:ascii="Arial" w:eastAsia="Times New Roman" w:hAnsi="Arial" w:cs="Arial"/>
                <w:color w:val="FF0000"/>
                <w:sz w:val="18"/>
                <w:szCs w:val="18"/>
                <w:lang w:eastAsia="en-GB"/>
              </w:rPr>
              <w:t>-£223,236</w:t>
            </w:r>
          </w:p>
        </w:tc>
        <w:tc>
          <w:tcPr>
            <w:tcW w:w="2268" w:type="dxa"/>
            <w:tcBorders>
              <w:top w:val="nil"/>
              <w:left w:val="nil"/>
              <w:bottom w:val="nil"/>
              <w:right w:val="nil"/>
            </w:tcBorders>
            <w:vAlign w:val="center"/>
            <w:hideMark/>
          </w:tcPr>
          <w:p w14:paraId="64CAE50B" w14:textId="77777777" w:rsidR="009D73B9" w:rsidRPr="009D73B9" w:rsidRDefault="009D73B9" w:rsidP="009D73B9">
            <w:pPr>
              <w:spacing w:after="0" w:line="240" w:lineRule="auto"/>
              <w:jc w:val="center"/>
              <w:rPr>
                <w:rFonts w:ascii="Arial" w:eastAsia="Times New Roman" w:hAnsi="Arial" w:cs="Arial"/>
                <w:color w:val="FF0000"/>
                <w:sz w:val="18"/>
                <w:szCs w:val="18"/>
                <w:lang w:eastAsia="en-GB"/>
              </w:rPr>
            </w:pPr>
            <w:r w:rsidRPr="009D73B9">
              <w:rPr>
                <w:rFonts w:ascii="Arial" w:eastAsia="Times New Roman" w:hAnsi="Arial" w:cs="Arial"/>
                <w:color w:val="FF0000"/>
                <w:sz w:val="18"/>
                <w:szCs w:val="18"/>
                <w:lang w:eastAsia="en-GB"/>
              </w:rPr>
              <w:t>-£119,568</w:t>
            </w:r>
          </w:p>
        </w:tc>
      </w:tr>
      <w:tr w:rsidR="009D73B9" w:rsidRPr="009D73B9" w14:paraId="18B2C708" w14:textId="77777777" w:rsidTr="00D147FC">
        <w:trPr>
          <w:gridAfter w:val="1"/>
          <w:wAfter w:w="236" w:type="dxa"/>
          <w:trHeight w:val="476"/>
        </w:trPr>
        <w:tc>
          <w:tcPr>
            <w:tcW w:w="2835" w:type="dxa"/>
            <w:vMerge w:val="restart"/>
            <w:tcBorders>
              <w:top w:val="nil"/>
              <w:left w:val="nil"/>
              <w:bottom w:val="nil"/>
              <w:right w:val="nil"/>
            </w:tcBorders>
            <w:shd w:val="clear" w:color="000000" w:fill="D9D9D9"/>
            <w:vAlign w:val="center"/>
            <w:hideMark/>
          </w:tcPr>
          <w:p w14:paraId="61983D2B" w14:textId="77777777" w:rsidR="009D73B9" w:rsidRPr="009D73B9" w:rsidRDefault="009D73B9" w:rsidP="009D73B9">
            <w:pPr>
              <w:spacing w:after="0" w:line="240" w:lineRule="auto"/>
              <w:rPr>
                <w:rFonts w:ascii="Arial" w:eastAsia="Times New Roman" w:hAnsi="Arial" w:cs="Arial"/>
                <w:b/>
                <w:bCs/>
                <w:color w:val="000000"/>
                <w:sz w:val="18"/>
                <w:szCs w:val="18"/>
                <w:lang w:eastAsia="en-GB"/>
              </w:rPr>
            </w:pPr>
            <w:r w:rsidRPr="009D73B9">
              <w:rPr>
                <w:rFonts w:ascii="Arial" w:eastAsia="Times New Roman" w:hAnsi="Arial" w:cs="Arial"/>
                <w:b/>
                <w:bCs/>
                <w:color w:val="000000"/>
                <w:sz w:val="18"/>
                <w:szCs w:val="18"/>
                <w:lang w:eastAsia="en-GB"/>
              </w:rPr>
              <w:t>Lift &amp; Shift Cloud Cost (Pre-Transformation)</w:t>
            </w:r>
          </w:p>
        </w:tc>
        <w:tc>
          <w:tcPr>
            <w:tcW w:w="2977" w:type="dxa"/>
            <w:vMerge w:val="restart"/>
            <w:tcBorders>
              <w:top w:val="nil"/>
              <w:left w:val="nil"/>
              <w:bottom w:val="nil"/>
              <w:right w:val="nil"/>
            </w:tcBorders>
            <w:shd w:val="clear" w:color="000000" w:fill="D9D9D9"/>
            <w:vAlign w:val="bottom"/>
            <w:hideMark/>
          </w:tcPr>
          <w:p w14:paraId="286F8818" w14:textId="4AD9BB75" w:rsidR="009D73B9" w:rsidRPr="009D73B9" w:rsidRDefault="00D147FC" w:rsidP="00D147FC">
            <w:pPr>
              <w:jc w:val="center"/>
              <w:rPr>
                <w:rFonts w:ascii="Arial" w:eastAsia="Times New Roman" w:hAnsi="Arial" w:cs="Arial"/>
                <w:b/>
                <w:bCs/>
                <w:color w:val="000000"/>
                <w:sz w:val="18"/>
                <w:szCs w:val="18"/>
                <w:lang w:eastAsia="en-GB"/>
              </w:rPr>
            </w:pPr>
            <w:r w:rsidRPr="00D147FC">
              <w:rPr>
                <w:rFonts w:ascii="Arial" w:eastAsia="Times New Roman" w:hAnsi="Arial" w:cs="Arial"/>
                <w:b/>
                <w:bCs/>
                <w:color w:val="000000"/>
                <w:sz w:val="18"/>
                <w:szCs w:val="18"/>
                <w:lang w:eastAsia="en-GB"/>
              </w:rPr>
              <w:t>£4,695,661</w:t>
            </w:r>
          </w:p>
        </w:tc>
        <w:tc>
          <w:tcPr>
            <w:tcW w:w="1276" w:type="dxa"/>
            <w:vMerge w:val="restart"/>
            <w:tcBorders>
              <w:top w:val="nil"/>
              <w:left w:val="nil"/>
              <w:bottom w:val="nil"/>
              <w:right w:val="nil"/>
            </w:tcBorders>
            <w:shd w:val="clear" w:color="000000" w:fill="D9D9D9"/>
            <w:vAlign w:val="bottom"/>
          </w:tcPr>
          <w:p w14:paraId="59C4C2A8" w14:textId="0AE24622" w:rsidR="009D73B9" w:rsidRPr="009D73B9" w:rsidRDefault="00D147FC" w:rsidP="00D147FC">
            <w:pPr>
              <w:jc w:val="center"/>
              <w:rPr>
                <w:rFonts w:ascii="Arial" w:eastAsia="Times New Roman" w:hAnsi="Arial" w:cs="Arial"/>
                <w:b/>
                <w:bCs/>
                <w:color w:val="000000"/>
                <w:sz w:val="18"/>
                <w:szCs w:val="18"/>
                <w:lang w:eastAsia="en-GB"/>
              </w:rPr>
            </w:pPr>
            <w:r w:rsidRPr="00D147FC">
              <w:rPr>
                <w:rFonts w:ascii="Arial" w:eastAsia="Times New Roman" w:hAnsi="Arial" w:cs="Arial"/>
                <w:b/>
                <w:bCs/>
                <w:color w:val="000000"/>
                <w:sz w:val="18"/>
                <w:szCs w:val="18"/>
                <w:lang w:eastAsia="en-GB"/>
              </w:rPr>
              <w:t>£4,594,427</w:t>
            </w:r>
          </w:p>
        </w:tc>
        <w:tc>
          <w:tcPr>
            <w:tcW w:w="2268" w:type="dxa"/>
            <w:vMerge w:val="restart"/>
            <w:tcBorders>
              <w:top w:val="nil"/>
              <w:left w:val="nil"/>
              <w:bottom w:val="nil"/>
              <w:right w:val="nil"/>
            </w:tcBorders>
            <w:shd w:val="clear" w:color="000000" w:fill="D9D9D9"/>
            <w:vAlign w:val="bottom"/>
          </w:tcPr>
          <w:p w14:paraId="6C6C7AE0" w14:textId="5B21D228" w:rsidR="009D73B9" w:rsidRPr="009D73B9" w:rsidRDefault="00D147FC" w:rsidP="00D147FC">
            <w:pPr>
              <w:jc w:val="center"/>
              <w:rPr>
                <w:rFonts w:ascii="Arial" w:eastAsia="Times New Roman" w:hAnsi="Arial" w:cs="Arial"/>
                <w:b/>
                <w:bCs/>
                <w:color w:val="000000"/>
                <w:sz w:val="18"/>
                <w:szCs w:val="18"/>
                <w:lang w:eastAsia="en-GB"/>
              </w:rPr>
            </w:pPr>
            <w:r w:rsidRPr="00D147FC">
              <w:rPr>
                <w:rFonts w:ascii="Arial" w:eastAsia="Times New Roman" w:hAnsi="Arial" w:cs="Arial"/>
                <w:b/>
                <w:bCs/>
                <w:color w:val="000000"/>
                <w:sz w:val="18"/>
                <w:szCs w:val="18"/>
                <w:lang w:eastAsia="en-GB"/>
              </w:rPr>
              <w:t>£5,671,241</w:t>
            </w:r>
          </w:p>
        </w:tc>
      </w:tr>
      <w:tr w:rsidR="009D73B9" w:rsidRPr="009D73B9" w14:paraId="7D020CA9" w14:textId="77777777" w:rsidTr="00D147FC">
        <w:trPr>
          <w:trHeight w:val="300"/>
        </w:trPr>
        <w:tc>
          <w:tcPr>
            <w:tcW w:w="2835" w:type="dxa"/>
            <w:vMerge/>
            <w:tcBorders>
              <w:top w:val="nil"/>
              <w:left w:val="nil"/>
              <w:bottom w:val="nil"/>
              <w:right w:val="nil"/>
            </w:tcBorders>
            <w:vAlign w:val="center"/>
            <w:hideMark/>
          </w:tcPr>
          <w:p w14:paraId="1D8A47DD" w14:textId="77777777" w:rsidR="009D73B9" w:rsidRPr="009D73B9" w:rsidRDefault="009D73B9" w:rsidP="009D73B9">
            <w:pPr>
              <w:spacing w:after="0" w:line="240" w:lineRule="auto"/>
              <w:rPr>
                <w:rFonts w:ascii="Arial" w:eastAsia="Times New Roman" w:hAnsi="Arial" w:cs="Arial"/>
                <w:b/>
                <w:bCs/>
                <w:color w:val="000000"/>
                <w:sz w:val="18"/>
                <w:szCs w:val="18"/>
                <w:lang w:eastAsia="en-GB"/>
              </w:rPr>
            </w:pPr>
          </w:p>
        </w:tc>
        <w:tc>
          <w:tcPr>
            <w:tcW w:w="2977" w:type="dxa"/>
            <w:vMerge/>
            <w:tcBorders>
              <w:top w:val="nil"/>
              <w:left w:val="nil"/>
              <w:bottom w:val="nil"/>
              <w:right w:val="nil"/>
            </w:tcBorders>
            <w:vAlign w:val="center"/>
            <w:hideMark/>
          </w:tcPr>
          <w:p w14:paraId="5CF3A779" w14:textId="77777777" w:rsidR="009D73B9" w:rsidRPr="009D73B9" w:rsidRDefault="009D73B9" w:rsidP="009D73B9">
            <w:pPr>
              <w:spacing w:after="0" w:line="240" w:lineRule="auto"/>
              <w:rPr>
                <w:rFonts w:ascii="Arial" w:eastAsia="Times New Roman" w:hAnsi="Arial" w:cs="Arial"/>
                <w:b/>
                <w:bCs/>
                <w:color w:val="000000"/>
                <w:sz w:val="18"/>
                <w:szCs w:val="18"/>
                <w:lang w:eastAsia="en-GB"/>
              </w:rPr>
            </w:pPr>
          </w:p>
        </w:tc>
        <w:tc>
          <w:tcPr>
            <w:tcW w:w="1276" w:type="dxa"/>
            <w:vMerge/>
            <w:tcBorders>
              <w:top w:val="nil"/>
              <w:left w:val="nil"/>
              <w:bottom w:val="nil"/>
              <w:right w:val="nil"/>
            </w:tcBorders>
            <w:vAlign w:val="center"/>
          </w:tcPr>
          <w:p w14:paraId="0A6CC406" w14:textId="77777777" w:rsidR="009D73B9" w:rsidRPr="009D73B9" w:rsidRDefault="009D73B9" w:rsidP="009D73B9">
            <w:pPr>
              <w:spacing w:after="0" w:line="240" w:lineRule="auto"/>
              <w:rPr>
                <w:rFonts w:ascii="Arial" w:eastAsia="Times New Roman" w:hAnsi="Arial" w:cs="Arial"/>
                <w:b/>
                <w:bCs/>
                <w:color w:val="000000"/>
                <w:sz w:val="18"/>
                <w:szCs w:val="18"/>
                <w:lang w:eastAsia="en-GB"/>
              </w:rPr>
            </w:pPr>
          </w:p>
        </w:tc>
        <w:tc>
          <w:tcPr>
            <w:tcW w:w="2268" w:type="dxa"/>
            <w:vMerge/>
            <w:tcBorders>
              <w:top w:val="nil"/>
              <w:left w:val="nil"/>
              <w:bottom w:val="nil"/>
              <w:right w:val="nil"/>
            </w:tcBorders>
            <w:vAlign w:val="center"/>
          </w:tcPr>
          <w:p w14:paraId="09A8BF59" w14:textId="77777777" w:rsidR="009D73B9" w:rsidRPr="009D73B9" w:rsidRDefault="009D73B9" w:rsidP="009D73B9">
            <w:pPr>
              <w:spacing w:after="0" w:line="240" w:lineRule="auto"/>
              <w:rPr>
                <w:rFonts w:ascii="Arial" w:eastAsia="Times New Roman" w:hAnsi="Arial" w:cs="Arial"/>
                <w:b/>
                <w:bCs/>
                <w:color w:val="000000"/>
                <w:sz w:val="18"/>
                <w:szCs w:val="18"/>
                <w:lang w:eastAsia="en-GB"/>
              </w:rPr>
            </w:pPr>
          </w:p>
        </w:tc>
        <w:tc>
          <w:tcPr>
            <w:tcW w:w="236" w:type="dxa"/>
            <w:tcBorders>
              <w:top w:val="nil"/>
              <w:left w:val="nil"/>
              <w:bottom w:val="nil"/>
              <w:right w:val="nil"/>
            </w:tcBorders>
            <w:noWrap/>
            <w:vAlign w:val="bottom"/>
            <w:hideMark/>
          </w:tcPr>
          <w:p w14:paraId="29C17068" w14:textId="77777777" w:rsidR="009D73B9" w:rsidRPr="009D73B9" w:rsidRDefault="009D73B9" w:rsidP="009D73B9">
            <w:pPr>
              <w:spacing w:after="0" w:line="240" w:lineRule="auto"/>
              <w:jc w:val="center"/>
              <w:rPr>
                <w:rFonts w:ascii="Arial" w:eastAsia="Times New Roman" w:hAnsi="Arial" w:cs="Arial"/>
                <w:b/>
                <w:bCs/>
                <w:color w:val="000000"/>
                <w:sz w:val="18"/>
                <w:szCs w:val="18"/>
                <w:lang w:eastAsia="en-GB"/>
              </w:rPr>
            </w:pPr>
          </w:p>
        </w:tc>
      </w:tr>
    </w:tbl>
    <w:p w14:paraId="4436E3F3" w14:textId="77777777" w:rsidR="005B445B" w:rsidRPr="00A61669" w:rsidRDefault="005B445B" w:rsidP="00E40261">
      <w:pPr>
        <w:pStyle w:val="InsetText"/>
        <w:jc w:val="both"/>
        <w:rPr>
          <w:rFonts w:asciiTheme="majorHAnsi" w:hAnsiTheme="majorHAnsi" w:cstheme="majorHAnsi"/>
        </w:rPr>
      </w:pPr>
    </w:p>
    <w:p w14:paraId="000003F5" w14:textId="43BE48AA" w:rsidR="000B0F63" w:rsidRPr="00A61669" w:rsidRDefault="004649D1" w:rsidP="005B445B">
      <w:pPr>
        <w:pStyle w:val="InsetText"/>
        <w:ind w:left="0"/>
        <w:jc w:val="both"/>
        <w:rPr>
          <w:rFonts w:asciiTheme="majorHAnsi" w:hAnsiTheme="majorHAnsi" w:cstheme="majorHAnsi"/>
        </w:rPr>
      </w:pPr>
      <w:r w:rsidRPr="00A61669">
        <w:rPr>
          <w:rFonts w:asciiTheme="majorHAnsi" w:hAnsiTheme="majorHAnsi" w:cstheme="majorHAnsi"/>
          <w:b/>
        </w:rPr>
        <w:t>Note</w:t>
      </w:r>
      <w:r w:rsidRPr="00A61669">
        <w:rPr>
          <w:rFonts w:asciiTheme="majorHAnsi" w:hAnsiTheme="majorHAnsi" w:cstheme="majorHAnsi"/>
        </w:rPr>
        <w:t xml:space="preserve">: </w:t>
      </w:r>
      <w:r w:rsidR="00C05D22" w:rsidRPr="00A61669">
        <w:rPr>
          <w:rFonts w:asciiTheme="majorHAnsi" w:hAnsiTheme="majorHAnsi" w:cstheme="majorHAnsi"/>
        </w:rPr>
        <w:t xml:space="preserve">SQL Server assumed as BYOL in baseline (SA + License Mobility); avoids approximately </w:t>
      </w:r>
      <w:r w:rsidR="00312BB7" w:rsidRPr="00A61669">
        <w:rPr>
          <w:rFonts w:asciiTheme="majorHAnsi" w:hAnsiTheme="majorHAnsi" w:cstheme="majorHAnsi"/>
        </w:rPr>
        <w:t>£</w:t>
      </w:r>
      <w:r w:rsidR="00C05D22" w:rsidRPr="00A61669">
        <w:rPr>
          <w:rFonts w:asciiTheme="majorHAnsi" w:hAnsiTheme="majorHAnsi" w:cstheme="majorHAnsi"/>
        </w:rPr>
        <w:t>15K</w:t>
      </w:r>
      <w:r w:rsidR="001120CD" w:rsidRPr="00A61669">
        <w:rPr>
          <w:rFonts w:asciiTheme="majorHAnsi" w:hAnsiTheme="majorHAnsi" w:cstheme="majorHAnsi"/>
        </w:rPr>
        <w:t xml:space="preserve"> per month</w:t>
      </w:r>
      <w:r w:rsidR="00C05D22" w:rsidRPr="00A61669">
        <w:rPr>
          <w:rFonts w:asciiTheme="majorHAnsi" w:hAnsiTheme="majorHAnsi" w:cstheme="majorHAnsi"/>
        </w:rPr>
        <w:t xml:space="preserve"> GCP, </w:t>
      </w:r>
      <w:r w:rsidR="00312BB7" w:rsidRPr="00A61669">
        <w:rPr>
          <w:rFonts w:asciiTheme="majorHAnsi" w:hAnsiTheme="majorHAnsi" w:cstheme="majorHAnsi"/>
        </w:rPr>
        <w:t>£</w:t>
      </w:r>
      <w:r w:rsidR="00C05D22" w:rsidRPr="00A61669">
        <w:rPr>
          <w:rFonts w:asciiTheme="majorHAnsi" w:hAnsiTheme="majorHAnsi" w:cstheme="majorHAnsi"/>
        </w:rPr>
        <w:t>14K</w:t>
      </w:r>
      <w:r w:rsidR="001120CD" w:rsidRPr="00A61669">
        <w:rPr>
          <w:rFonts w:asciiTheme="majorHAnsi" w:hAnsiTheme="majorHAnsi" w:cstheme="majorHAnsi"/>
        </w:rPr>
        <w:t xml:space="preserve"> per month</w:t>
      </w:r>
      <w:r w:rsidR="00C05D22" w:rsidRPr="00A61669">
        <w:rPr>
          <w:rFonts w:asciiTheme="majorHAnsi" w:hAnsiTheme="majorHAnsi" w:cstheme="majorHAnsi"/>
        </w:rPr>
        <w:t xml:space="preserve"> each AWS/Azure of cloud-provider license-included surcharge.</w:t>
      </w:r>
    </w:p>
    <w:p w14:paraId="000003F7" w14:textId="6A996023" w:rsidR="000B0F63" w:rsidRPr="00A61669" w:rsidRDefault="00C05D22" w:rsidP="00E40261">
      <w:pPr>
        <w:jc w:val="both"/>
        <w:rPr>
          <w:rFonts w:asciiTheme="majorHAnsi" w:hAnsiTheme="majorHAnsi" w:cstheme="majorHAnsi"/>
        </w:rPr>
      </w:pPr>
      <w:r w:rsidRPr="00A61669">
        <w:rPr>
          <w:rFonts w:asciiTheme="majorHAnsi" w:hAnsiTheme="majorHAnsi" w:cstheme="majorHAnsi"/>
        </w:rPr>
        <w:t>Complete View with indicative egress is the reference number for client comparison. The 100TB</w:t>
      </w:r>
      <w:r w:rsidR="001120CD" w:rsidRPr="00A61669">
        <w:rPr>
          <w:rFonts w:asciiTheme="majorHAnsi" w:hAnsiTheme="majorHAnsi" w:cstheme="majorHAnsi"/>
        </w:rPr>
        <w:t xml:space="preserve"> per </w:t>
      </w:r>
      <w:r w:rsidR="00DF6BBC" w:rsidRPr="00A61669">
        <w:rPr>
          <w:rFonts w:asciiTheme="majorHAnsi" w:hAnsiTheme="majorHAnsi" w:cstheme="majorHAnsi"/>
        </w:rPr>
        <w:t>month</w:t>
      </w:r>
      <w:r w:rsidRPr="00A61669">
        <w:rPr>
          <w:rFonts w:asciiTheme="majorHAnsi" w:hAnsiTheme="majorHAnsi" w:cstheme="majorHAnsi"/>
        </w:rPr>
        <w:t xml:space="preserve"> is illustrative; actual DMG Media egress depends on Akamai CDN cache hit rate and origin traffic patterns and can be quantified by </w:t>
      </w:r>
      <w:r w:rsidR="00100959" w:rsidRPr="00A61669">
        <w:rPr>
          <w:rFonts w:asciiTheme="majorHAnsi" w:hAnsiTheme="majorHAnsi" w:cstheme="majorHAnsi"/>
        </w:rPr>
        <w:t>Part 2</w:t>
      </w:r>
      <w:r w:rsidRPr="00A61669">
        <w:rPr>
          <w:rFonts w:asciiTheme="majorHAnsi" w:hAnsiTheme="majorHAnsi" w:cstheme="majorHAnsi"/>
        </w:rPr>
        <w:t xml:space="preserve"> given traffic flow data.</w:t>
      </w:r>
      <w:r w:rsidR="006A57B6" w:rsidRPr="00A61669">
        <w:rPr>
          <w:rFonts w:asciiTheme="majorHAnsi" w:hAnsiTheme="majorHAnsi" w:cstheme="majorHAnsi"/>
        </w:rPr>
        <w:t xml:space="preserve"> </w:t>
      </w:r>
    </w:p>
    <w:p w14:paraId="000003F9" w14:textId="14774D0A"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GCP remains the cheapest by approximately </w:t>
      </w:r>
      <w:r w:rsidR="00312BB7" w:rsidRPr="00A61669">
        <w:rPr>
          <w:rFonts w:asciiTheme="majorHAnsi" w:hAnsiTheme="majorHAnsi" w:cstheme="majorHAnsi"/>
        </w:rPr>
        <w:t>£</w:t>
      </w:r>
      <w:r w:rsidR="004C2AEE">
        <w:rPr>
          <w:rFonts w:asciiTheme="majorHAnsi" w:hAnsiTheme="majorHAnsi" w:cstheme="majorHAnsi"/>
        </w:rPr>
        <w:t>101</w:t>
      </w:r>
      <w:r w:rsidR="006E0D33">
        <w:rPr>
          <w:rFonts w:asciiTheme="majorHAnsi" w:hAnsiTheme="majorHAnsi" w:cstheme="majorHAnsi"/>
        </w:rPr>
        <w:t>k</w:t>
      </w:r>
      <w:r w:rsidR="001120CD" w:rsidRPr="00A61669">
        <w:rPr>
          <w:rFonts w:asciiTheme="majorHAnsi" w:hAnsiTheme="majorHAnsi" w:cstheme="majorHAnsi"/>
        </w:rPr>
        <w:t xml:space="preserve"> </w:t>
      </w:r>
      <w:r w:rsidR="004C2AEE">
        <w:rPr>
          <w:rFonts w:asciiTheme="majorHAnsi" w:hAnsiTheme="majorHAnsi" w:cstheme="majorHAnsi"/>
        </w:rPr>
        <w:t>Annually</w:t>
      </w:r>
      <w:r w:rsidRPr="00A61669">
        <w:rPr>
          <w:rFonts w:asciiTheme="majorHAnsi" w:hAnsiTheme="majorHAnsi" w:cstheme="majorHAnsi"/>
        </w:rPr>
        <w:t xml:space="preserve"> over AWS (around </w:t>
      </w:r>
      <w:r w:rsidR="00B14B77" w:rsidRPr="00A61669">
        <w:rPr>
          <w:rFonts w:asciiTheme="majorHAnsi" w:hAnsiTheme="majorHAnsi" w:cstheme="majorHAnsi"/>
        </w:rPr>
        <w:t>2.1</w:t>
      </w:r>
      <w:r w:rsidRPr="00A61669">
        <w:rPr>
          <w:rFonts w:asciiTheme="majorHAnsi" w:hAnsiTheme="majorHAnsi" w:cstheme="majorHAnsi"/>
        </w:rPr>
        <w:t xml:space="preserve">%). Azure sits approximately </w:t>
      </w:r>
      <w:r w:rsidR="00312BB7">
        <w:rPr>
          <w:rFonts w:asciiTheme="majorHAnsi" w:hAnsiTheme="majorHAnsi" w:cstheme="majorHAnsi"/>
        </w:rPr>
        <w:t>£</w:t>
      </w:r>
      <w:r w:rsidR="006E0D33">
        <w:rPr>
          <w:rFonts w:asciiTheme="majorHAnsi" w:hAnsiTheme="majorHAnsi" w:cstheme="majorHAnsi"/>
        </w:rPr>
        <w:t>1.1M</w:t>
      </w:r>
      <w:r w:rsidR="001120CD" w:rsidRPr="00A61669">
        <w:rPr>
          <w:rFonts w:asciiTheme="majorHAnsi" w:hAnsiTheme="majorHAnsi" w:cstheme="majorHAnsi"/>
        </w:rPr>
        <w:t xml:space="preserve"> </w:t>
      </w:r>
      <w:r w:rsidR="006E0D33">
        <w:rPr>
          <w:rFonts w:asciiTheme="majorHAnsi" w:hAnsiTheme="majorHAnsi" w:cstheme="majorHAnsi"/>
        </w:rPr>
        <w:t>annually</w:t>
      </w:r>
      <w:r w:rsidRPr="00A61669">
        <w:rPr>
          <w:rFonts w:asciiTheme="majorHAnsi" w:hAnsiTheme="majorHAnsi" w:cstheme="majorHAnsi"/>
        </w:rPr>
        <w:t xml:space="preserve"> higher than GCP, still driven mainly by the </w:t>
      </w:r>
      <w:r w:rsidRPr="00A61669">
        <w:rPr>
          <w:rFonts w:asciiTheme="majorHAnsi" w:hAnsiTheme="majorHAnsi" w:cstheme="majorHAnsi"/>
          <w:b/>
        </w:rPr>
        <w:t>sizing</w:t>
      </w:r>
      <w:r w:rsidRPr="00A61669">
        <w:rPr>
          <w:rFonts w:asciiTheme="majorHAnsi" w:hAnsiTheme="majorHAnsi" w:cstheme="majorHAnsi"/>
        </w:rPr>
        <w:t xml:space="preserve"> methodology gap rather than by pricing. Azure does offset part of this through the strongest Windows BYOL mechanism (AHB).</w:t>
      </w:r>
    </w:p>
    <w:p w14:paraId="000003FB" w14:textId="5C54E6C1"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Notes on what </w:t>
      </w:r>
      <w:r w:rsidR="00270D1D" w:rsidRPr="00A61669">
        <w:rPr>
          <w:rFonts w:asciiTheme="majorHAnsi" w:hAnsiTheme="majorHAnsi" w:cstheme="majorHAnsi"/>
        </w:rPr>
        <w:t>is excluded</w:t>
      </w:r>
      <w:r w:rsidRPr="00A61669">
        <w:rPr>
          <w:rFonts w:asciiTheme="majorHAnsi" w:hAnsiTheme="majorHAnsi" w:cstheme="majorHAnsi"/>
        </w:rPr>
        <w:t>:</w:t>
      </w:r>
    </w:p>
    <w:p w14:paraId="00000401" w14:textId="00000402" w:rsidR="000B0F63" w:rsidRPr="00A61669" w:rsidRDefault="1BAB210A" w:rsidP="00E40261">
      <w:pPr>
        <w:pStyle w:val="Heading2"/>
        <w:jc w:val="both"/>
        <w:rPr>
          <w:rFonts w:asciiTheme="majorHAnsi" w:hAnsiTheme="majorHAnsi" w:cstheme="majorHAnsi"/>
        </w:rPr>
      </w:pPr>
      <w:bookmarkStart w:id="108" w:name="_Toc157"/>
      <w:bookmarkStart w:id="109" w:name="_Toc227770940"/>
      <w:r w:rsidRPr="00A61669">
        <w:rPr>
          <w:rFonts w:asciiTheme="majorHAnsi" w:hAnsiTheme="majorHAnsi" w:cstheme="majorHAnsi"/>
        </w:rPr>
        <w:lastRenderedPageBreak/>
        <w:t>Status Quo: On-Premises Baseline</w:t>
      </w:r>
      <w:bookmarkEnd w:id="108"/>
      <w:bookmarkEnd w:id="109"/>
    </w:p>
    <w:p w14:paraId="00000403" w14:textId="74FBB091"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For the business case, the cloud figures </w:t>
      </w:r>
      <w:r w:rsidR="00D44AFA" w:rsidRPr="00A61669">
        <w:rPr>
          <w:rFonts w:asciiTheme="majorHAnsi" w:hAnsiTheme="majorHAnsi" w:cstheme="majorHAnsi"/>
        </w:rPr>
        <w:t>must</w:t>
      </w:r>
      <w:r w:rsidRPr="00A61669">
        <w:rPr>
          <w:rFonts w:asciiTheme="majorHAnsi" w:hAnsiTheme="majorHAnsi" w:cstheme="majorHAnsi"/>
        </w:rPr>
        <w:t xml:space="preserve"> be compared to the cost of doing nothing. </w:t>
      </w:r>
      <w:r w:rsidR="007415CD" w:rsidRPr="00A61669">
        <w:rPr>
          <w:rFonts w:asciiTheme="majorHAnsi" w:hAnsiTheme="majorHAnsi" w:cstheme="majorHAnsi"/>
        </w:rPr>
        <w:t>DMG Media’s</w:t>
      </w:r>
      <w:r w:rsidRPr="00A61669">
        <w:rPr>
          <w:rFonts w:asciiTheme="majorHAnsi" w:hAnsiTheme="majorHAnsi" w:cstheme="majorHAnsi"/>
        </w:rPr>
        <w:t xml:space="preserve"> updated IT Costs workbook captures the on-premises annualised cost at </w:t>
      </w:r>
      <w:r w:rsidR="00312BB7" w:rsidRPr="00A61669">
        <w:rPr>
          <w:rFonts w:asciiTheme="majorHAnsi" w:hAnsiTheme="majorHAnsi" w:cstheme="majorHAnsi"/>
        </w:rPr>
        <w:t>£</w:t>
      </w:r>
      <w:r w:rsidRPr="00A61669">
        <w:rPr>
          <w:rFonts w:asciiTheme="majorHAnsi" w:hAnsiTheme="majorHAnsi" w:cstheme="majorHAnsi"/>
        </w:rPr>
        <w:t xml:space="preserve">3.64 million per year (approximately </w:t>
      </w:r>
      <w:r w:rsidR="00312BB7" w:rsidRPr="00A61669">
        <w:rPr>
          <w:rFonts w:asciiTheme="majorHAnsi" w:hAnsiTheme="majorHAnsi" w:cstheme="majorHAnsi"/>
        </w:rPr>
        <w:t>£</w:t>
      </w:r>
      <w:r w:rsidRPr="00A61669">
        <w:rPr>
          <w:rFonts w:asciiTheme="majorHAnsi" w:hAnsiTheme="majorHAnsi" w:cstheme="majorHAnsi"/>
        </w:rPr>
        <w:t>303,000</w:t>
      </w:r>
      <w:r w:rsidR="001120CD" w:rsidRPr="00A61669">
        <w:rPr>
          <w:rFonts w:asciiTheme="majorHAnsi" w:hAnsiTheme="majorHAnsi" w:cstheme="majorHAnsi"/>
        </w:rPr>
        <w:t xml:space="preserve"> per month</w:t>
      </w:r>
      <w:r w:rsidRPr="00A61669">
        <w:rPr>
          <w:rFonts w:asciiTheme="majorHAnsi" w:hAnsiTheme="majorHAnsi" w:cstheme="majorHAnsi"/>
        </w:rPr>
        <w:t>). This is the first time the hardware and storage capital expenditure has been populated:</w:t>
      </w:r>
    </w:p>
    <w:tbl>
      <w:tblPr>
        <w:tblW w:w="9720" w:type="dxa"/>
        <w:tblCellMar>
          <w:top w:w="100" w:type="dxa"/>
          <w:left w:w="100" w:type="dxa"/>
          <w:bottom w:w="100" w:type="dxa"/>
          <w:right w:w="100" w:type="dxa"/>
        </w:tblCellMar>
        <w:tblLook w:val="04A0" w:firstRow="1" w:lastRow="0" w:firstColumn="1" w:lastColumn="0" w:noHBand="0" w:noVBand="1"/>
      </w:tblPr>
      <w:tblGrid>
        <w:gridCol w:w="3240"/>
        <w:gridCol w:w="2000"/>
        <w:gridCol w:w="4480"/>
      </w:tblGrid>
      <w:tr w:rsidR="00255F15" w14:paraId="7AF3896F" w14:textId="77777777" w:rsidTr="1524DEBB">
        <w:trPr>
          <w:cantSplit/>
        </w:trPr>
        <w:tc>
          <w:tcPr>
            <w:tcW w:w="3240" w:type="dxa"/>
            <w:shd w:val="clear" w:color="auto" w:fill="D9D9D9" w:themeFill="background1" w:themeFillShade="D9"/>
            <w:tcMar>
              <w:top w:w="100" w:type="dxa"/>
              <w:left w:w="100" w:type="dxa"/>
              <w:bottom w:w="100" w:type="dxa"/>
              <w:right w:w="100" w:type="dxa"/>
            </w:tcMar>
          </w:tcPr>
          <w:p w14:paraId="00000405" w14:textId="00000406"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Category</w:t>
            </w:r>
          </w:p>
        </w:tc>
        <w:tc>
          <w:tcPr>
            <w:tcW w:w="2000" w:type="dxa"/>
            <w:shd w:val="clear" w:color="auto" w:fill="D9D9D9" w:themeFill="background1" w:themeFillShade="D9"/>
            <w:tcMar>
              <w:top w:w="100" w:type="dxa"/>
              <w:left w:w="100" w:type="dxa"/>
              <w:bottom w:w="100" w:type="dxa"/>
              <w:right w:w="100" w:type="dxa"/>
            </w:tcMar>
          </w:tcPr>
          <w:p w14:paraId="00000407" w14:textId="78A142E9"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 xml:space="preserve">Annualised </w:t>
            </w:r>
          </w:p>
        </w:tc>
        <w:tc>
          <w:tcPr>
            <w:tcW w:w="4480" w:type="dxa"/>
            <w:shd w:val="clear" w:color="auto" w:fill="D9D9D9" w:themeFill="background1" w:themeFillShade="D9"/>
            <w:tcMar>
              <w:top w:w="100" w:type="dxa"/>
              <w:left w:w="100" w:type="dxa"/>
              <w:bottom w:w="100" w:type="dxa"/>
              <w:right w:w="100" w:type="dxa"/>
            </w:tcMar>
          </w:tcPr>
          <w:p w14:paraId="00000409" w14:textId="0000040A"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Notes</w:t>
            </w:r>
          </w:p>
        </w:tc>
      </w:tr>
      <w:tr w:rsidR="00F12A44" w14:paraId="117BB3C5" w14:textId="77777777" w:rsidTr="1524DEBB">
        <w:tc>
          <w:tcPr>
            <w:tcW w:w="3240" w:type="dxa"/>
            <w:tcMar>
              <w:top w:w="100" w:type="dxa"/>
              <w:left w:w="100" w:type="dxa"/>
              <w:bottom w:w="100" w:type="dxa"/>
              <w:right w:w="100" w:type="dxa"/>
            </w:tcMar>
          </w:tcPr>
          <w:p w14:paraId="0000040B" w14:textId="730CA279" w:rsidR="000B0F63" w:rsidRPr="00A61669" w:rsidRDefault="00C05D22" w:rsidP="003B529B">
            <w:pPr>
              <w:pStyle w:val="TableInfo"/>
              <w:rPr>
                <w:rFonts w:asciiTheme="majorHAnsi" w:hAnsiTheme="majorHAnsi" w:cstheme="majorHAnsi"/>
              </w:rPr>
            </w:pPr>
            <w:r w:rsidRPr="00A61669">
              <w:rPr>
                <w:rFonts w:asciiTheme="majorHAnsi" w:hAnsiTheme="majorHAnsi" w:cstheme="majorHAnsi"/>
                <w:lang w:val="en-GB"/>
              </w:rPr>
              <w:t>Compute and storage (capex depreciated over 5</w:t>
            </w:r>
            <w:r w:rsidR="00736DDC" w:rsidRPr="00A61669">
              <w:rPr>
                <w:rFonts w:asciiTheme="majorHAnsi" w:hAnsiTheme="majorHAnsi" w:cstheme="majorHAnsi"/>
                <w:lang w:val="en-GB"/>
              </w:rPr>
              <w:t xml:space="preserve"> year</w:t>
            </w:r>
            <w:r w:rsidRPr="00A61669">
              <w:rPr>
                <w:rFonts w:asciiTheme="majorHAnsi" w:hAnsiTheme="majorHAnsi" w:cstheme="majorHAnsi"/>
                <w:lang w:val="en-GB"/>
              </w:rPr>
              <w:t xml:space="preserve"> + maintenance)</w:t>
            </w:r>
          </w:p>
        </w:tc>
        <w:tc>
          <w:tcPr>
            <w:tcW w:w="2000" w:type="dxa"/>
            <w:tcMar>
              <w:top w:w="100" w:type="dxa"/>
              <w:left w:w="100" w:type="dxa"/>
              <w:bottom w:w="100" w:type="dxa"/>
              <w:right w:w="100" w:type="dxa"/>
            </w:tcMar>
          </w:tcPr>
          <w:p w14:paraId="0000040D" w14:textId="5D90E405" w:rsidR="000B0F63" w:rsidRPr="00A61669" w:rsidRDefault="00A035A9" w:rsidP="003B529B">
            <w:pPr>
              <w:pStyle w:val="TableInfo"/>
              <w:rPr>
                <w:rFonts w:asciiTheme="majorHAnsi" w:hAnsiTheme="majorHAnsi" w:cstheme="majorHAnsi"/>
              </w:rPr>
            </w:pPr>
            <w:r w:rsidRPr="00A61669">
              <w:rPr>
                <w:rFonts w:asciiTheme="majorHAnsi" w:hAnsiTheme="majorHAnsi" w:cstheme="majorHAnsi"/>
              </w:rPr>
              <w:t>£</w:t>
            </w:r>
            <w:r w:rsidR="00C05D22" w:rsidRPr="00A61669">
              <w:rPr>
                <w:rFonts w:asciiTheme="majorHAnsi" w:hAnsiTheme="majorHAnsi" w:cstheme="majorHAnsi"/>
              </w:rPr>
              <w:t>547,761</w:t>
            </w:r>
          </w:p>
        </w:tc>
        <w:tc>
          <w:tcPr>
            <w:tcW w:w="4480" w:type="dxa"/>
            <w:tcMar>
              <w:top w:w="100" w:type="dxa"/>
              <w:left w:w="100" w:type="dxa"/>
              <w:bottom w:w="100" w:type="dxa"/>
              <w:right w:w="100" w:type="dxa"/>
            </w:tcMar>
          </w:tcPr>
          <w:p w14:paraId="0000040F" w14:textId="66FC3014" w:rsidR="000B0F63" w:rsidRPr="00A61669" w:rsidRDefault="00C05D22" w:rsidP="003B529B">
            <w:pPr>
              <w:pStyle w:val="TableInfo"/>
              <w:rPr>
                <w:rFonts w:asciiTheme="majorHAnsi" w:hAnsiTheme="majorHAnsi" w:cstheme="majorHAnsi"/>
              </w:rPr>
            </w:pPr>
            <w:r w:rsidRPr="00A61669">
              <w:rPr>
                <w:rFonts w:asciiTheme="majorHAnsi" w:hAnsiTheme="majorHAnsi" w:cstheme="majorHAnsi"/>
              </w:rPr>
              <w:t xml:space="preserve">Server hardware capex </w:t>
            </w:r>
            <w:r w:rsidR="00312BB7" w:rsidRPr="00A61669">
              <w:rPr>
                <w:rFonts w:asciiTheme="majorHAnsi" w:hAnsiTheme="majorHAnsi" w:cstheme="majorHAnsi"/>
              </w:rPr>
              <w:t>£</w:t>
            </w:r>
            <w:r w:rsidRPr="00A61669">
              <w:rPr>
                <w:rFonts w:asciiTheme="majorHAnsi" w:hAnsiTheme="majorHAnsi" w:cstheme="majorHAnsi"/>
              </w:rPr>
              <w:t xml:space="preserve">1.26M, storage capex </w:t>
            </w:r>
            <w:r w:rsidR="00312BB7" w:rsidRPr="00A61669">
              <w:rPr>
                <w:rFonts w:asciiTheme="majorHAnsi" w:hAnsiTheme="majorHAnsi" w:cstheme="majorHAnsi"/>
              </w:rPr>
              <w:t>£</w:t>
            </w:r>
            <w:r w:rsidRPr="00A61669">
              <w:rPr>
                <w:rFonts w:asciiTheme="majorHAnsi" w:hAnsiTheme="majorHAnsi" w:cstheme="majorHAnsi"/>
              </w:rPr>
              <w:t>1.45M</w:t>
            </w:r>
          </w:p>
        </w:tc>
      </w:tr>
      <w:tr w:rsidR="00F12A44" w14:paraId="36073068" w14:textId="77777777" w:rsidTr="1524DEBB">
        <w:tc>
          <w:tcPr>
            <w:tcW w:w="3240" w:type="dxa"/>
            <w:tcMar>
              <w:top w:w="100" w:type="dxa"/>
              <w:left w:w="100" w:type="dxa"/>
              <w:bottom w:w="100" w:type="dxa"/>
              <w:right w:w="100" w:type="dxa"/>
            </w:tcMar>
          </w:tcPr>
          <w:p w14:paraId="00000411" w14:textId="00000412" w:rsidR="000B0F63" w:rsidRPr="00A61669" w:rsidRDefault="00C05D22" w:rsidP="003B529B">
            <w:pPr>
              <w:pStyle w:val="TableInfo"/>
              <w:rPr>
                <w:rFonts w:asciiTheme="majorHAnsi" w:hAnsiTheme="majorHAnsi" w:cstheme="majorHAnsi"/>
              </w:rPr>
            </w:pPr>
            <w:r w:rsidRPr="00A61669">
              <w:rPr>
                <w:rFonts w:asciiTheme="majorHAnsi" w:hAnsiTheme="majorHAnsi" w:cstheme="majorHAnsi"/>
              </w:rPr>
              <w:t>Software licensing</w:t>
            </w:r>
          </w:p>
        </w:tc>
        <w:tc>
          <w:tcPr>
            <w:tcW w:w="2000" w:type="dxa"/>
            <w:tcMar>
              <w:top w:w="100" w:type="dxa"/>
              <w:left w:w="100" w:type="dxa"/>
              <w:bottom w:w="100" w:type="dxa"/>
              <w:right w:w="100" w:type="dxa"/>
            </w:tcMar>
          </w:tcPr>
          <w:p w14:paraId="00000413" w14:textId="1A888BEE" w:rsidR="000B0F63" w:rsidRPr="00A61669" w:rsidRDefault="00A035A9" w:rsidP="003B529B">
            <w:pPr>
              <w:pStyle w:val="TableInfo"/>
              <w:rPr>
                <w:rFonts w:asciiTheme="majorHAnsi" w:hAnsiTheme="majorHAnsi" w:cstheme="majorHAnsi"/>
              </w:rPr>
            </w:pPr>
            <w:r w:rsidRPr="00A61669">
              <w:rPr>
                <w:rFonts w:asciiTheme="majorHAnsi" w:hAnsiTheme="majorHAnsi" w:cstheme="majorHAnsi"/>
              </w:rPr>
              <w:t>£</w:t>
            </w:r>
            <w:r w:rsidR="00C05D22" w:rsidRPr="00A61669">
              <w:rPr>
                <w:rFonts w:asciiTheme="majorHAnsi" w:hAnsiTheme="majorHAnsi" w:cstheme="majorHAnsi"/>
              </w:rPr>
              <w:t>1,440,681</w:t>
            </w:r>
          </w:p>
        </w:tc>
        <w:tc>
          <w:tcPr>
            <w:tcW w:w="4480" w:type="dxa"/>
            <w:tcMar>
              <w:top w:w="100" w:type="dxa"/>
              <w:left w:w="100" w:type="dxa"/>
              <w:bottom w:w="100" w:type="dxa"/>
              <w:right w:w="100" w:type="dxa"/>
            </w:tcMar>
          </w:tcPr>
          <w:p w14:paraId="00000415" w14:textId="55D087CB" w:rsidR="000B0F63" w:rsidRPr="00A61669" w:rsidRDefault="00C05D22" w:rsidP="003B529B">
            <w:pPr>
              <w:pStyle w:val="TableInfo"/>
              <w:rPr>
                <w:rFonts w:asciiTheme="majorHAnsi" w:hAnsiTheme="majorHAnsi" w:cstheme="majorHAnsi"/>
              </w:rPr>
            </w:pPr>
            <w:r w:rsidRPr="00A61669">
              <w:rPr>
                <w:rFonts w:asciiTheme="majorHAnsi" w:hAnsiTheme="majorHAnsi" w:cstheme="majorHAnsi"/>
                <w:lang w:val="en-GB"/>
              </w:rPr>
              <w:t xml:space="preserve">Includes Oracle support </w:t>
            </w:r>
            <w:r w:rsidR="000C108A" w:rsidRPr="00A61669">
              <w:rPr>
                <w:rFonts w:asciiTheme="majorHAnsi" w:hAnsiTheme="majorHAnsi" w:cstheme="majorHAnsi"/>
                <w:lang w:val="en-GB"/>
              </w:rPr>
              <w:t>(</w:t>
            </w:r>
            <w:r w:rsidR="00312BB7" w:rsidRPr="00A61669">
              <w:rPr>
                <w:rFonts w:asciiTheme="majorHAnsi" w:hAnsiTheme="majorHAnsi" w:cstheme="majorHAnsi"/>
                <w:lang w:val="en-GB"/>
              </w:rPr>
              <w:t>£</w:t>
            </w:r>
            <w:r w:rsidRPr="00A61669">
              <w:rPr>
                <w:rFonts w:asciiTheme="majorHAnsi" w:hAnsiTheme="majorHAnsi" w:cstheme="majorHAnsi"/>
                <w:lang w:val="en-GB"/>
              </w:rPr>
              <w:t xml:space="preserve">650K), SQL </w:t>
            </w:r>
            <w:r w:rsidR="000C108A" w:rsidRPr="00A61669">
              <w:rPr>
                <w:rFonts w:asciiTheme="majorHAnsi" w:hAnsiTheme="majorHAnsi" w:cstheme="majorHAnsi"/>
                <w:lang w:val="en-GB"/>
              </w:rPr>
              <w:t>(</w:t>
            </w:r>
            <w:r w:rsidR="00312BB7" w:rsidRPr="00A61669">
              <w:rPr>
                <w:rFonts w:asciiTheme="majorHAnsi" w:hAnsiTheme="majorHAnsi" w:cstheme="majorHAnsi"/>
                <w:lang w:val="en-GB"/>
              </w:rPr>
              <w:t>£</w:t>
            </w:r>
            <w:r w:rsidRPr="00A61669">
              <w:rPr>
                <w:rFonts w:asciiTheme="majorHAnsi" w:hAnsiTheme="majorHAnsi" w:cstheme="majorHAnsi"/>
                <w:lang w:val="en-GB"/>
              </w:rPr>
              <w:t xml:space="preserve">119K), Windows </w:t>
            </w:r>
            <w:r w:rsidR="000C108A" w:rsidRPr="00A61669">
              <w:rPr>
                <w:rFonts w:asciiTheme="majorHAnsi" w:hAnsiTheme="majorHAnsi" w:cstheme="majorHAnsi"/>
                <w:lang w:val="en-GB"/>
              </w:rPr>
              <w:t>(</w:t>
            </w:r>
            <w:r w:rsidR="00312BB7" w:rsidRPr="00A61669">
              <w:rPr>
                <w:rFonts w:asciiTheme="majorHAnsi" w:hAnsiTheme="majorHAnsi" w:cstheme="majorHAnsi"/>
                <w:lang w:val="en-GB"/>
              </w:rPr>
              <w:t>£</w:t>
            </w:r>
            <w:r w:rsidRPr="00A61669">
              <w:rPr>
                <w:rFonts w:asciiTheme="majorHAnsi" w:hAnsiTheme="majorHAnsi" w:cstheme="majorHAnsi"/>
                <w:lang w:val="en-GB"/>
              </w:rPr>
              <w:t xml:space="preserve">137K), Linux </w:t>
            </w:r>
            <w:r w:rsidR="000C108A" w:rsidRPr="00A61669">
              <w:rPr>
                <w:rFonts w:asciiTheme="majorHAnsi" w:hAnsiTheme="majorHAnsi" w:cstheme="majorHAnsi"/>
                <w:lang w:val="en-GB"/>
              </w:rPr>
              <w:t>(</w:t>
            </w:r>
            <w:r w:rsidR="00312BB7" w:rsidRPr="00A61669">
              <w:rPr>
                <w:rFonts w:asciiTheme="majorHAnsi" w:hAnsiTheme="majorHAnsi" w:cstheme="majorHAnsi"/>
                <w:lang w:val="en-GB"/>
              </w:rPr>
              <w:t>£</w:t>
            </w:r>
            <w:r w:rsidRPr="00A61669">
              <w:rPr>
                <w:rFonts w:asciiTheme="majorHAnsi" w:hAnsiTheme="majorHAnsi" w:cstheme="majorHAnsi"/>
                <w:lang w:val="en-GB"/>
              </w:rPr>
              <w:t xml:space="preserve">91K), security tooling </w:t>
            </w:r>
            <w:r w:rsidR="000C108A" w:rsidRPr="00A61669">
              <w:rPr>
                <w:rFonts w:asciiTheme="majorHAnsi" w:hAnsiTheme="majorHAnsi" w:cstheme="majorHAnsi"/>
                <w:lang w:val="en-GB"/>
              </w:rPr>
              <w:t>(</w:t>
            </w:r>
            <w:r w:rsidR="00312BB7" w:rsidRPr="00A61669">
              <w:rPr>
                <w:rFonts w:asciiTheme="majorHAnsi" w:hAnsiTheme="majorHAnsi" w:cstheme="majorHAnsi"/>
                <w:lang w:val="en-GB"/>
              </w:rPr>
              <w:t>£</w:t>
            </w:r>
            <w:r w:rsidRPr="00A61669">
              <w:rPr>
                <w:rFonts w:asciiTheme="majorHAnsi" w:hAnsiTheme="majorHAnsi" w:cstheme="majorHAnsi"/>
                <w:lang w:val="en-GB"/>
              </w:rPr>
              <w:t>444K worst case</w:t>
            </w:r>
            <w:r w:rsidR="009D5FDB" w:rsidRPr="00A61669">
              <w:rPr>
                <w:rFonts w:asciiTheme="majorHAnsi" w:hAnsiTheme="majorHAnsi" w:cstheme="majorHAnsi"/>
                <w:lang w:val="en-GB"/>
              </w:rPr>
              <w:t xml:space="preserve"> - this is the full Tenable and Guardicore contract value, which covers approximately 4,000 endpoints including desktops. The server-only portion has not been separated. The actual on-premises cost attributable to the in-scope servers is lower. Part 2 should split this figure to produce a more precise baseline)</w:t>
            </w:r>
          </w:p>
        </w:tc>
      </w:tr>
      <w:tr w:rsidR="00F12A44" w14:paraId="061B2477" w14:textId="77777777" w:rsidTr="1524DEBB">
        <w:tc>
          <w:tcPr>
            <w:tcW w:w="3240" w:type="dxa"/>
            <w:tcMar>
              <w:top w:w="100" w:type="dxa"/>
              <w:left w:w="100" w:type="dxa"/>
              <w:bottom w:w="100" w:type="dxa"/>
              <w:right w:w="100" w:type="dxa"/>
            </w:tcMar>
          </w:tcPr>
          <w:p w14:paraId="00000417" w14:textId="00000418" w:rsidR="000B0F63" w:rsidRPr="00A61669" w:rsidRDefault="00C05D22" w:rsidP="003B529B">
            <w:pPr>
              <w:pStyle w:val="TableInfo"/>
              <w:rPr>
                <w:rFonts w:asciiTheme="majorHAnsi" w:hAnsiTheme="majorHAnsi" w:cstheme="majorHAnsi"/>
              </w:rPr>
            </w:pPr>
            <w:r w:rsidRPr="00A61669">
              <w:rPr>
                <w:rFonts w:asciiTheme="majorHAnsi" w:hAnsiTheme="majorHAnsi" w:cstheme="majorHAnsi"/>
              </w:rPr>
              <w:t>Facilities and network</w:t>
            </w:r>
          </w:p>
        </w:tc>
        <w:tc>
          <w:tcPr>
            <w:tcW w:w="2000" w:type="dxa"/>
            <w:tcMar>
              <w:top w:w="100" w:type="dxa"/>
              <w:left w:w="100" w:type="dxa"/>
              <w:bottom w:w="100" w:type="dxa"/>
              <w:right w:w="100" w:type="dxa"/>
            </w:tcMar>
          </w:tcPr>
          <w:p w14:paraId="00000419" w14:textId="036CE376" w:rsidR="000B0F63" w:rsidRPr="00A61669" w:rsidRDefault="00A035A9" w:rsidP="003B529B">
            <w:pPr>
              <w:pStyle w:val="TableInfo"/>
              <w:rPr>
                <w:rFonts w:asciiTheme="majorHAnsi" w:hAnsiTheme="majorHAnsi" w:cstheme="majorHAnsi"/>
              </w:rPr>
            </w:pPr>
            <w:r w:rsidRPr="00A61669">
              <w:rPr>
                <w:rFonts w:asciiTheme="majorHAnsi" w:hAnsiTheme="majorHAnsi" w:cstheme="majorHAnsi"/>
              </w:rPr>
              <w:t>£</w:t>
            </w:r>
            <w:r w:rsidR="00C05D22" w:rsidRPr="00A61669">
              <w:rPr>
                <w:rFonts w:asciiTheme="majorHAnsi" w:hAnsiTheme="majorHAnsi" w:cstheme="majorHAnsi"/>
              </w:rPr>
              <w:t>879,900</w:t>
            </w:r>
          </w:p>
        </w:tc>
        <w:tc>
          <w:tcPr>
            <w:tcW w:w="4480" w:type="dxa"/>
            <w:tcMar>
              <w:top w:w="100" w:type="dxa"/>
              <w:left w:w="100" w:type="dxa"/>
              <w:bottom w:w="100" w:type="dxa"/>
              <w:right w:w="100" w:type="dxa"/>
            </w:tcMar>
          </w:tcPr>
          <w:p w14:paraId="0000041B" w14:textId="0000041C" w:rsidR="000B0F63" w:rsidRPr="00A61669" w:rsidRDefault="00C05D22" w:rsidP="003B529B">
            <w:pPr>
              <w:pStyle w:val="TableInfo"/>
              <w:rPr>
                <w:rFonts w:asciiTheme="majorHAnsi" w:hAnsiTheme="majorHAnsi" w:cstheme="majorHAnsi"/>
              </w:rPr>
            </w:pPr>
            <w:r w:rsidRPr="00A61669">
              <w:rPr>
                <w:rFonts w:asciiTheme="majorHAnsi" w:hAnsiTheme="majorHAnsi" w:cstheme="majorHAnsi"/>
              </w:rPr>
              <w:t>Reading, Slough, Sydney, inter-site, internet</w:t>
            </w:r>
          </w:p>
        </w:tc>
      </w:tr>
      <w:tr w:rsidR="00F12A44" w14:paraId="5DE1B60E" w14:textId="77777777" w:rsidTr="1524DEBB">
        <w:tc>
          <w:tcPr>
            <w:tcW w:w="3240" w:type="dxa"/>
            <w:tcMar>
              <w:top w:w="100" w:type="dxa"/>
              <w:left w:w="100" w:type="dxa"/>
              <w:bottom w:w="100" w:type="dxa"/>
              <w:right w:w="100" w:type="dxa"/>
            </w:tcMar>
          </w:tcPr>
          <w:p w14:paraId="0000041D" w14:textId="0000041E" w:rsidR="000B0F63" w:rsidRPr="00A61669" w:rsidRDefault="00C05D22" w:rsidP="003B529B">
            <w:pPr>
              <w:pStyle w:val="TableInfo"/>
              <w:rPr>
                <w:rFonts w:asciiTheme="majorHAnsi" w:hAnsiTheme="majorHAnsi" w:cstheme="majorHAnsi"/>
              </w:rPr>
            </w:pPr>
            <w:r w:rsidRPr="00A61669">
              <w:rPr>
                <w:rFonts w:asciiTheme="majorHAnsi" w:hAnsiTheme="majorHAnsi" w:cstheme="majorHAnsi"/>
              </w:rPr>
              <w:t>Operations</w:t>
            </w:r>
          </w:p>
        </w:tc>
        <w:tc>
          <w:tcPr>
            <w:tcW w:w="2000" w:type="dxa"/>
            <w:tcMar>
              <w:top w:w="100" w:type="dxa"/>
              <w:left w:w="100" w:type="dxa"/>
              <w:bottom w:w="100" w:type="dxa"/>
              <w:right w:w="100" w:type="dxa"/>
            </w:tcMar>
          </w:tcPr>
          <w:p w14:paraId="0000041F" w14:textId="035EC99D" w:rsidR="000B0F63" w:rsidRPr="00A61669" w:rsidRDefault="00A035A9" w:rsidP="003B529B">
            <w:pPr>
              <w:pStyle w:val="TableInfo"/>
              <w:rPr>
                <w:rFonts w:asciiTheme="majorHAnsi" w:hAnsiTheme="majorHAnsi" w:cstheme="majorHAnsi"/>
              </w:rPr>
            </w:pPr>
            <w:r w:rsidRPr="00A61669">
              <w:rPr>
                <w:rFonts w:asciiTheme="majorHAnsi" w:hAnsiTheme="majorHAnsi" w:cstheme="majorHAnsi"/>
              </w:rPr>
              <w:t>£</w:t>
            </w:r>
            <w:r w:rsidR="00C05D22" w:rsidRPr="00A61669">
              <w:rPr>
                <w:rFonts w:asciiTheme="majorHAnsi" w:hAnsiTheme="majorHAnsi" w:cstheme="majorHAnsi"/>
              </w:rPr>
              <w:t>688,000</w:t>
            </w:r>
          </w:p>
        </w:tc>
        <w:tc>
          <w:tcPr>
            <w:tcW w:w="4480" w:type="dxa"/>
            <w:tcMar>
              <w:top w:w="100" w:type="dxa"/>
              <w:left w:w="100" w:type="dxa"/>
              <w:bottom w:w="100" w:type="dxa"/>
              <w:right w:w="100" w:type="dxa"/>
            </w:tcMar>
          </w:tcPr>
          <w:p w14:paraId="00000421" w14:textId="79C04144" w:rsidR="000B0F63" w:rsidRPr="00A61669" w:rsidRDefault="00C05D22" w:rsidP="003B529B">
            <w:pPr>
              <w:pStyle w:val="TableInfo"/>
              <w:rPr>
                <w:rFonts w:asciiTheme="majorHAnsi" w:hAnsiTheme="majorHAnsi" w:cstheme="majorHAnsi"/>
              </w:rPr>
            </w:pPr>
            <w:r w:rsidRPr="00A61669">
              <w:rPr>
                <w:rFonts w:asciiTheme="majorHAnsi" w:hAnsiTheme="majorHAnsi" w:cstheme="majorHAnsi"/>
              </w:rPr>
              <w:t xml:space="preserve">NCS database support </w:t>
            </w:r>
            <w:r w:rsidR="000C108A" w:rsidRPr="00A61669">
              <w:rPr>
                <w:rFonts w:asciiTheme="majorHAnsi" w:hAnsiTheme="majorHAnsi" w:cstheme="majorHAnsi"/>
              </w:rPr>
              <w:t>(</w:t>
            </w:r>
            <w:r w:rsidR="00312BB7" w:rsidRPr="00A61669">
              <w:rPr>
                <w:rFonts w:asciiTheme="majorHAnsi" w:hAnsiTheme="majorHAnsi" w:cstheme="majorHAnsi"/>
              </w:rPr>
              <w:t>£</w:t>
            </w:r>
            <w:r w:rsidRPr="00A61669">
              <w:rPr>
                <w:rFonts w:asciiTheme="majorHAnsi" w:hAnsiTheme="majorHAnsi" w:cstheme="majorHAnsi"/>
              </w:rPr>
              <w:t>568K), vendor support, 1 FTE infra management</w:t>
            </w:r>
          </w:p>
        </w:tc>
      </w:tr>
      <w:tr w:rsidR="00F12A44" w14:paraId="59DC0D5F" w14:textId="77777777" w:rsidTr="1524DEBB">
        <w:tc>
          <w:tcPr>
            <w:tcW w:w="3240" w:type="dxa"/>
            <w:tcMar>
              <w:top w:w="100" w:type="dxa"/>
              <w:left w:w="100" w:type="dxa"/>
              <w:bottom w:w="100" w:type="dxa"/>
              <w:right w:w="100" w:type="dxa"/>
            </w:tcMar>
          </w:tcPr>
          <w:p w14:paraId="00000423" w14:textId="00000424" w:rsidR="000B0F63" w:rsidRPr="00A61669" w:rsidRDefault="00C05D22" w:rsidP="003B529B">
            <w:pPr>
              <w:pStyle w:val="TableInfo"/>
              <w:rPr>
                <w:rFonts w:asciiTheme="majorHAnsi" w:hAnsiTheme="majorHAnsi" w:cstheme="majorHAnsi"/>
              </w:rPr>
            </w:pPr>
            <w:r w:rsidRPr="00A61669">
              <w:rPr>
                <w:rFonts w:asciiTheme="majorHAnsi" w:hAnsiTheme="majorHAnsi" w:cstheme="majorHAnsi"/>
              </w:rPr>
              <w:t>Contracts and commitments</w:t>
            </w:r>
          </w:p>
        </w:tc>
        <w:tc>
          <w:tcPr>
            <w:tcW w:w="2000" w:type="dxa"/>
            <w:tcMar>
              <w:top w:w="100" w:type="dxa"/>
              <w:left w:w="100" w:type="dxa"/>
              <w:bottom w:w="100" w:type="dxa"/>
              <w:right w:w="100" w:type="dxa"/>
            </w:tcMar>
          </w:tcPr>
          <w:p w14:paraId="00000425" w14:textId="666931CC" w:rsidR="000B0F63" w:rsidRPr="00A61669" w:rsidRDefault="00A035A9" w:rsidP="003B529B">
            <w:pPr>
              <w:pStyle w:val="TableInfo"/>
              <w:rPr>
                <w:rFonts w:asciiTheme="majorHAnsi" w:hAnsiTheme="majorHAnsi" w:cstheme="majorHAnsi"/>
              </w:rPr>
            </w:pPr>
            <w:r w:rsidRPr="00A61669">
              <w:rPr>
                <w:rFonts w:asciiTheme="majorHAnsi" w:hAnsiTheme="majorHAnsi" w:cstheme="majorHAnsi"/>
              </w:rPr>
              <w:t>£</w:t>
            </w:r>
            <w:r w:rsidR="00C05D22" w:rsidRPr="00A61669">
              <w:rPr>
                <w:rFonts w:asciiTheme="majorHAnsi" w:hAnsiTheme="majorHAnsi" w:cstheme="majorHAnsi"/>
              </w:rPr>
              <w:t>80,000</w:t>
            </w:r>
          </w:p>
        </w:tc>
        <w:tc>
          <w:tcPr>
            <w:tcW w:w="4480" w:type="dxa"/>
            <w:tcMar>
              <w:top w:w="100" w:type="dxa"/>
              <w:left w:w="100" w:type="dxa"/>
              <w:bottom w:w="100" w:type="dxa"/>
              <w:right w:w="100" w:type="dxa"/>
            </w:tcMar>
          </w:tcPr>
          <w:p w14:paraId="00000427" w14:textId="00000428" w:rsidR="000B0F63" w:rsidRPr="00A61669" w:rsidRDefault="1BAB210A" w:rsidP="003B529B">
            <w:pPr>
              <w:pStyle w:val="TableInfo"/>
              <w:rPr>
                <w:rFonts w:asciiTheme="majorHAnsi" w:hAnsiTheme="majorHAnsi" w:cstheme="majorHAnsi"/>
              </w:rPr>
            </w:pPr>
            <w:r w:rsidRPr="00A61669">
              <w:rPr>
                <w:rFonts w:asciiTheme="majorHAnsi" w:hAnsiTheme="majorHAnsi" w:cstheme="majorHAnsi"/>
                <w:lang w:val="en-GB"/>
              </w:rPr>
              <w:t>Microsoft Bluesource support</w:t>
            </w:r>
          </w:p>
        </w:tc>
      </w:tr>
      <w:tr w:rsidR="00F12A44" w14:paraId="3E06D1B6" w14:textId="77777777" w:rsidTr="1524DEBB">
        <w:tc>
          <w:tcPr>
            <w:tcW w:w="3240" w:type="dxa"/>
            <w:tcMar>
              <w:top w:w="100" w:type="dxa"/>
              <w:left w:w="100" w:type="dxa"/>
              <w:bottom w:w="100" w:type="dxa"/>
              <w:right w:w="100" w:type="dxa"/>
            </w:tcMar>
          </w:tcPr>
          <w:p w14:paraId="00000429" w14:textId="0000042A" w:rsidR="000B0F63" w:rsidRPr="00A61669" w:rsidRDefault="00C05D22" w:rsidP="003B529B">
            <w:pPr>
              <w:pStyle w:val="TableInfo"/>
              <w:rPr>
                <w:rFonts w:asciiTheme="majorHAnsi" w:hAnsiTheme="majorHAnsi" w:cstheme="majorHAnsi"/>
              </w:rPr>
            </w:pPr>
            <w:r w:rsidRPr="00A61669">
              <w:rPr>
                <w:rFonts w:asciiTheme="majorHAnsi" w:hAnsiTheme="majorHAnsi" w:cstheme="majorHAnsi"/>
              </w:rPr>
              <w:t>Grand total</w:t>
            </w:r>
          </w:p>
        </w:tc>
        <w:tc>
          <w:tcPr>
            <w:tcW w:w="2000" w:type="dxa"/>
            <w:tcMar>
              <w:top w:w="100" w:type="dxa"/>
              <w:left w:w="100" w:type="dxa"/>
              <w:bottom w:w="100" w:type="dxa"/>
              <w:right w:w="100" w:type="dxa"/>
            </w:tcMar>
          </w:tcPr>
          <w:p w14:paraId="0000042B" w14:textId="6CA84DED" w:rsidR="000B0F63" w:rsidRPr="00A61669" w:rsidRDefault="00A035A9" w:rsidP="003B529B">
            <w:pPr>
              <w:pStyle w:val="TableInfo"/>
              <w:rPr>
                <w:rFonts w:asciiTheme="majorHAnsi" w:hAnsiTheme="majorHAnsi" w:cstheme="majorHAnsi"/>
              </w:rPr>
            </w:pPr>
            <w:r w:rsidRPr="00A61669">
              <w:rPr>
                <w:rFonts w:asciiTheme="majorHAnsi" w:hAnsiTheme="majorHAnsi" w:cstheme="majorHAnsi"/>
              </w:rPr>
              <w:t>£</w:t>
            </w:r>
            <w:r w:rsidR="00C05D22" w:rsidRPr="00A61669">
              <w:rPr>
                <w:rFonts w:asciiTheme="majorHAnsi" w:hAnsiTheme="majorHAnsi" w:cstheme="majorHAnsi"/>
              </w:rPr>
              <w:t>3,636,342</w:t>
            </w:r>
          </w:p>
        </w:tc>
        <w:tc>
          <w:tcPr>
            <w:tcW w:w="4480" w:type="dxa"/>
            <w:tcMar>
              <w:top w:w="100" w:type="dxa"/>
              <w:left w:w="100" w:type="dxa"/>
              <w:bottom w:w="100" w:type="dxa"/>
              <w:right w:w="100" w:type="dxa"/>
            </w:tcMar>
          </w:tcPr>
          <w:p w14:paraId="0000042D" w14:textId="0000042E" w:rsidR="000B0F63" w:rsidRPr="00A61669" w:rsidRDefault="00C05D22" w:rsidP="003B529B">
            <w:pPr>
              <w:pStyle w:val="TableInfo"/>
              <w:rPr>
                <w:rFonts w:asciiTheme="majorHAnsi" w:hAnsiTheme="majorHAnsi" w:cstheme="majorHAnsi"/>
              </w:rPr>
            </w:pPr>
            <w:r w:rsidRPr="00A61669">
              <w:rPr>
                <w:rFonts w:asciiTheme="majorHAnsi" w:hAnsiTheme="majorHAnsi" w:cstheme="majorHAnsi"/>
              </w:rPr>
              <w:t>Per year</w:t>
            </w:r>
          </w:p>
        </w:tc>
      </w:tr>
    </w:tbl>
    <w:p w14:paraId="10BC1469" w14:textId="77777777" w:rsidR="008D74B0" w:rsidRPr="00A61669" w:rsidRDefault="008D74B0" w:rsidP="00E40261">
      <w:pPr>
        <w:jc w:val="both"/>
        <w:rPr>
          <w:rFonts w:asciiTheme="majorHAnsi" w:hAnsiTheme="majorHAnsi" w:cstheme="majorHAnsi"/>
        </w:rPr>
      </w:pPr>
    </w:p>
    <w:p w14:paraId="2B6C27D5" w14:textId="77777777" w:rsidR="00BA2375" w:rsidRPr="00BA2375" w:rsidRDefault="00BA2375" w:rsidP="00B24153">
      <w:r w:rsidRPr="00BA2375">
        <w:t>This figure is the on-premises anchor. It does not include the Broadcom VCF subscription cost that will apply when new or expanded VMware hosts are needed, nor does it include the next hardware refresh cycle. The true cost of remaining on premises is higher than £3.64 million per year and rising.</w:t>
      </w:r>
    </w:p>
    <w:p w14:paraId="292147F5" w14:textId="77777777" w:rsidR="00BA2375" w:rsidRPr="005A2B75" w:rsidRDefault="00BA2375" w:rsidP="00B24153">
      <w:pPr>
        <w:rPr>
          <w:b/>
          <w:bCs/>
        </w:rPr>
      </w:pPr>
      <w:r w:rsidRPr="005A2B75">
        <w:rPr>
          <w:b/>
          <w:bCs/>
        </w:rPr>
        <w:t>The Complete View</w:t>
      </w:r>
    </w:p>
    <w:p w14:paraId="2ACFD986" w14:textId="77777777" w:rsidR="00BA2375" w:rsidRPr="00BA2375" w:rsidRDefault="00BA2375" w:rsidP="00B24153">
      <w:r w:rsidRPr="00BA2375">
        <w:t>The annualised cloud cost is £4.59M on GCP, £4.70M on AWS, and £5.68M on Azure. These are lift-and-shift figures: every workload moved as-is. This is the starting point, not the destination.</w:t>
      </w:r>
    </w:p>
    <w:p w14:paraId="50479D32" w14:textId="77777777" w:rsidR="00BA2375" w:rsidRPr="00BA2375" w:rsidRDefault="00BA2375" w:rsidP="00B24153">
      <w:r w:rsidRPr="00BA2375">
        <w:t>Four factors close the gap between these figures and the on-premises baseline:</w:t>
      </w:r>
    </w:p>
    <w:p w14:paraId="01790279" w14:textId="77777777" w:rsidR="00BA2375" w:rsidRPr="00BA2375" w:rsidRDefault="00BA2375" w:rsidP="00F57DAB">
      <w:pPr>
        <w:pStyle w:val="ListParagraph"/>
        <w:numPr>
          <w:ilvl w:val="0"/>
          <w:numId w:val="50"/>
        </w:numPr>
      </w:pPr>
      <w:r w:rsidRPr="00BA2375">
        <w:t>The on-premises baseline (£3.64M) is incomplete. Broadcom VCF, hardware refresh, and security exposure from unsupported VMware are excluded. The true on-premises cost is higher and rising.</w:t>
      </w:r>
    </w:p>
    <w:p w14:paraId="1A6087DE" w14:textId="77777777" w:rsidR="00BA2375" w:rsidRPr="00BA2375" w:rsidRDefault="00BA2375" w:rsidP="00F57DAB">
      <w:pPr>
        <w:pStyle w:val="ListParagraph"/>
        <w:numPr>
          <w:ilvl w:val="0"/>
          <w:numId w:val="50"/>
        </w:numPr>
      </w:pPr>
      <w:r w:rsidRPr="00BA2375">
        <w:t>£1.76M of operational cost carries forward at today's rates. This is the largest cost-saving lever available. Transformation to cloud managed services, cloud-native security, and re-platforming will reduce this significantly.</w:t>
      </w:r>
    </w:p>
    <w:p w14:paraId="04491410" w14:textId="77777777" w:rsidR="00BA2375" w:rsidRPr="00BA2375" w:rsidRDefault="00BA2375" w:rsidP="00F57DAB">
      <w:pPr>
        <w:pStyle w:val="ListParagraph"/>
        <w:numPr>
          <w:ilvl w:val="0"/>
          <w:numId w:val="50"/>
        </w:numPr>
      </w:pPr>
      <w:r w:rsidRPr="00BA2375">
        <w:lastRenderedPageBreak/>
        <w:t>Hyperscaler credits and discounts are not yet applied. These reduce the cloud figure further and are covered below. Negotiation for best pricing will also happen.</w:t>
      </w:r>
    </w:p>
    <w:p w14:paraId="16600D99" w14:textId="02936293" w:rsidR="008226FA" w:rsidRDefault="00BA2375" w:rsidP="00F57DAB">
      <w:pPr>
        <w:pStyle w:val="ListParagraph"/>
        <w:numPr>
          <w:ilvl w:val="0"/>
          <w:numId w:val="50"/>
        </w:numPr>
      </w:pPr>
      <w:r w:rsidRPr="00BA2375">
        <w:t>The cost advantage is built through transformation, not as-is migration. Lift-and-shift establishes the platform. Part 2 maps the path to optimised cost.</w:t>
      </w:r>
    </w:p>
    <w:p w14:paraId="5B9D746E" w14:textId="76AF2689" w:rsidR="00AF3603" w:rsidRPr="00A61669" w:rsidRDefault="00AF3603" w:rsidP="00AF3603">
      <w:r w:rsidRPr="00AF3603">
        <w:t>The funding estimates below are calculated from each hyperscaler's standard funding programmes applied against the 3-year reserved consumption figures in this report. They are indicative. Each funding application is bespoke and subject to formal approval from the respective hyperscaler. The actual amounts will be confirmed during Part 2 as the workload profile is refined and commercial terms are negotiated. Azure funding estimates are pending.</w:t>
      </w:r>
    </w:p>
    <w:tbl>
      <w:tblPr>
        <w:tblW w:w="9634" w:type="dxa"/>
        <w:tblCellMar>
          <w:top w:w="100" w:type="dxa"/>
          <w:left w:w="100" w:type="dxa"/>
          <w:bottom w:w="100" w:type="dxa"/>
          <w:right w:w="100" w:type="dxa"/>
        </w:tblCellMar>
        <w:tblLook w:val="04A0" w:firstRow="1" w:lastRow="0" w:firstColumn="1" w:lastColumn="0" w:noHBand="0" w:noVBand="1"/>
      </w:tblPr>
      <w:tblGrid>
        <w:gridCol w:w="3958"/>
        <w:gridCol w:w="1841"/>
        <w:gridCol w:w="2419"/>
        <w:gridCol w:w="1416"/>
      </w:tblGrid>
      <w:tr w:rsidR="007D1995" w14:paraId="2CB8332F" w14:textId="13216BCC" w:rsidTr="004028F7">
        <w:trPr>
          <w:cantSplit/>
        </w:trPr>
        <w:tc>
          <w:tcPr>
            <w:tcW w:w="39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73A1CCBD" w14:textId="7C92D125" w:rsidR="008226FA" w:rsidRPr="00A61669" w:rsidRDefault="008226FA" w:rsidP="007D1995">
            <w:pPr>
              <w:pStyle w:val="TableHeader"/>
              <w:jc w:val="center"/>
              <w:rPr>
                <w:rFonts w:asciiTheme="majorHAnsi" w:hAnsiTheme="majorHAnsi" w:cstheme="majorHAnsi"/>
              </w:rPr>
            </w:pPr>
          </w:p>
        </w:tc>
        <w:tc>
          <w:tcPr>
            <w:tcW w:w="1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21386C18" w14:textId="7063117A" w:rsidR="008226FA" w:rsidRPr="00A61669" w:rsidRDefault="008226FA" w:rsidP="007D1995">
            <w:pPr>
              <w:pStyle w:val="TableHeader"/>
              <w:jc w:val="center"/>
              <w:rPr>
                <w:rFonts w:asciiTheme="majorHAnsi" w:hAnsiTheme="majorHAnsi" w:cstheme="majorHAnsi"/>
              </w:rPr>
            </w:pPr>
            <w:r w:rsidRPr="00A61669">
              <w:rPr>
                <w:rFonts w:asciiTheme="majorHAnsi" w:hAnsiTheme="majorHAnsi" w:cstheme="majorHAnsi"/>
                <w:b w:val="0"/>
                <w:lang w:val="en-US"/>
              </w:rPr>
              <w:t>AWS</w:t>
            </w:r>
          </w:p>
        </w:tc>
        <w:tc>
          <w:tcPr>
            <w:tcW w:w="2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0C978AE5" w14:textId="23A2572E" w:rsidR="008226FA" w:rsidRPr="00A61669" w:rsidRDefault="008226FA" w:rsidP="007D1995">
            <w:pPr>
              <w:pStyle w:val="TableHeader"/>
              <w:jc w:val="center"/>
              <w:rPr>
                <w:rFonts w:asciiTheme="majorHAnsi" w:hAnsiTheme="majorHAnsi" w:cstheme="majorHAnsi"/>
              </w:rPr>
            </w:pPr>
            <w:r w:rsidRPr="00A61669">
              <w:rPr>
                <w:rFonts w:asciiTheme="majorHAnsi" w:hAnsiTheme="majorHAnsi" w:cstheme="majorHAnsi"/>
                <w:b w:val="0"/>
                <w:lang w:val="en-US"/>
              </w:rPr>
              <w:t>GCP</w:t>
            </w:r>
          </w:p>
        </w:tc>
        <w:tc>
          <w:tcPr>
            <w:tcW w:w="14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313FA3" w14:textId="25F73BE1" w:rsidR="008226FA" w:rsidRPr="00A61669" w:rsidRDefault="008226FA" w:rsidP="007D1995">
            <w:pPr>
              <w:pStyle w:val="TableHeader"/>
              <w:jc w:val="center"/>
              <w:rPr>
                <w:rFonts w:asciiTheme="majorHAnsi" w:hAnsiTheme="majorHAnsi" w:cstheme="majorHAnsi"/>
                <w:lang w:val="en-US"/>
              </w:rPr>
            </w:pPr>
            <w:r w:rsidRPr="00A61669">
              <w:rPr>
                <w:rFonts w:asciiTheme="majorHAnsi" w:hAnsiTheme="majorHAnsi" w:cstheme="majorHAnsi"/>
                <w:b w:val="0"/>
                <w:lang w:val="en-US"/>
              </w:rPr>
              <w:t>Azure</w:t>
            </w:r>
          </w:p>
        </w:tc>
      </w:tr>
      <w:tr w:rsidR="007D1995" w14:paraId="40072BED" w14:textId="18C0FB1C" w:rsidTr="004028F7">
        <w:tc>
          <w:tcPr>
            <w:tcW w:w="395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6D0EA69" w14:textId="157A0129" w:rsidR="007D1995" w:rsidRPr="00A61669" w:rsidRDefault="008226FA" w:rsidP="007D1995">
            <w:pPr>
              <w:pStyle w:val="TableInfo"/>
              <w:jc w:val="center"/>
              <w:rPr>
                <w:rFonts w:asciiTheme="majorHAnsi" w:hAnsiTheme="majorHAnsi" w:cstheme="majorHAnsi"/>
                <w:szCs w:val="18"/>
              </w:rPr>
            </w:pPr>
            <w:r w:rsidRPr="00A61669">
              <w:rPr>
                <w:rFonts w:asciiTheme="majorHAnsi" w:hAnsiTheme="majorHAnsi" w:cstheme="majorHAnsi"/>
                <w:szCs w:val="18"/>
              </w:rPr>
              <w:t>Total Cloud Spend</w:t>
            </w:r>
          </w:p>
          <w:p w14:paraId="31904A32" w14:textId="048B51D9" w:rsidR="008226FA" w:rsidRPr="00A61669" w:rsidRDefault="008226FA" w:rsidP="007D1995">
            <w:pPr>
              <w:pStyle w:val="TableInfo"/>
              <w:jc w:val="center"/>
              <w:rPr>
                <w:rFonts w:asciiTheme="majorHAnsi" w:hAnsiTheme="majorHAnsi" w:cstheme="majorHAnsi"/>
              </w:rPr>
            </w:pPr>
            <w:r w:rsidRPr="00A61669">
              <w:rPr>
                <w:rFonts w:asciiTheme="majorHAnsi" w:hAnsiTheme="majorHAnsi" w:cstheme="majorHAnsi"/>
                <w:szCs w:val="18"/>
              </w:rPr>
              <w:t>(3-year Reserved yearly)</w:t>
            </w:r>
          </w:p>
        </w:tc>
        <w:tc>
          <w:tcPr>
            <w:tcW w:w="184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77B3BE1" w14:textId="139EFFB1" w:rsidR="008226FA" w:rsidRPr="00A61669" w:rsidRDefault="008226FA" w:rsidP="007D1995">
            <w:pPr>
              <w:pStyle w:val="TableInfo"/>
              <w:jc w:val="center"/>
              <w:rPr>
                <w:rFonts w:asciiTheme="majorHAnsi" w:hAnsiTheme="majorHAnsi" w:cstheme="majorHAnsi"/>
              </w:rPr>
            </w:pPr>
            <w:r w:rsidRPr="00A61669">
              <w:rPr>
                <w:rFonts w:asciiTheme="majorHAnsi" w:hAnsiTheme="majorHAnsi" w:cstheme="majorHAnsi"/>
                <w:szCs w:val="18"/>
              </w:rPr>
              <w:t>$ 3,024,396</w:t>
            </w:r>
          </w:p>
        </w:tc>
        <w:tc>
          <w:tcPr>
            <w:tcW w:w="241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DB4E6CE" w14:textId="55C3E997" w:rsidR="008226FA" w:rsidRPr="00A61669" w:rsidRDefault="008226FA" w:rsidP="007D1995">
            <w:pPr>
              <w:pStyle w:val="TableInfo"/>
              <w:jc w:val="center"/>
              <w:rPr>
                <w:rFonts w:asciiTheme="majorHAnsi" w:hAnsiTheme="majorHAnsi" w:cstheme="majorHAnsi"/>
              </w:rPr>
            </w:pPr>
            <w:r w:rsidRPr="00A61669">
              <w:rPr>
                <w:rFonts w:asciiTheme="majorHAnsi" w:hAnsiTheme="majorHAnsi" w:cstheme="majorHAnsi"/>
                <w:szCs w:val="18"/>
              </w:rPr>
              <w:t>$ 2,243,685</w:t>
            </w:r>
          </w:p>
        </w:tc>
        <w:tc>
          <w:tcPr>
            <w:tcW w:w="1416" w:type="dxa"/>
            <w:tcBorders>
              <w:top w:val="single" w:sz="4" w:space="0" w:color="auto"/>
              <w:left w:val="single" w:sz="4" w:space="0" w:color="auto"/>
              <w:bottom w:val="single" w:sz="4" w:space="0" w:color="auto"/>
              <w:right w:val="single" w:sz="4" w:space="0" w:color="auto"/>
            </w:tcBorders>
            <w:vAlign w:val="center"/>
          </w:tcPr>
          <w:p w14:paraId="3E6E28E1" w14:textId="57E519D9" w:rsidR="008226FA" w:rsidRPr="00A61669" w:rsidRDefault="008226FA" w:rsidP="007D1995">
            <w:pPr>
              <w:pStyle w:val="TableHeader"/>
              <w:jc w:val="center"/>
              <w:rPr>
                <w:rFonts w:asciiTheme="majorHAnsi" w:hAnsiTheme="majorHAnsi" w:cstheme="majorHAnsi"/>
                <w:lang w:val="en-US"/>
              </w:rPr>
            </w:pPr>
            <w:r w:rsidRPr="00A61669">
              <w:rPr>
                <w:rFonts w:asciiTheme="majorHAnsi" w:hAnsiTheme="majorHAnsi" w:cstheme="majorHAnsi"/>
                <w:b w:val="0"/>
                <w:lang w:val="en-US"/>
              </w:rPr>
              <w:t>$ 4,368,962</w:t>
            </w:r>
          </w:p>
        </w:tc>
      </w:tr>
      <w:tr w:rsidR="007D1995" w14:paraId="50220329" w14:textId="2E75DF24" w:rsidTr="004028F7">
        <w:tc>
          <w:tcPr>
            <w:tcW w:w="395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4BE225F" w14:textId="77777777" w:rsidR="008226FA" w:rsidRPr="00A61669" w:rsidRDefault="008226FA" w:rsidP="007D1995">
            <w:pPr>
              <w:pStyle w:val="InsetText"/>
              <w:ind w:hanging="411"/>
              <w:jc w:val="center"/>
              <w:rPr>
                <w:rFonts w:asciiTheme="majorHAnsi" w:hAnsiTheme="majorHAnsi" w:cstheme="majorHAnsi"/>
                <w:sz w:val="18"/>
                <w:szCs w:val="18"/>
                <w:lang w:val="en-IN"/>
              </w:rPr>
            </w:pPr>
            <w:r w:rsidRPr="00A61669">
              <w:rPr>
                <w:rFonts w:asciiTheme="majorHAnsi" w:hAnsiTheme="majorHAnsi" w:cstheme="majorHAnsi"/>
                <w:sz w:val="18"/>
                <w:szCs w:val="18"/>
                <w:lang w:val="en-US"/>
              </w:rPr>
              <w:t>Total Cloud Credits (B)</w:t>
            </w:r>
          </w:p>
          <w:p w14:paraId="7BFA2190" w14:textId="0D393769" w:rsidR="008226FA" w:rsidRPr="00A61669" w:rsidRDefault="008226FA" w:rsidP="007D1995">
            <w:pPr>
              <w:pStyle w:val="TableInfo"/>
              <w:jc w:val="center"/>
              <w:rPr>
                <w:rFonts w:asciiTheme="majorHAnsi" w:hAnsiTheme="majorHAnsi" w:cstheme="majorHAnsi"/>
              </w:rPr>
            </w:pPr>
            <w:r w:rsidRPr="00A61669">
              <w:rPr>
                <w:rFonts w:asciiTheme="majorHAnsi" w:hAnsiTheme="majorHAnsi" w:cstheme="majorHAnsi"/>
                <w:szCs w:val="18"/>
              </w:rPr>
              <w:t>(discount against DMG Media’s consumption)</w:t>
            </w:r>
          </w:p>
        </w:tc>
        <w:tc>
          <w:tcPr>
            <w:tcW w:w="184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5E68813" w14:textId="670F60A7" w:rsidR="008226FA" w:rsidRPr="00A61669" w:rsidRDefault="008226FA" w:rsidP="007D1995">
            <w:pPr>
              <w:pStyle w:val="TableInfo"/>
              <w:jc w:val="center"/>
              <w:rPr>
                <w:rFonts w:asciiTheme="majorHAnsi" w:hAnsiTheme="majorHAnsi" w:cstheme="majorHAnsi"/>
              </w:rPr>
            </w:pPr>
            <w:r w:rsidRPr="00A61669">
              <w:rPr>
                <w:rFonts w:asciiTheme="majorHAnsi" w:hAnsiTheme="majorHAnsi" w:cstheme="majorHAnsi"/>
                <w:szCs w:val="18"/>
                <w:lang w:val="en-IN"/>
              </w:rPr>
              <w:t xml:space="preserve">$ </w:t>
            </w:r>
            <w:r w:rsidRPr="00A61669">
              <w:rPr>
                <w:rFonts w:asciiTheme="majorHAnsi" w:hAnsiTheme="majorHAnsi" w:cstheme="majorHAnsi"/>
                <w:szCs w:val="18"/>
              </w:rPr>
              <w:t>756,099</w:t>
            </w:r>
          </w:p>
        </w:tc>
        <w:tc>
          <w:tcPr>
            <w:tcW w:w="241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7FF16FF" w14:textId="53FBD8A2" w:rsidR="008226FA" w:rsidRPr="00A61669" w:rsidRDefault="008226FA" w:rsidP="007D1995">
            <w:pPr>
              <w:pStyle w:val="TableInfo"/>
              <w:jc w:val="center"/>
              <w:rPr>
                <w:rFonts w:asciiTheme="majorHAnsi" w:hAnsiTheme="majorHAnsi" w:cstheme="majorHAnsi"/>
              </w:rPr>
            </w:pPr>
            <w:r w:rsidRPr="00A61669">
              <w:rPr>
                <w:rFonts w:asciiTheme="majorHAnsi" w:hAnsiTheme="majorHAnsi" w:cstheme="majorHAnsi"/>
                <w:szCs w:val="18"/>
                <w:lang w:val="en-IN"/>
              </w:rPr>
              <w:t xml:space="preserve">$ </w:t>
            </w:r>
            <w:r w:rsidRPr="00A61669">
              <w:rPr>
                <w:rFonts w:asciiTheme="majorHAnsi" w:hAnsiTheme="majorHAnsi" w:cstheme="majorHAnsi"/>
                <w:szCs w:val="18"/>
              </w:rPr>
              <w:t>745,192</w:t>
            </w:r>
          </w:p>
        </w:tc>
        <w:tc>
          <w:tcPr>
            <w:tcW w:w="1416" w:type="dxa"/>
            <w:tcBorders>
              <w:top w:val="single" w:sz="4" w:space="0" w:color="auto"/>
              <w:left w:val="single" w:sz="4" w:space="0" w:color="auto"/>
              <w:bottom w:val="single" w:sz="4" w:space="0" w:color="auto"/>
              <w:right w:val="single" w:sz="4" w:space="0" w:color="auto"/>
            </w:tcBorders>
            <w:vAlign w:val="center"/>
          </w:tcPr>
          <w:p w14:paraId="7AFE3181" w14:textId="4AA1CD82" w:rsidR="008226FA" w:rsidRPr="00A61669" w:rsidRDefault="00C848C5" w:rsidP="007D1995">
            <w:pPr>
              <w:pStyle w:val="TableHeader"/>
              <w:jc w:val="center"/>
              <w:rPr>
                <w:rFonts w:asciiTheme="majorHAnsi" w:hAnsiTheme="majorHAnsi" w:cstheme="majorHAnsi"/>
                <w:lang w:val="en-US"/>
              </w:rPr>
            </w:pPr>
            <w:r>
              <w:rPr>
                <w:rFonts w:asciiTheme="majorHAnsi" w:hAnsiTheme="majorHAnsi" w:cstheme="majorHAnsi"/>
                <w:b w:val="0"/>
                <w:lang w:val="en-US"/>
              </w:rPr>
              <w:t>$</w:t>
            </w:r>
            <w:r w:rsidR="00C77894">
              <w:rPr>
                <w:rFonts w:asciiTheme="majorHAnsi" w:hAnsiTheme="majorHAnsi" w:cstheme="majorHAnsi"/>
                <w:b w:val="0"/>
                <w:lang w:val="en-US"/>
              </w:rPr>
              <w:t>688,741</w:t>
            </w:r>
          </w:p>
        </w:tc>
      </w:tr>
      <w:tr w:rsidR="00341420" w:rsidRPr="00A61669" w14:paraId="648B2E5F" w14:textId="77777777" w:rsidTr="004028F7">
        <w:tc>
          <w:tcPr>
            <w:tcW w:w="395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9D3B998" w14:textId="77777777" w:rsidR="00341420" w:rsidRPr="00A61669" w:rsidRDefault="00341420" w:rsidP="00341420">
            <w:pPr>
              <w:pStyle w:val="InsetText"/>
              <w:ind w:hanging="411"/>
              <w:jc w:val="center"/>
              <w:rPr>
                <w:rFonts w:asciiTheme="majorHAnsi" w:hAnsiTheme="majorHAnsi" w:cstheme="majorHAnsi"/>
                <w:sz w:val="18"/>
                <w:szCs w:val="18"/>
              </w:rPr>
            </w:pPr>
            <w:r w:rsidRPr="00341420">
              <w:rPr>
                <w:rFonts w:asciiTheme="majorHAnsi" w:hAnsiTheme="majorHAnsi" w:cstheme="majorHAnsi"/>
                <w:sz w:val="18"/>
                <w:szCs w:val="18"/>
              </w:rPr>
              <w:t>Total funding in GBP</w:t>
            </w:r>
          </w:p>
          <w:p w14:paraId="6DBDE788" w14:textId="02BB630E" w:rsidR="00341420" w:rsidRPr="00A61669" w:rsidRDefault="00341420" w:rsidP="00341420">
            <w:pPr>
              <w:pStyle w:val="InsetText"/>
              <w:ind w:hanging="411"/>
              <w:jc w:val="center"/>
              <w:rPr>
                <w:rFonts w:asciiTheme="majorHAnsi" w:hAnsiTheme="majorHAnsi" w:cstheme="majorHAnsi"/>
                <w:sz w:val="18"/>
                <w:szCs w:val="18"/>
              </w:rPr>
            </w:pPr>
            <w:r w:rsidRPr="00341420">
              <w:rPr>
                <w:rFonts w:asciiTheme="majorHAnsi" w:hAnsiTheme="majorHAnsi" w:cstheme="majorHAnsi"/>
                <w:b/>
                <w:bCs/>
                <w:i/>
                <w:iCs/>
                <w:sz w:val="18"/>
                <w:szCs w:val="18"/>
              </w:rPr>
              <w:t>FX Rate: 1 USD = 0.755 GBP</w:t>
            </w:r>
          </w:p>
        </w:tc>
        <w:tc>
          <w:tcPr>
            <w:tcW w:w="184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9683ADA" w14:textId="1D08ADC1" w:rsidR="00341420" w:rsidRPr="00A61669" w:rsidRDefault="00341420" w:rsidP="00341420">
            <w:pPr>
              <w:pStyle w:val="TableInfo"/>
              <w:jc w:val="center"/>
              <w:rPr>
                <w:rFonts w:asciiTheme="majorHAnsi" w:hAnsiTheme="majorHAnsi" w:cstheme="majorHAnsi"/>
                <w:szCs w:val="18"/>
              </w:rPr>
            </w:pPr>
            <w:r w:rsidRPr="00A61669">
              <w:rPr>
                <w:rFonts w:asciiTheme="majorHAnsi" w:hAnsiTheme="majorHAnsi" w:cstheme="majorHAnsi"/>
                <w:szCs w:val="18"/>
              </w:rPr>
              <w:t xml:space="preserve"> £ 570,854*</w:t>
            </w:r>
            <w:r w:rsidR="0098340B" w:rsidRPr="00A61669">
              <w:rPr>
                <w:rStyle w:val="FootnoteReference"/>
                <w:rFonts w:asciiTheme="majorHAnsi" w:hAnsiTheme="majorHAnsi" w:cstheme="majorHAnsi"/>
                <w:szCs w:val="18"/>
              </w:rPr>
              <w:footnoteReference w:id="2"/>
            </w:r>
          </w:p>
        </w:tc>
        <w:tc>
          <w:tcPr>
            <w:tcW w:w="241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EA68D25" w14:textId="36D93272" w:rsidR="00341420" w:rsidRPr="00A61669" w:rsidRDefault="00341420" w:rsidP="00341420">
            <w:pPr>
              <w:pStyle w:val="TableInfo"/>
              <w:jc w:val="center"/>
              <w:rPr>
                <w:rFonts w:asciiTheme="majorHAnsi" w:hAnsiTheme="majorHAnsi" w:cstheme="majorHAnsi"/>
                <w:szCs w:val="18"/>
              </w:rPr>
            </w:pPr>
            <w:r w:rsidRPr="00A61669">
              <w:rPr>
                <w:rFonts w:asciiTheme="majorHAnsi" w:hAnsiTheme="majorHAnsi" w:cstheme="majorHAnsi"/>
                <w:szCs w:val="18"/>
              </w:rPr>
              <w:t xml:space="preserve"> £ 562,619*</w:t>
            </w:r>
          </w:p>
        </w:tc>
        <w:tc>
          <w:tcPr>
            <w:tcW w:w="1416" w:type="dxa"/>
            <w:tcBorders>
              <w:top w:val="single" w:sz="4" w:space="0" w:color="auto"/>
              <w:left w:val="single" w:sz="4" w:space="0" w:color="auto"/>
              <w:bottom w:val="single" w:sz="4" w:space="0" w:color="auto"/>
              <w:right w:val="single" w:sz="4" w:space="0" w:color="auto"/>
            </w:tcBorders>
            <w:vAlign w:val="center"/>
          </w:tcPr>
          <w:p w14:paraId="76819702" w14:textId="1354C6E1" w:rsidR="00341420" w:rsidRPr="00A61669" w:rsidRDefault="00C848C5" w:rsidP="00341420">
            <w:pPr>
              <w:pStyle w:val="TableHeader"/>
              <w:jc w:val="center"/>
              <w:rPr>
                <w:rFonts w:asciiTheme="majorHAnsi" w:hAnsiTheme="majorHAnsi" w:cstheme="majorHAnsi"/>
                <w:b w:val="0"/>
                <w:lang w:val="en-US"/>
              </w:rPr>
            </w:pPr>
            <w:r>
              <w:rPr>
                <w:rFonts w:asciiTheme="majorHAnsi" w:hAnsiTheme="majorHAnsi" w:cstheme="majorHAnsi"/>
                <w:b w:val="0"/>
                <w:lang w:val="en-US"/>
              </w:rPr>
              <w:t>£52</w:t>
            </w:r>
            <w:r w:rsidR="00C77894">
              <w:rPr>
                <w:rFonts w:asciiTheme="majorHAnsi" w:hAnsiTheme="majorHAnsi" w:cstheme="majorHAnsi"/>
                <w:b w:val="0"/>
                <w:lang w:val="en-US"/>
              </w:rPr>
              <w:t>0</w:t>
            </w:r>
            <w:r>
              <w:rPr>
                <w:rFonts w:asciiTheme="majorHAnsi" w:hAnsiTheme="majorHAnsi" w:cstheme="majorHAnsi"/>
                <w:b w:val="0"/>
                <w:lang w:val="en-US"/>
              </w:rPr>
              <w:t>,</w:t>
            </w:r>
            <w:r w:rsidR="00C77894">
              <w:rPr>
                <w:rFonts w:asciiTheme="majorHAnsi" w:hAnsiTheme="majorHAnsi" w:cstheme="majorHAnsi"/>
                <w:b w:val="0"/>
                <w:lang w:val="en-US"/>
              </w:rPr>
              <w:t>000</w:t>
            </w:r>
          </w:p>
        </w:tc>
      </w:tr>
      <w:tr w:rsidR="007D1995" w14:paraId="53562D95" w14:textId="77777777" w:rsidTr="004028F7">
        <w:trPr>
          <w:gridAfter w:val="1"/>
          <w:wAfter w:w="1416" w:type="dxa"/>
        </w:trPr>
        <w:tc>
          <w:tcPr>
            <w:tcW w:w="3958" w:type="dxa"/>
            <w:tcMar>
              <w:top w:w="100" w:type="dxa"/>
              <w:left w:w="100" w:type="dxa"/>
              <w:bottom w:w="100" w:type="dxa"/>
              <w:right w:w="100" w:type="dxa"/>
            </w:tcMar>
          </w:tcPr>
          <w:p w14:paraId="43E02385" w14:textId="799F5710" w:rsidR="008226FA" w:rsidRPr="00A61669" w:rsidRDefault="008226FA" w:rsidP="008226FA">
            <w:pPr>
              <w:pStyle w:val="TableInfo"/>
              <w:jc w:val="both"/>
              <w:rPr>
                <w:rFonts w:asciiTheme="majorHAnsi" w:hAnsiTheme="majorHAnsi" w:cstheme="majorHAnsi"/>
              </w:rPr>
            </w:pPr>
          </w:p>
        </w:tc>
        <w:tc>
          <w:tcPr>
            <w:tcW w:w="1841" w:type="dxa"/>
            <w:tcMar>
              <w:top w:w="100" w:type="dxa"/>
              <w:left w:w="100" w:type="dxa"/>
              <w:bottom w:w="100" w:type="dxa"/>
              <w:right w:w="100" w:type="dxa"/>
            </w:tcMar>
          </w:tcPr>
          <w:p w14:paraId="08BF872D" w14:textId="6009F8EC" w:rsidR="008226FA" w:rsidRPr="00A61669" w:rsidRDefault="008226FA" w:rsidP="008226FA">
            <w:pPr>
              <w:pStyle w:val="TableInfo"/>
              <w:jc w:val="both"/>
              <w:rPr>
                <w:rFonts w:asciiTheme="majorHAnsi" w:hAnsiTheme="majorHAnsi" w:cstheme="majorHAnsi"/>
              </w:rPr>
            </w:pPr>
          </w:p>
        </w:tc>
        <w:tc>
          <w:tcPr>
            <w:tcW w:w="2419" w:type="dxa"/>
            <w:tcMar>
              <w:top w:w="100" w:type="dxa"/>
              <w:left w:w="100" w:type="dxa"/>
              <w:bottom w:w="100" w:type="dxa"/>
              <w:right w:w="100" w:type="dxa"/>
            </w:tcMar>
          </w:tcPr>
          <w:p w14:paraId="36B1855E" w14:textId="2B3D0A72" w:rsidR="008226FA" w:rsidRPr="00A61669" w:rsidRDefault="008226FA" w:rsidP="008226FA">
            <w:pPr>
              <w:pStyle w:val="TableInfo"/>
              <w:jc w:val="both"/>
              <w:rPr>
                <w:rFonts w:asciiTheme="majorHAnsi" w:hAnsiTheme="majorHAnsi" w:cstheme="majorHAnsi"/>
              </w:rPr>
            </w:pPr>
          </w:p>
        </w:tc>
      </w:tr>
    </w:tbl>
    <w:p w14:paraId="7A04984F" w14:textId="77777777" w:rsidR="00082310" w:rsidRPr="00A61669" w:rsidRDefault="004B25BF" w:rsidP="007D1995">
      <w:pPr>
        <w:pStyle w:val="InsetText"/>
        <w:ind w:left="0"/>
        <w:jc w:val="both"/>
        <w:rPr>
          <w:rFonts w:asciiTheme="majorHAnsi" w:hAnsiTheme="majorHAnsi" w:cstheme="majorHAnsi"/>
        </w:rPr>
      </w:pPr>
      <w:r w:rsidRPr="00A61669">
        <w:rPr>
          <w:rFonts w:asciiTheme="majorHAnsi" w:hAnsiTheme="majorHAnsi" w:cstheme="majorHAnsi"/>
        </w:rPr>
        <w:t xml:space="preserve">The funding calculations presented in the table above, are based on </w:t>
      </w:r>
      <w:r w:rsidR="00082310" w:rsidRPr="00A61669">
        <w:rPr>
          <w:rFonts w:asciiTheme="majorHAnsi" w:hAnsiTheme="majorHAnsi" w:cstheme="majorHAnsi"/>
        </w:rPr>
        <w:t>the following assumptions &amp; considerations</w:t>
      </w:r>
    </w:p>
    <w:p w14:paraId="7C7126BA" w14:textId="5B7E3915" w:rsidR="00116A5B" w:rsidRPr="00A61669" w:rsidRDefault="00FB4A1A" w:rsidP="00F57DAB">
      <w:pPr>
        <w:pStyle w:val="InsetText"/>
        <w:numPr>
          <w:ilvl w:val="0"/>
          <w:numId w:val="36"/>
        </w:numPr>
        <w:ind w:left="720"/>
        <w:jc w:val="both"/>
        <w:rPr>
          <w:rFonts w:asciiTheme="majorHAnsi" w:hAnsiTheme="majorHAnsi" w:cstheme="majorHAnsi"/>
        </w:rPr>
      </w:pPr>
      <w:r w:rsidRPr="00A61669">
        <w:rPr>
          <w:rFonts w:asciiTheme="majorHAnsi" w:hAnsiTheme="majorHAnsi" w:cstheme="majorHAnsi"/>
        </w:rPr>
        <w:t>3-</w:t>
      </w:r>
      <w:r w:rsidR="00736DDC" w:rsidRPr="00A61669">
        <w:rPr>
          <w:rFonts w:asciiTheme="majorHAnsi" w:hAnsiTheme="majorHAnsi" w:cstheme="majorHAnsi"/>
        </w:rPr>
        <w:t>years</w:t>
      </w:r>
      <w:r w:rsidRPr="00A61669">
        <w:rPr>
          <w:rFonts w:asciiTheme="majorHAnsi" w:hAnsiTheme="majorHAnsi" w:cstheme="majorHAnsi"/>
        </w:rPr>
        <w:t xml:space="preserve"> Reserved</w:t>
      </w:r>
      <w:r w:rsidR="00EC2FA3" w:rsidRPr="00A61669">
        <w:rPr>
          <w:rFonts w:asciiTheme="majorHAnsi" w:hAnsiTheme="majorHAnsi" w:cstheme="majorHAnsi"/>
        </w:rPr>
        <w:t xml:space="preserve"> yearly cloud consumption in USD for London region </w:t>
      </w:r>
      <w:r w:rsidR="00844885" w:rsidRPr="00A61669">
        <w:rPr>
          <w:rFonts w:asciiTheme="majorHAnsi" w:hAnsiTheme="majorHAnsi" w:cstheme="majorHAnsi"/>
        </w:rPr>
        <w:t>is taken as a baseline for this calculation</w:t>
      </w:r>
      <w:r w:rsidR="00407EC0" w:rsidRPr="00A61669">
        <w:rPr>
          <w:rFonts w:asciiTheme="majorHAnsi" w:hAnsiTheme="majorHAnsi" w:cstheme="majorHAnsi"/>
        </w:rPr>
        <w:t xml:space="preserve">, </w:t>
      </w:r>
      <w:r w:rsidR="002B75A8" w:rsidRPr="00A61669">
        <w:rPr>
          <w:rFonts w:asciiTheme="majorHAnsi" w:hAnsiTheme="majorHAnsi" w:cstheme="majorHAnsi"/>
        </w:rPr>
        <w:t xml:space="preserve">in alignment with the </w:t>
      </w:r>
      <w:r w:rsidR="007B77B1" w:rsidRPr="00A61669">
        <w:rPr>
          <w:rFonts w:asciiTheme="majorHAnsi" w:hAnsiTheme="majorHAnsi" w:cstheme="majorHAnsi"/>
        </w:rPr>
        <w:t xml:space="preserve">general funding/incentive program </w:t>
      </w:r>
      <w:r w:rsidR="00815CB0" w:rsidRPr="00A61669">
        <w:rPr>
          <w:rFonts w:asciiTheme="majorHAnsi" w:hAnsiTheme="majorHAnsi" w:cstheme="majorHAnsi"/>
        </w:rPr>
        <w:t xml:space="preserve">provided from the </w:t>
      </w:r>
      <w:r w:rsidR="00C82A58" w:rsidRPr="00A61669">
        <w:rPr>
          <w:rFonts w:asciiTheme="majorHAnsi" w:hAnsiTheme="majorHAnsi" w:cstheme="majorHAnsi"/>
        </w:rPr>
        <w:t>respective Hyperscalers</w:t>
      </w:r>
      <w:r w:rsidR="0057430B" w:rsidRPr="00A61669">
        <w:rPr>
          <w:rFonts w:asciiTheme="majorHAnsi" w:hAnsiTheme="majorHAnsi" w:cstheme="majorHAnsi"/>
        </w:rPr>
        <w:t xml:space="preserve">. </w:t>
      </w:r>
    </w:p>
    <w:p w14:paraId="7185FEF3" w14:textId="1ED71EA2" w:rsidR="00EC2FA3" w:rsidRPr="00A61669" w:rsidRDefault="0057430B" w:rsidP="00F57DAB">
      <w:pPr>
        <w:pStyle w:val="InsetText"/>
        <w:numPr>
          <w:ilvl w:val="0"/>
          <w:numId w:val="36"/>
        </w:numPr>
        <w:ind w:left="720"/>
        <w:jc w:val="both"/>
        <w:rPr>
          <w:rFonts w:asciiTheme="majorHAnsi" w:hAnsiTheme="majorHAnsi" w:cstheme="majorHAnsi"/>
        </w:rPr>
      </w:pPr>
      <w:r w:rsidRPr="00A61669">
        <w:rPr>
          <w:rFonts w:asciiTheme="majorHAnsi" w:hAnsiTheme="majorHAnsi" w:cstheme="majorHAnsi"/>
        </w:rPr>
        <w:t xml:space="preserve">The </w:t>
      </w:r>
      <w:r w:rsidR="008A044C" w:rsidRPr="00A61669">
        <w:rPr>
          <w:rFonts w:asciiTheme="majorHAnsi" w:hAnsiTheme="majorHAnsi" w:cstheme="majorHAnsi"/>
        </w:rPr>
        <w:t xml:space="preserve">estimated cloud consumption </w:t>
      </w:r>
      <w:r w:rsidR="003D49E1" w:rsidRPr="00A61669">
        <w:rPr>
          <w:rFonts w:asciiTheme="majorHAnsi" w:hAnsiTheme="majorHAnsi" w:cstheme="majorHAnsi"/>
        </w:rPr>
        <w:t xml:space="preserve">&amp; the </w:t>
      </w:r>
      <w:r w:rsidR="00844885" w:rsidRPr="00A61669">
        <w:rPr>
          <w:rFonts w:asciiTheme="majorHAnsi" w:hAnsiTheme="majorHAnsi" w:cstheme="majorHAnsi"/>
        </w:rPr>
        <w:t>commensurate funding</w:t>
      </w:r>
      <w:r w:rsidR="00E7484F" w:rsidRPr="00A61669">
        <w:rPr>
          <w:rFonts w:asciiTheme="majorHAnsi" w:hAnsiTheme="majorHAnsi" w:cstheme="majorHAnsi"/>
        </w:rPr>
        <w:t xml:space="preserve"> provisions</w:t>
      </w:r>
      <w:r w:rsidR="00844885" w:rsidRPr="00A61669">
        <w:rPr>
          <w:rFonts w:asciiTheme="majorHAnsi" w:hAnsiTheme="majorHAnsi" w:cstheme="majorHAnsi"/>
        </w:rPr>
        <w:t xml:space="preserve"> thereof, </w:t>
      </w:r>
      <w:r w:rsidR="008A044C" w:rsidRPr="00A61669">
        <w:rPr>
          <w:rFonts w:asciiTheme="majorHAnsi" w:hAnsiTheme="majorHAnsi" w:cstheme="majorHAnsi"/>
        </w:rPr>
        <w:t>is likely to change, as per the finding</w:t>
      </w:r>
      <w:r w:rsidR="00844885" w:rsidRPr="00A61669">
        <w:rPr>
          <w:rFonts w:asciiTheme="majorHAnsi" w:hAnsiTheme="majorHAnsi" w:cstheme="majorHAnsi"/>
        </w:rPr>
        <w:t xml:space="preserve">s from the upcoming </w:t>
      </w:r>
      <w:r w:rsidR="00100959" w:rsidRPr="00A61669">
        <w:rPr>
          <w:rFonts w:asciiTheme="majorHAnsi" w:hAnsiTheme="majorHAnsi" w:cstheme="majorHAnsi"/>
        </w:rPr>
        <w:t>Part 2</w:t>
      </w:r>
      <w:r w:rsidR="00844885" w:rsidRPr="00A61669">
        <w:rPr>
          <w:rFonts w:asciiTheme="majorHAnsi" w:hAnsiTheme="majorHAnsi" w:cstheme="majorHAnsi"/>
        </w:rPr>
        <w:t xml:space="preserve"> assessment.</w:t>
      </w:r>
      <w:r w:rsidR="00116A5B" w:rsidRPr="00A61669">
        <w:rPr>
          <w:rFonts w:asciiTheme="majorHAnsi" w:hAnsiTheme="majorHAnsi" w:cstheme="majorHAnsi"/>
        </w:rPr>
        <w:t xml:space="preserve"> </w:t>
      </w:r>
    </w:p>
    <w:p w14:paraId="3AEB5FFB" w14:textId="2AB35C11" w:rsidR="00CE3059" w:rsidRPr="00A61669" w:rsidRDefault="00CE3059" w:rsidP="00F57DAB">
      <w:pPr>
        <w:pStyle w:val="InsetText"/>
        <w:numPr>
          <w:ilvl w:val="0"/>
          <w:numId w:val="36"/>
        </w:numPr>
        <w:ind w:left="720"/>
        <w:jc w:val="both"/>
        <w:rPr>
          <w:rFonts w:asciiTheme="majorHAnsi" w:hAnsiTheme="majorHAnsi" w:cstheme="majorHAnsi"/>
        </w:rPr>
      </w:pPr>
      <w:r w:rsidRPr="00A61669">
        <w:rPr>
          <w:rFonts w:asciiTheme="majorHAnsi" w:hAnsiTheme="majorHAnsi" w:cstheme="majorHAnsi"/>
        </w:rPr>
        <w:t>Please note at time of publishing, no information was available from Microsoft</w:t>
      </w:r>
      <w:r w:rsidR="00E33B2F" w:rsidRPr="00A61669">
        <w:rPr>
          <w:rFonts w:asciiTheme="majorHAnsi" w:hAnsiTheme="majorHAnsi" w:cstheme="majorHAnsi"/>
        </w:rPr>
        <w:t>, though they will likely make some funding available</w:t>
      </w:r>
      <w:r w:rsidR="00743C63" w:rsidRPr="00A61669">
        <w:rPr>
          <w:rFonts w:asciiTheme="majorHAnsi" w:hAnsiTheme="majorHAnsi" w:cstheme="majorHAnsi"/>
        </w:rPr>
        <w:t xml:space="preserve">. </w:t>
      </w:r>
    </w:p>
    <w:p w14:paraId="0F63818A" w14:textId="667C215D" w:rsidR="00BC29B4" w:rsidRPr="00A61669" w:rsidRDefault="00BC29B4" w:rsidP="00F57DAB">
      <w:pPr>
        <w:pStyle w:val="InsetText"/>
        <w:numPr>
          <w:ilvl w:val="0"/>
          <w:numId w:val="36"/>
        </w:numPr>
        <w:ind w:left="720"/>
        <w:jc w:val="both"/>
        <w:rPr>
          <w:rFonts w:asciiTheme="majorHAnsi" w:hAnsiTheme="majorHAnsi" w:cstheme="majorHAnsi"/>
          <w:lang w:val="en-IN"/>
        </w:rPr>
      </w:pPr>
      <w:r w:rsidRPr="00A61669">
        <w:rPr>
          <w:rFonts w:asciiTheme="majorHAnsi" w:hAnsiTheme="majorHAnsi" w:cstheme="majorHAnsi"/>
        </w:rPr>
        <w:t>Currency conversion at market prevalent rates 1 USD = 0.755 GBP</w:t>
      </w:r>
    </w:p>
    <w:p w14:paraId="231FAA98" w14:textId="776D37C9" w:rsidR="00BC29B4" w:rsidRPr="00A61669" w:rsidRDefault="00BC29B4" w:rsidP="00BC29B4">
      <w:pPr>
        <w:pStyle w:val="InsetText"/>
        <w:ind w:left="1260"/>
        <w:jc w:val="both"/>
        <w:rPr>
          <w:rFonts w:asciiTheme="majorHAnsi" w:hAnsiTheme="majorHAnsi" w:cstheme="majorHAnsi"/>
        </w:rPr>
      </w:pPr>
    </w:p>
    <w:p w14:paraId="00000439" w14:textId="34B5912F" w:rsidR="000B0F63" w:rsidRPr="00A61669" w:rsidRDefault="00C05D22" w:rsidP="007D1995">
      <w:pPr>
        <w:pStyle w:val="Heading1"/>
        <w:rPr>
          <w:rFonts w:asciiTheme="majorHAnsi" w:hAnsiTheme="majorHAnsi" w:cstheme="majorHAnsi"/>
        </w:rPr>
      </w:pPr>
      <w:r w:rsidRPr="00A61669">
        <w:rPr>
          <w:rFonts w:asciiTheme="majorHAnsi" w:hAnsiTheme="majorHAnsi" w:cstheme="majorHAnsi"/>
        </w:rPr>
        <w:br w:type="page"/>
      </w:r>
      <w:bookmarkStart w:id="110" w:name="_Toc159"/>
      <w:bookmarkStart w:id="111" w:name="_Toc227770942"/>
      <w:bookmarkStart w:id="112" w:name="_Toc228549358"/>
      <w:r w:rsidR="1BAB210A" w:rsidRPr="00A61669">
        <w:rPr>
          <w:rFonts w:asciiTheme="majorHAnsi" w:hAnsiTheme="majorHAnsi" w:cstheme="majorHAnsi"/>
        </w:rPr>
        <w:lastRenderedPageBreak/>
        <w:t>Section 6: Business and Application Fit</w:t>
      </w:r>
      <w:bookmarkEnd w:id="110"/>
      <w:bookmarkEnd w:id="111"/>
      <w:bookmarkEnd w:id="112"/>
    </w:p>
    <w:p w14:paraId="0000043B" w14:textId="0000043C" w:rsidR="000B0F63" w:rsidRPr="00A61669" w:rsidRDefault="1BAB210A" w:rsidP="00E40261">
      <w:pPr>
        <w:pStyle w:val="Heading2"/>
        <w:jc w:val="both"/>
        <w:rPr>
          <w:rFonts w:asciiTheme="majorHAnsi" w:hAnsiTheme="majorHAnsi" w:cstheme="majorHAnsi"/>
        </w:rPr>
      </w:pPr>
      <w:bookmarkStart w:id="113" w:name="_Toc160"/>
      <w:bookmarkStart w:id="114" w:name="_Toc227770943"/>
      <w:r w:rsidRPr="00A61669">
        <w:rPr>
          <w:rFonts w:asciiTheme="majorHAnsi" w:hAnsiTheme="majorHAnsi" w:cstheme="majorHAnsi"/>
        </w:rPr>
        <w:t>What This Section Does</w:t>
      </w:r>
      <w:bookmarkEnd w:id="113"/>
      <w:bookmarkEnd w:id="114"/>
    </w:p>
    <w:p w14:paraId="0000043D" w14:textId="1890AFF0"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This section shows how </w:t>
      </w:r>
      <w:r w:rsidR="007415CD" w:rsidRPr="00A61669">
        <w:rPr>
          <w:rFonts w:asciiTheme="majorHAnsi" w:hAnsiTheme="majorHAnsi" w:cstheme="majorHAnsi"/>
        </w:rPr>
        <w:t>DMG Media’s</w:t>
      </w:r>
      <w:r w:rsidRPr="00A61669">
        <w:rPr>
          <w:rFonts w:asciiTheme="majorHAnsi" w:hAnsiTheme="majorHAnsi" w:cstheme="majorHAnsi"/>
        </w:rPr>
        <w:t xml:space="preserve"> applications map to cloud. What constraints they carry, how they group for migration, and where the gaps are. It is about the applications themselves, not about which cloud wins. That is Section 7.</w:t>
      </w:r>
    </w:p>
    <w:p w14:paraId="0000043F" w14:textId="00000440" w:rsidR="000B0F63" w:rsidRPr="00A61669" w:rsidRDefault="1BAB210A" w:rsidP="00E40261">
      <w:pPr>
        <w:pStyle w:val="Heading2"/>
        <w:jc w:val="both"/>
        <w:rPr>
          <w:rFonts w:asciiTheme="majorHAnsi" w:hAnsiTheme="majorHAnsi" w:cstheme="majorHAnsi"/>
        </w:rPr>
      </w:pPr>
      <w:bookmarkStart w:id="115" w:name="_Toc161"/>
      <w:bookmarkStart w:id="116" w:name="_Toc227770944"/>
      <w:r w:rsidRPr="00A61669">
        <w:rPr>
          <w:rFonts w:asciiTheme="majorHAnsi" w:hAnsiTheme="majorHAnsi" w:cstheme="majorHAnsi"/>
        </w:rPr>
        <w:t>How Applications Were Assessed</w:t>
      </w:r>
      <w:bookmarkEnd w:id="115"/>
      <w:bookmarkEnd w:id="116"/>
    </w:p>
    <w:p w14:paraId="00000441" w14:textId="00000442" w:rsidR="000B0F63" w:rsidRPr="00A61669" w:rsidRDefault="00C05D22" w:rsidP="00E40261">
      <w:pPr>
        <w:jc w:val="both"/>
        <w:rPr>
          <w:rFonts w:asciiTheme="majorHAnsi" w:hAnsiTheme="majorHAnsi" w:cstheme="majorHAnsi"/>
        </w:rPr>
      </w:pPr>
      <w:r w:rsidRPr="00A61669">
        <w:rPr>
          <w:rFonts w:asciiTheme="majorHAnsi" w:hAnsiTheme="majorHAnsi" w:cstheme="majorHAnsi"/>
        </w:rPr>
        <w:t>Each of the 39 applications was assessed against four criteria:</w:t>
      </w:r>
    </w:p>
    <w:p w14:paraId="00000443" w14:textId="00000444" w:rsidR="000B0F63" w:rsidRPr="00A61669" w:rsidRDefault="00C05D22" w:rsidP="00F57DAB">
      <w:pPr>
        <w:pStyle w:val="ListBullet"/>
        <w:numPr>
          <w:ilvl w:val="0"/>
          <w:numId w:val="16"/>
        </w:numPr>
        <w:jc w:val="both"/>
        <w:rPr>
          <w:rFonts w:asciiTheme="majorHAnsi" w:hAnsiTheme="majorHAnsi" w:cstheme="majorHAnsi"/>
        </w:rPr>
      </w:pPr>
      <w:r w:rsidRPr="00A61669">
        <w:rPr>
          <w:rFonts w:asciiTheme="majorHAnsi" w:hAnsiTheme="majorHAnsi" w:cstheme="majorHAnsi"/>
          <w:b/>
        </w:rPr>
        <w:t>Infrastructure fit</w:t>
      </w:r>
      <w:r w:rsidRPr="00A61669">
        <w:rPr>
          <w:rFonts w:asciiTheme="majorHAnsi" w:hAnsiTheme="majorHAnsi" w:cstheme="majorHAnsi"/>
        </w:rPr>
        <w:t>: the underlying platform (VMware, Proxmox, physical, appliance, cloud) and what each cloud needs to support it</w:t>
      </w:r>
    </w:p>
    <w:p w14:paraId="00000445" w14:textId="00000446" w:rsidR="000B0F63" w:rsidRPr="00A61669" w:rsidRDefault="00C05D22" w:rsidP="00F57DAB">
      <w:pPr>
        <w:pStyle w:val="ListBullet"/>
        <w:numPr>
          <w:ilvl w:val="0"/>
          <w:numId w:val="16"/>
        </w:numPr>
        <w:jc w:val="both"/>
        <w:rPr>
          <w:rFonts w:asciiTheme="majorHAnsi" w:hAnsiTheme="majorHAnsi" w:cstheme="majorHAnsi"/>
        </w:rPr>
      </w:pPr>
      <w:r w:rsidRPr="00A61669">
        <w:rPr>
          <w:rFonts w:asciiTheme="majorHAnsi" w:hAnsiTheme="majorHAnsi" w:cstheme="majorHAnsi"/>
          <w:b/>
        </w:rPr>
        <w:t>Database dependency</w:t>
      </w:r>
      <w:r w:rsidRPr="00A61669">
        <w:rPr>
          <w:rFonts w:asciiTheme="majorHAnsi" w:hAnsiTheme="majorHAnsi" w:cstheme="majorHAnsi"/>
        </w:rPr>
        <w:t>: Oracle RAC, SQL Server edition, MongoDB, MySQL, PostgreSQL, Redis</w:t>
      </w:r>
    </w:p>
    <w:p w14:paraId="00000447" w14:textId="00000448" w:rsidR="000B0F63" w:rsidRPr="00A61669" w:rsidRDefault="00C05D22" w:rsidP="00F57DAB">
      <w:pPr>
        <w:pStyle w:val="ListBullet"/>
        <w:numPr>
          <w:ilvl w:val="0"/>
          <w:numId w:val="16"/>
        </w:numPr>
        <w:jc w:val="both"/>
        <w:rPr>
          <w:rFonts w:asciiTheme="majorHAnsi" w:hAnsiTheme="majorHAnsi" w:cstheme="majorHAnsi"/>
        </w:rPr>
      </w:pPr>
      <w:r w:rsidRPr="00A61669">
        <w:rPr>
          <w:rFonts w:asciiTheme="majorHAnsi" w:hAnsiTheme="majorHAnsi" w:cstheme="majorHAnsi"/>
          <w:b/>
        </w:rPr>
        <w:t>Operating system</w:t>
      </w:r>
      <w:r w:rsidRPr="00A61669">
        <w:rPr>
          <w:rFonts w:asciiTheme="majorHAnsi" w:hAnsiTheme="majorHAnsi" w:cstheme="majorHAnsi"/>
        </w:rPr>
        <w:t>: Linux family and version, Windows version, special cases (Solaris, AIX if any)</w:t>
      </w:r>
    </w:p>
    <w:p w14:paraId="00000449" w14:textId="0000044A" w:rsidR="000B0F63" w:rsidRPr="00A61669" w:rsidRDefault="00C05D22" w:rsidP="00F57DAB">
      <w:pPr>
        <w:pStyle w:val="ListBullet"/>
        <w:numPr>
          <w:ilvl w:val="0"/>
          <w:numId w:val="16"/>
        </w:numPr>
        <w:jc w:val="both"/>
        <w:rPr>
          <w:rFonts w:asciiTheme="majorHAnsi" w:hAnsiTheme="majorHAnsi" w:cstheme="majorHAnsi"/>
        </w:rPr>
      </w:pPr>
      <w:r w:rsidRPr="00A61669">
        <w:rPr>
          <w:rFonts w:asciiTheme="majorHAnsi" w:hAnsiTheme="majorHAnsi" w:cstheme="majorHAnsi"/>
          <w:b/>
        </w:rPr>
        <w:t>Known technical constraints</w:t>
      </w:r>
      <w:r w:rsidRPr="00A61669">
        <w:rPr>
          <w:rFonts w:asciiTheme="majorHAnsi" w:hAnsiTheme="majorHAnsi" w:cstheme="majorHAnsi"/>
        </w:rPr>
        <w:t>: multicast, bare metal, specific licensing requirements, vendor certification of cloud platforms</w:t>
      </w:r>
    </w:p>
    <w:p w14:paraId="0000044B" w14:textId="0000044C" w:rsidR="000B0F63" w:rsidRPr="00A61669" w:rsidRDefault="00C05D22" w:rsidP="00E40261">
      <w:pPr>
        <w:jc w:val="both"/>
        <w:rPr>
          <w:rFonts w:asciiTheme="majorHAnsi" w:hAnsiTheme="majorHAnsi" w:cstheme="majorHAnsi"/>
        </w:rPr>
      </w:pPr>
      <w:r w:rsidRPr="00A61669">
        <w:rPr>
          <w:rFonts w:asciiTheme="majorHAnsi" w:hAnsiTheme="majorHAnsi" w:cstheme="majorHAnsi"/>
        </w:rPr>
        <w:t>The 39 applications were then grouped into migration cohorts based on readiness, dependencies, and complexity.</w:t>
      </w:r>
    </w:p>
    <w:p w14:paraId="0000044D" w14:textId="0000044E" w:rsidR="000B0F63" w:rsidRPr="00A61669" w:rsidRDefault="1BAB210A" w:rsidP="00E40261">
      <w:pPr>
        <w:pStyle w:val="Heading2"/>
        <w:jc w:val="both"/>
        <w:rPr>
          <w:rFonts w:asciiTheme="majorHAnsi" w:hAnsiTheme="majorHAnsi" w:cstheme="majorHAnsi"/>
        </w:rPr>
      </w:pPr>
      <w:bookmarkStart w:id="117" w:name="_Toc162"/>
      <w:bookmarkStart w:id="118" w:name="_Toc227770945"/>
      <w:r w:rsidRPr="00A61669">
        <w:rPr>
          <w:rFonts w:asciiTheme="majorHAnsi" w:hAnsiTheme="majorHAnsi" w:cstheme="majorHAnsi"/>
        </w:rPr>
        <w:t>Technical Constraints</w:t>
      </w:r>
      <w:bookmarkEnd w:id="117"/>
      <w:bookmarkEnd w:id="118"/>
    </w:p>
    <w:p w14:paraId="0000044F" w14:textId="00000450" w:rsidR="000B0F63" w:rsidRPr="00A61669" w:rsidRDefault="00C05D22" w:rsidP="00E40261">
      <w:pPr>
        <w:jc w:val="both"/>
        <w:rPr>
          <w:rFonts w:asciiTheme="majorHAnsi" w:hAnsiTheme="majorHAnsi" w:cstheme="majorHAnsi"/>
        </w:rPr>
      </w:pPr>
      <w:r w:rsidRPr="00A61669">
        <w:rPr>
          <w:rFonts w:asciiTheme="majorHAnsi" w:hAnsiTheme="majorHAnsi" w:cstheme="majorHAnsi"/>
        </w:rPr>
        <w:t>Three constraints shape the migration approach. Each is explained below with what it means for cost and the recommended path.</w:t>
      </w:r>
    </w:p>
    <w:p w14:paraId="00000451" w14:textId="00000452" w:rsidR="000B0F63" w:rsidRPr="00A61669" w:rsidRDefault="1BAB210A" w:rsidP="00E40261">
      <w:pPr>
        <w:pStyle w:val="Heading3"/>
        <w:jc w:val="both"/>
        <w:rPr>
          <w:rFonts w:asciiTheme="majorHAnsi" w:hAnsiTheme="majorHAnsi" w:cstheme="majorHAnsi"/>
        </w:rPr>
      </w:pPr>
      <w:bookmarkStart w:id="119" w:name="_Toc163"/>
      <w:bookmarkStart w:id="120" w:name="_Toc227770946"/>
      <w:r w:rsidRPr="00A61669">
        <w:rPr>
          <w:rFonts w:asciiTheme="majorHAnsi" w:hAnsiTheme="majorHAnsi" w:cstheme="majorHAnsi"/>
        </w:rPr>
        <w:t>Multicast (Atex Prestige)</w:t>
      </w:r>
      <w:bookmarkEnd w:id="119"/>
      <w:bookmarkEnd w:id="120"/>
    </w:p>
    <w:p w14:paraId="00000453" w14:textId="00000454" w:rsidR="000B0F63" w:rsidRPr="00A61669" w:rsidRDefault="00C05D22" w:rsidP="00E40261">
      <w:pPr>
        <w:jc w:val="both"/>
        <w:rPr>
          <w:rFonts w:asciiTheme="majorHAnsi" w:hAnsiTheme="majorHAnsi" w:cstheme="majorHAnsi"/>
        </w:rPr>
      </w:pPr>
      <w:r w:rsidRPr="00A61669">
        <w:rPr>
          <w:rFonts w:asciiTheme="majorHAnsi" w:hAnsiTheme="majorHAnsi" w:cstheme="majorHAnsi"/>
        </w:rPr>
        <w:t>Atex Prestige uses multicast for PrManager cluster node discovery. Multicast is a LAN-era pattern. Cloud virtual networks handle it differently:</w:t>
      </w:r>
    </w:p>
    <w:p w14:paraId="00000455" w14:textId="00000456" w:rsidR="000B0F63" w:rsidRPr="00A61669" w:rsidRDefault="00C05D22" w:rsidP="00E40261">
      <w:pPr>
        <w:pStyle w:val="ListBullet"/>
        <w:jc w:val="both"/>
        <w:rPr>
          <w:rFonts w:asciiTheme="majorHAnsi" w:hAnsiTheme="majorHAnsi" w:cstheme="majorHAnsi"/>
        </w:rPr>
      </w:pPr>
      <w:r w:rsidRPr="00A61669">
        <w:rPr>
          <w:rFonts w:asciiTheme="majorHAnsi" w:hAnsiTheme="majorHAnsi" w:cstheme="majorHAnsi"/>
        </w:rPr>
        <w:t>AWS supports multicast natively via Transit Gateway (generally available in London).</w:t>
      </w:r>
    </w:p>
    <w:p w14:paraId="00000457" w14:textId="00000458" w:rsidR="000B0F63" w:rsidRPr="00A61669" w:rsidRDefault="00C05D22" w:rsidP="00E40261">
      <w:pPr>
        <w:pStyle w:val="ListBullet"/>
        <w:jc w:val="both"/>
        <w:rPr>
          <w:rFonts w:asciiTheme="majorHAnsi" w:hAnsiTheme="majorHAnsi" w:cstheme="majorHAnsi"/>
        </w:rPr>
      </w:pPr>
      <w:r w:rsidRPr="00A61669">
        <w:rPr>
          <w:rFonts w:asciiTheme="majorHAnsi" w:hAnsiTheme="majorHAnsi" w:cstheme="majorHAnsi"/>
        </w:rPr>
        <w:t>GCP and Azure do not support multicast natively. VMware-on-cloud (GCVE, AVS) is not a viable workaround for DMG Media, because the VMware exit is itself a driver for this engagement.</w:t>
      </w:r>
    </w:p>
    <w:p w14:paraId="00000459" w14:textId="62EF574D"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This means Atex has two practical paths on GCP or Azure: refactor to unicast (Atex vendor confirmation required) or stay on AWS. AWS is the default path for Atex unless unicast refactor is confirmed. This is a </w:t>
      </w:r>
      <w:r w:rsidR="00100959" w:rsidRPr="00A61669">
        <w:rPr>
          <w:rFonts w:asciiTheme="majorHAnsi" w:hAnsiTheme="majorHAnsi" w:cstheme="majorHAnsi"/>
        </w:rPr>
        <w:t>Part 2</w:t>
      </w:r>
      <w:r w:rsidRPr="00A61669">
        <w:rPr>
          <w:rFonts w:asciiTheme="majorHAnsi" w:hAnsiTheme="majorHAnsi" w:cstheme="majorHAnsi"/>
        </w:rPr>
        <w:t xml:space="preserve"> action with direct architectural consequence.</w:t>
      </w:r>
    </w:p>
    <w:p w14:paraId="0000045B" w14:textId="0000045C" w:rsidR="000B0F63" w:rsidRPr="00A61669" w:rsidRDefault="1BAB210A" w:rsidP="00E40261">
      <w:pPr>
        <w:pStyle w:val="Heading3"/>
        <w:jc w:val="both"/>
        <w:rPr>
          <w:rFonts w:asciiTheme="majorHAnsi" w:hAnsiTheme="majorHAnsi" w:cstheme="majorHAnsi"/>
        </w:rPr>
      </w:pPr>
      <w:bookmarkStart w:id="121" w:name="_Toc164"/>
      <w:bookmarkStart w:id="122" w:name="_Toc227770947"/>
      <w:r w:rsidRPr="00A61669">
        <w:rPr>
          <w:rFonts w:asciiTheme="majorHAnsi" w:hAnsiTheme="majorHAnsi" w:cstheme="majorHAnsi"/>
        </w:rPr>
        <w:t>Oracle RAC</w:t>
      </w:r>
      <w:bookmarkEnd w:id="121"/>
      <w:bookmarkEnd w:id="122"/>
    </w:p>
    <w:p w14:paraId="0000045D" w14:textId="6EDCC747" w:rsidR="000B0F63" w:rsidRPr="00A61669" w:rsidRDefault="00C05D22" w:rsidP="00E40261">
      <w:pPr>
        <w:jc w:val="both"/>
        <w:rPr>
          <w:rFonts w:asciiTheme="majorHAnsi" w:hAnsiTheme="majorHAnsi" w:cstheme="majorHAnsi"/>
        </w:rPr>
      </w:pPr>
      <w:r w:rsidRPr="00A61669">
        <w:rPr>
          <w:rFonts w:asciiTheme="majorHAnsi" w:hAnsiTheme="majorHAnsi" w:cstheme="majorHAnsi"/>
        </w:rPr>
        <w:t>Six physical Oracle RAC servers across four clusters (</w:t>
      </w:r>
      <w:r w:rsidR="00490323" w:rsidRPr="00A61669">
        <w:rPr>
          <w:rFonts w:asciiTheme="majorHAnsi" w:hAnsiTheme="majorHAnsi" w:cstheme="majorHAnsi"/>
        </w:rPr>
        <w:t>Mail Online</w:t>
      </w:r>
      <w:r w:rsidRPr="00A61669">
        <w:rPr>
          <w:rFonts w:asciiTheme="majorHAnsi" w:hAnsiTheme="majorHAnsi" w:cstheme="majorHAnsi"/>
        </w:rPr>
        <w:t xml:space="preserve"> A, </w:t>
      </w:r>
      <w:r w:rsidR="00490323" w:rsidRPr="00A61669">
        <w:rPr>
          <w:rFonts w:asciiTheme="majorHAnsi" w:hAnsiTheme="majorHAnsi" w:cstheme="majorHAnsi"/>
        </w:rPr>
        <w:t>Mail Online</w:t>
      </w:r>
      <w:r w:rsidRPr="00A61669">
        <w:rPr>
          <w:rFonts w:asciiTheme="majorHAnsi" w:hAnsiTheme="majorHAnsi" w:cstheme="majorHAnsi"/>
        </w:rPr>
        <w:t xml:space="preserve"> B, Atex, CHP). RAC requires shared storage and specific cluster interconnect features that a general-purpose cloud VM </w:t>
      </w:r>
      <w:r w:rsidRPr="00A61669">
        <w:rPr>
          <w:rFonts w:asciiTheme="majorHAnsi" w:hAnsiTheme="majorHAnsi" w:cstheme="majorHAnsi"/>
        </w:rPr>
        <w:lastRenderedPageBreak/>
        <w:t>does not provide. All three clouds now offer Oracle Database@Cloud (Exadata) in London: Azure (launched earlier), GCP (launched in 2025), AWS (launched March 2026). Same OCI pricing across all three. Details in Section 5.</w:t>
      </w:r>
    </w:p>
    <w:p w14:paraId="0000045F" w14:textId="00000460" w:rsidR="000B0F63" w:rsidRPr="00A61669" w:rsidRDefault="1BAB210A" w:rsidP="00E40261">
      <w:pPr>
        <w:pStyle w:val="Heading3"/>
        <w:jc w:val="both"/>
        <w:rPr>
          <w:rFonts w:asciiTheme="majorHAnsi" w:hAnsiTheme="majorHAnsi" w:cstheme="majorHAnsi"/>
        </w:rPr>
      </w:pPr>
      <w:bookmarkStart w:id="123" w:name="_Toc165"/>
      <w:bookmarkStart w:id="124" w:name="_Toc227770948"/>
      <w:r w:rsidRPr="00A61669">
        <w:rPr>
          <w:rFonts w:asciiTheme="majorHAnsi" w:hAnsiTheme="majorHAnsi" w:cstheme="majorHAnsi"/>
        </w:rPr>
        <w:t>SQL Server Datacenter Edition</w:t>
      </w:r>
      <w:bookmarkEnd w:id="123"/>
      <w:bookmarkEnd w:id="124"/>
    </w:p>
    <w:p w14:paraId="00000461" w14:textId="00000462" w:rsidR="000B0F63" w:rsidRPr="00A61669" w:rsidRDefault="00C05D22" w:rsidP="00E40261">
      <w:pPr>
        <w:jc w:val="both"/>
        <w:rPr>
          <w:rFonts w:asciiTheme="majorHAnsi" w:hAnsiTheme="majorHAnsi" w:cstheme="majorHAnsi"/>
        </w:rPr>
      </w:pPr>
      <w:r w:rsidRPr="00A61669">
        <w:rPr>
          <w:rFonts w:asciiTheme="majorHAnsi" w:hAnsiTheme="majorHAnsi" w:cstheme="majorHAnsi"/>
        </w:rPr>
        <w:t>Reading DC runs Datacenter edition, Slough runs Standard. Datacenter is materially more expensive per core when priced license-included. BYOL with Software Assurance zeroes out this surcharge. Azure AHB is the simplest mechanism. AWS and GCP require Dedicated Hosts or Sole Tenant Nodes respectively. Windows Server 2022 has additional BYOL restrictions on AWS and GCP (see Section 5).</w:t>
      </w:r>
    </w:p>
    <w:p w14:paraId="00000463" w14:textId="00000464" w:rsidR="000B0F63" w:rsidRPr="00A61669" w:rsidRDefault="1BAB210A" w:rsidP="00E40261">
      <w:pPr>
        <w:pStyle w:val="Heading2"/>
        <w:jc w:val="both"/>
        <w:rPr>
          <w:rFonts w:asciiTheme="majorHAnsi" w:hAnsiTheme="majorHAnsi" w:cstheme="majorHAnsi"/>
        </w:rPr>
      </w:pPr>
      <w:bookmarkStart w:id="125" w:name="_Toc166"/>
      <w:bookmarkStart w:id="126" w:name="_Toc227770949"/>
      <w:r w:rsidRPr="00A61669">
        <w:rPr>
          <w:rFonts w:asciiTheme="majorHAnsi" w:hAnsiTheme="majorHAnsi" w:cstheme="majorHAnsi"/>
        </w:rPr>
        <w:t>The 7Rs, Explained</w:t>
      </w:r>
      <w:bookmarkEnd w:id="125"/>
      <w:bookmarkEnd w:id="126"/>
    </w:p>
    <w:p w14:paraId="00000465" w14:textId="00000466" w:rsidR="000B0F63" w:rsidRPr="00A61669" w:rsidRDefault="00C05D22" w:rsidP="00E40261">
      <w:pPr>
        <w:jc w:val="both"/>
        <w:rPr>
          <w:rFonts w:asciiTheme="majorHAnsi" w:hAnsiTheme="majorHAnsi" w:cstheme="majorHAnsi"/>
        </w:rPr>
      </w:pPr>
      <w:r w:rsidRPr="00A61669">
        <w:rPr>
          <w:rFonts w:asciiTheme="majorHAnsi" w:hAnsiTheme="majorHAnsi" w:cstheme="majorHAnsi"/>
        </w:rPr>
        <w:t>The 7Rs are the standard classifications for what to do with an application when migrating to cloud:</w:t>
      </w:r>
    </w:p>
    <w:p w14:paraId="00000467" w14:textId="321BDF26" w:rsidR="000B0F63" w:rsidRPr="00A61669" w:rsidRDefault="00C05D22" w:rsidP="00F57DAB">
      <w:pPr>
        <w:pStyle w:val="ListBullet"/>
        <w:numPr>
          <w:ilvl w:val="0"/>
          <w:numId w:val="17"/>
        </w:numPr>
        <w:jc w:val="both"/>
        <w:rPr>
          <w:rFonts w:asciiTheme="majorHAnsi" w:hAnsiTheme="majorHAnsi" w:cstheme="majorHAnsi"/>
        </w:rPr>
      </w:pPr>
      <w:r w:rsidRPr="00A61669">
        <w:rPr>
          <w:rFonts w:asciiTheme="majorHAnsi" w:hAnsiTheme="majorHAnsi" w:cstheme="majorHAnsi"/>
          <w:b/>
        </w:rPr>
        <w:t xml:space="preserve">Retire: </w:t>
      </w:r>
      <w:r w:rsidRPr="00A61669">
        <w:rPr>
          <w:rFonts w:asciiTheme="majorHAnsi" w:hAnsiTheme="majorHAnsi" w:cstheme="majorHAnsi"/>
        </w:rPr>
        <w:t xml:space="preserve">the application </w:t>
      </w:r>
      <w:r w:rsidR="0099612D" w:rsidRPr="00A61669">
        <w:rPr>
          <w:rFonts w:asciiTheme="majorHAnsi" w:hAnsiTheme="majorHAnsi" w:cstheme="majorHAnsi"/>
        </w:rPr>
        <w:t xml:space="preserve">or server </w:t>
      </w:r>
      <w:r w:rsidRPr="00A61669">
        <w:rPr>
          <w:rFonts w:asciiTheme="majorHAnsi" w:hAnsiTheme="majorHAnsi" w:cstheme="majorHAnsi"/>
        </w:rPr>
        <w:t>is no longer needed, decommission it.</w:t>
      </w:r>
    </w:p>
    <w:p w14:paraId="00000469" w14:textId="0000046A" w:rsidR="000B0F63" w:rsidRPr="00A61669" w:rsidRDefault="00C05D22" w:rsidP="00F57DAB">
      <w:pPr>
        <w:pStyle w:val="ListBullet"/>
        <w:numPr>
          <w:ilvl w:val="0"/>
          <w:numId w:val="17"/>
        </w:numPr>
        <w:jc w:val="both"/>
        <w:rPr>
          <w:rFonts w:asciiTheme="majorHAnsi" w:hAnsiTheme="majorHAnsi" w:cstheme="majorHAnsi"/>
        </w:rPr>
      </w:pPr>
      <w:r w:rsidRPr="00A61669">
        <w:rPr>
          <w:rFonts w:asciiTheme="majorHAnsi" w:hAnsiTheme="majorHAnsi" w:cstheme="majorHAnsi"/>
          <w:b/>
        </w:rPr>
        <w:t xml:space="preserve">Retain: </w:t>
      </w:r>
      <w:r w:rsidRPr="00A61669">
        <w:rPr>
          <w:rFonts w:asciiTheme="majorHAnsi" w:hAnsiTheme="majorHAnsi" w:cstheme="majorHAnsi"/>
        </w:rPr>
        <w:t>keep it where it is (on-premises) for now.</w:t>
      </w:r>
    </w:p>
    <w:p w14:paraId="0000046B" w14:textId="0000046C" w:rsidR="000B0F63" w:rsidRPr="00A61669" w:rsidRDefault="00C05D22" w:rsidP="00F57DAB">
      <w:pPr>
        <w:pStyle w:val="ListBullet"/>
        <w:numPr>
          <w:ilvl w:val="0"/>
          <w:numId w:val="17"/>
        </w:numPr>
        <w:jc w:val="both"/>
        <w:rPr>
          <w:rFonts w:asciiTheme="majorHAnsi" w:hAnsiTheme="majorHAnsi" w:cstheme="majorHAnsi"/>
        </w:rPr>
      </w:pPr>
      <w:r w:rsidRPr="00A61669">
        <w:rPr>
          <w:rFonts w:asciiTheme="majorHAnsi" w:hAnsiTheme="majorHAnsi" w:cstheme="majorHAnsi"/>
          <w:b/>
        </w:rPr>
        <w:t xml:space="preserve">Relocate: </w:t>
      </w:r>
      <w:r w:rsidRPr="00A61669">
        <w:rPr>
          <w:rFonts w:asciiTheme="majorHAnsi" w:hAnsiTheme="majorHAnsi" w:cstheme="majorHAnsi"/>
        </w:rPr>
        <w:t>move it to a cloud-hosted hypervisor that mirrors the on-premises environment.</w:t>
      </w:r>
    </w:p>
    <w:p w14:paraId="0000046D" w14:textId="0000046E" w:rsidR="000B0F63" w:rsidRPr="00A61669" w:rsidRDefault="00C05D22" w:rsidP="00F57DAB">
      <w:pPr>
        <w:pStyle w:val="ListBullet"/>
        <w:numPr>
          <w:ilvl w:val="0"/>
          <w:numId w:val="17"/>
        </w:numPr>
        <w:jc w:val="both"/>
        <w:rPr>
          <w:rFonts w:asciiTheme="majorHAnsi" w:hAnsiTheme="majorHAnsi" w:cstheme="majorHAnsi"/>
        </w:rPr>
      </w:pPr>
      <w:r w:rsidRPr="00A61669">
        <w:rPr>
          <w:rFonts w:asciiTheme="majorHAnsi" w:hAnsiTheme="majorHAnsi" w:cstheme="majorHAnsi"/>
          <w:b/>
        </w:rPr>
        <w:t xml:space="preserve">Rehost: </w:t>
      </w:r>
      <w:r w:rsidRPr="00A61669">
        <w:rPr>
          <w:rFonts w:asciiTheme="majorHAnsi" w:hAnsiTheme="majorHAnsi" w:cstheme="majorHAnsi"/>
        </w:rPr>
        <w:t>lift and shift to cloud VMs. Minimal change.</w:t>
      </w:r>
    </w:p>
    <w:p w14:paraId="0000046F" w14:textId="38A731E2" w:rsidR="000B0F63" w:rsidRPr="00A61669" w:rsidRDefault="00C05D22" w:rsidP="00F57DAB">
      <w:pPr>
        <w:pStyle w:val="ListBullet"/>
        <w:numPr>
          <w:ilvl w:val="0"/>
          <w:numId w:val="17"/>
        </w:numPr>
        <w:jc w:val="both"/>
        <w:rPr>
          <w:rFonts w:asciiTheme="majorHAnsi" w:hAnsiTheme="majorHAnsi" w:cstheme="majorHAnsi"/>
        </w:rPr>
      </w:pPr>
      <w:r w:rsidRPr="00A61669">
        <w:rPr>
          <w:rFonts w:asciiTheme="majorHAnsi" w:hAnsiTheme="majorHAnsi" w:cstheme="majorHAnsi"/>
          <w:b/>
        </w:rPr>
        <w:t xml:space="preserve">Replatform: </w:t>
      </w:r>
      <w:r w:rsidRPr="00A61669">
        <w:rPr>
          <w:rFonts w:asciiTheme="majorHAnsi" w:hAnsiTheme="majorHAnsi" w:cstheme="majorHAnsi"/>
        </w:rPr>
        <w:t>move to cloud with modest changes (for example, managed database instead of self-managed</w:t>
      </w:r>
      <w:r w:rsidR="004120AD" w:rsidRPr="00A61669">
        <w:rPr>
          <w:rFonts w:asciiTheme="majorHAnsi" w:hAnsiTheme="majorHAnsi" w:cstheme="majorHAnsi"/>
        </w:rPr>
        <w:t xml:space="preserve">, or </w:t>
      </w:r>
      <w:r w:rsidR="004120AD" w:rsidRPr="00A61669">
        <w:rPr>
          <w:rFonts w:asciiTheme="majorHAnsi" w:hAnsiTheme="majorHAnsi" w:cstheme="majorHAnsi"/>
          <w:color w:val="0F141A"/>
          <w:shd w:val="clear" w:color="auto" w:fill="FFFFFF"/>
        </w:rPr>
        <w:t>upgrading operating system to the latest version</w:t>
      </w:r>
      <w:r w:rsidRPr="00A61669">
        <w:rPr>
          <w:rFonts w:asciiTheme="majorHAnsi" w:hAnsiTheme="majorHAnsi" w:cstheme="majorHAnsi"/>
        </w:rPr>
        <w:t>.</w:t>
      </w:r>
      <w:r w:rsidR="004120AD" w:rsidRPr="00A61669">
        <w:rPr>
          <w:rFonts w:asciiTheme="majorHAnsi" w:hAnsiTheme="majorHAnsi" w:cstheme="majorHAnsi"/>
        </w:rPr>
        <w:t>)</w:t>
      </w:r>
    </w:p>
    <w:p w14:paraId="00000471" w14:textId="00000472" w:rsidR="000B0F63" w:rsidRPr="00A61669" w:rsidRDefault="00C05D22" w:rsidP="00F57DAB">
      <w:pPr>
        <w:pStyle w:val="ListBullet"/>
        <w:numPr>
          <w:ilvl w:val="0"/>
          <w:numId w:val="17"/>
        </w:numPr>
        <w:jc w:val="both"/>
        <w:rPr>
          <w:rFonts w:asciiTheme="majorHAnsi" w:hAnsiTheme="majorHAnsi" w:cstheme="majorHAnsi"/>
        </w:rPr>
      </w:pPr>
      <w:r w:rsidRPr="00A61669">
        <w:rPr>
          <w:rFonts w:asciiTheme="majorHAnsi" w:hAnsiTheme="majorHAnsi" w:cstheme="majorHAnsi"/>
          <w:b/>
        </w:rPr>
        <w:t xml:space="preserve">Repurchase: </w:t>
      </w:r>
      <w:r w:rsidRPr="00A61669">
        <w:rPr>
          <w:rFonts w:asciiTheme="majorHAnsi" w:hAnsiTheme="majorHAnsi" w:cstheme="majorHAnsi"/>
        </w:rPr>
        <w:t>replace with a SaaS equivalent.</w:t>
      </w:r>
    </w:p>
    <w:p w14:paraId="00000473" w14:textId="2015C4E6" w:rsidR="000B0F63" w:rsidRPr="00A61669" w:rsidRDefault="00C05D22" w:rsidP="00F57DAB">
      <w:pPr>
        <w:pStyle w:val="ListBullet"/>
        <w:numPr>
          <w:ilvl w:val="0"/>
          <w:numId w:val="17"/>
        </w:numPr>
        <w:jc w:val="both"/>
        <w:rPr>
          <w:rFonts w:asciiTheme="majorHAnsi" w:hAnsiTheme="majorHAnsi" w:cstheme="majorHAnsi"/>
        </w:rPr>
      </w:pPr>
      <w:r w:rsidRPr="00A61669">
        <w:rPr>
          <w:rFonts w:asciiTheme="majorHAnsi" w:hAnsiTheme="majorHAnsi" w:cstheme="majorHAnsi"/>
          <w:b/>
        </w:rPr>
        <w:t>Rearchitect</w:t>
      </w:r>
      <w:r w:rsidR="00E871AF" w:rsidRPr="00A61669">
        <w:rPr>
          <w:rFonts w:asciiTheme="majorHAnsi" w:hAnsiTheme="majorHAnsi" w:cstheme="majorHAnsi"/>
          <w:b/>
        </w:rPr>
        <w:t>/R</w:t>
      </w:r>
      <w:r w:rsidRPr="00A61669">
        <w:rPr>
          <w:rFonts w:asciiTheme="majorHAnsi" w:hAnsiTheme="majorHAnsi" w:cstheme="majorHAnsi"/>
          <w:b/>
        </w:rPr>
        <w:t xml:space="preserve">efactor: </w:t>
      </w:r>
      <w:r w:rsidRPr="00A61669">
        <w:rPr>
          <w:rFonts w:asciiTheme="majorHAnsi" w:hAnsiTheme="majorHAnsi" w:cstheme="majorHAnsi"/>
        </w:rPr>
        <w:t>re-engineer the application to use cloud-native services.</w:t>
      </w:r>
    </w:p>
    <w:p w14:paraId="00000475" w14:textId="5E13A9E3"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A per-application 7R classification across the full estate is a </w:t>
      </w:r>
      <w:r w:rsidR="00100959" w:rsidRPr="00A61669">
        <w:rPr>
          <w:rFonts w:asciiTheme="majorHAnsi" w:hAnsiTheme="majorHAnsi" w:cstheme="majorHAnsi"/>
        </w:rPr>
        <w:t>Part 2</w:t>
      </w:r>
      <w:r w:rsidRPr="00A61669">
        <w:rPr>
          <w:rFonts w:asciiTheme="majorHAnsi" w:hAnsiTheme="majorHAnsi" w:cstheme="majorHAnsi"/>
        </w:rPr>
        <w:t xml:space="preserve"> activity. What can </w:t>
      </w:r>
      <w:r w:rsidR="00E436A1" w:rsidRPr="00A61669">
        <w:rPr>
          <w:rFonts w:asciiTheme="majorHAnsi" w:hAnsiTheme="majorHAnsi" w:cstheme="majorHAnsi"/>
        </w:rPr>
        <w:t xml:space="preserve">be </w:t>
      </w:r>
      <w:r w:rsidRPr="00A61669">
        <w:rPr>
          <w:rFonts w:asciiTheme="majorHAnsi" w:hAnsiTheme="majorHAnsi" w:cstheme="majorHAnsi"/>
        </w:rPr>
        <w:t>do</w:t>
      </w:r>
      <w:r w:rsidR="00E436A1" w:rsidRPr="00A61669">
        <w:rPr>
          <w:rFonts w:asciiTheme="majorHAnsi" w:hAnsiTheme="majorHAnsi" w:cstheme="majorHAnsi"/>
        </w:rPr>
        <w:t>ne</w:t>
      </w:r>
      <w:r w:rsidRPr="00A61669">
        <w:rPr>
          <w:rFonts w:asciiTheme="majorHAnsi" w:hAnsiTheme="majorHAnsi" w:cstheme="majorHAnsi"/>
        </w:rPr>
        <w:t xml:space="preserve"> now is highlight areas that stood out during the workshops as candidates for each category.</w:t>
      </w:r>
    </w:p>
    <w:p w14:paraId="00000477" w14:textId="00000478" w:rsidR="000B0F63" w:rsidRPr="00A61669" w:rsidRDefault="1BAB210A" w:rsidP="00E40261">
      <w:pPr>
        <w:pStyle w:val="Heading2"/>
        <w:jc w:val="both"/>
        <w:rPr>
          <w:rFonts w:asciiTheme="majorHAnsi" w:hAnsiTheme="majorHAnsi" w:cstheme="majorHAnsi"/>
        </w:rPr>
      </w:pPr>
      <w:bookmarkStart w:id="127" w:name="_Toc167"/>
      <w:bookmarkStart w:id="128" w:name="_Toc227770950"/>
      <w:r w:rsidRPr="00A61669">
        <w:rPr>
          <w:rFonts w:asciiTheme="majorHAnsi" w:hAnsiTheme="majorHAnsi" w:cstheme="majorHAnsi"/>
        </w:rPr>
        <w:t>Areas Of Interest From The Workshops</w:t>
      </w:r>
      <w:bookmarkEnd w:id="127"/>
      <w:bookmarkEnd w:id="128"/>
    </w:p>
    <w:p w14:paraId="00000479" w14:textId="67E61D67"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The following application-level opportunities emerged during the nine application workshops. They are framed as starting points for </w:t>
      </w:r>
      <w:r w:rsidR="00100959" w:rsidRPr="00A61669">
        <w:rPr>
          <w:rFonts w:asciiTheme="majorHAnsi" w:hAnsiTheme="majorHAnsi" w:cstheme="majorHAnsi"/>
        </w:rPr>
        <w:t>Part 2</w:t>
      </w:r>
      <w:r w:rsidRPr="00A61669">
        <w:rPr>
          <w:rFonts w:asciiTheme="majorHAnsi" w:hAnsiTheme="majorHAnsi" w:cstheme="majorHAnsi"/>
        </w:rPr>
        <w:t xml:space="preserve"> discussion, not as finalised 7R decisions.</w:t>
      </w:r>
    </w:p>
    <w:p w14:paraId="0000047B" w14:textId="70C10AAC" w:rsidR="000B0F63" w:rsidRPr="00A61669" w:rsidRDefault="00C05D22" w:rsidP="00F57DAB">
      <w:pPr>
        <w:pStyle w:val="ListBullet"/>
        <w:numPr>
          <w:ilvl w:val="0"/>
          <w:numId w:val="18"/>
        </w:numPr>
        <w:rPr>
          <w:rFonts w:asciiTheme="majorHAnsi" w:hAnsiTheme="majorHAnsi" w:cstheme="majorHAnsi"/>
        </w:rPr>
      </w:pPr>
      <w:r w:rsidRPr="00A61669">
        <w:rPr>
          <w:rFonts w:asciiTheme="majorHAnsi" w:hAnsiTheme="majorHAnsi" w:cstheme="majorHAnsi"/>
          <w:b/>
        </w:rPr>
        <w:t xml:space="preserve">Retire candidates: </w:t>
      </w:r>
      <w:r w:rsidRPr="00A61669">
        <w:rPr>
          <w:rFonts w:asciiTheme="majorHAnsi" w:hAnsiTheme="majorHAnsi" w:cstheme="majorHAnsi"/>
        </w:rPr>
        <w:t>IBM Lotus Notes (legacy collaboration, SaaS replacement natural path), Atex 5.5 (32-bit, incompatible with modern cloud VMs, retire when Atex 6 complete), Mediaplanner (aging custom tooling).</w:t>
      </w:r>
    </w:p>
    <w:p w14:paraId="0000047D" w14:textId="0000047E" w:rsidR="000B0F63" w:rsidRPr="00A61669" w:rsidRDefault="00C05D22" w:rsidP="00F57DAB">
      <w:pPr>
        <w:pStyle w:val="ListBullet"/>
        <w:numPr>
          <w:ilvl w:val="0"/>
          <w:numId w:val="18"/>
        </w:numPr>
        <w:rPr>
          <w:rFonts w:asciiTheme="majorHAnsi" w:hAnsiTheme="majorHAnsi" w:cstheme="majorHAnsi"/>
        </w:rPr>
      </w:pPr>
      <w:r w:rsidRPr="00A61669">
        <w:rPr>
          <w:rFonts w:asciiTheme="majorHAnsi" w:hAnsiTheme="majorHAnsi" w:cstheme="majorHAnsi"/>
          <w:b/>
        </w:rPr>
        <w:t xml:space="preserve">Repurchase candidates: </w:t>
      </w:r>
      <w:r w:rsidRPr="00A61669">
        <w:rPr>
          <w:rFonts w:asciiTheme="majorHAnsi" w:hAnsiTheme="majorHAnsi" w:cstheme="majorHAnsi"/>
        </w:rPr>
        <w:t>IBM Lotus Notes replacement (Microsoft 365 or Google Workspace). SolarWinds and Zabbix can be replaced by cloud-native monitoring as part of landing zone build.</w:t>
      </w:r>
    </w:p>
    <w:p w14:paraId="0000047F" w14:textId="5476E736" w:rsidR="000B0F63" w:rsidRPr="00A61669" w:rsidRDefault="00C05D22" w:rsidP="00F57DAB">
      <w:pPr>
        <w:pStyle w:val="ListBullet"/>
        <w:numPr>
          <w:ilvl w:val="0"/>
          <w:numId w:val="18"/>
        </w:numPr>
        <w:rPr>
          <w:rFonts w:asciiTheme="majorHAnsi" w:hAnsiTheme="majorHAnsi" w:cstheme="majorHAnsi"/>
        </w:rPr>
      </w:pPr>
      <w:r w:rsidRPr="00A61669">
        <w:rPr>
          <w:rFonts w:asciiTheme="majorHAnsi" w:hAnsiTheme="majorHAnsi" w:cstheme="majorHAnsi"/>
          <w:b/>
        </w:rPr>
        <w:t xml:space="preserve">Replatform candidates: </w:t>
      </w:r>
      <w:r w:rsidRPr="00A61669">
        <w:rPr>
          <w:rFonts w:asciiTheme="majorHAnsi" w:hAnsiTheme="majorHAnsi" w:cstheme="majorHAnsi"/>
        </w:rPr>
        <w:t xml:space="preserve">the </w:t>
      </w:r>
      <w:r w:rsidR="00DB074E" w:rsidRPr="00A61669">
        <w:rPr>
          <w:rFonts w:asciiTheme="majorHAnsi" w:hAnsiTheme="majorHAnsi" w:cstheme="majorHAnsi"/>
        </w:rPr>
        <w:t>33</w:t>
      </w:r>
      <w:r w:rsidRPr="00A61669">
        <w:rPr>
          <w:rFonts w:asciiTheme="majorHAnsi" w:hAnsiTheme="majorHAnsi" w:cstheme="majorHAnsi"/>
        </w:rPr>
        <w:t xml:space="preserve"> SQL Server instances are candidates for managed SQL (Cloud SQL, RDS, Azure SQL). Oracle is a special case covered in Section 5.</w:t>
      </w:r>
    </w:p>
    <w:p w14:paraId="00000481" w14:textId="78979A72" w:rsidR="000B0F63" w:rsidRPr="00A61669" w:rsidRDefault="00C05D22" w:rsidP="00F57DAB">
      <w:pPr>
        <w:pStyle w:val="ListBullet"/>
        <w:numPr>
          <w:ilvl w:val="0"/>
          <w:numId w:val="18"/>
        </w:numPr>
        <w:rPr>
          <w:rFonts w:asciiTheme="majorHAnsi" w:hAnsiTheme="majorHAnsi" w:cstheme="majorHAnsi"/>
        </w:rPr>
      </w:pPr>
      <w:r w:rsidRPr="00A61669">
        <w:rPr>
          <w:rFonts w:asciiTheme="majorHAnsi" w:hAnsiTheme="majorHAnsi" w:cstheme="majorHAnsi"/>
          <w:b/>
        </w:rPr>
        <w:lastRenderedPageBreak/>
        <w:t xml:space="preserve">Rehost candidates: </w:t>
      </w:r>
      <w:r w:rsidR="00490323" w:rsidRPr="00A61669">
        <w:rPr>
          <w:rFonts w:asciiTheme="majorHAnsi" w:hAnsiTheme="majorHAnsi" w:cstheme="majorHAnsi"/>
        </w:rPr>
        <w:t>Mail Online</w:t>
      </w:r>
      <w:r w:rsidRPr="00A61669">
        <w:rPr>
          <w:rFonts w:asciiTheme="majorHAnsi" w:hAnsiTheme="majorHAnsi" w:cstheme="majorHAnsi"/>
        </w:rPr>
        <w:t xml:space="preserve"> sub-components without tight Oracle coupling (many of the 91 identified sub-services). Standard business applications with modern OS. Shared services and tooling.</w:t>
      </w:r>
    </w:p>
    <w:p w14:paraId="00000483" w14:textId="6E09A8CC" w:rsidR="000B0F63" w:rsidRPr="00A61669" w:rsidRDefault="00C05D22" w:rsidP="00F57DAB">
      <w:pPr>
        <w:pStyle w:val="ListBullet"/>
        <w:numPr>
          <w:ilvl w:val="0"/>
          <w:numId w:val="18"/>
        </w:numPr>
        <w:rPr>
          <w:rFonts w:asciiTheme="majorHAnsi" w:hAnsiTheme="majorHAnsi" w:cstheme="majorHAnsi"/>
        </w:rPr>
      </w:pPr>
      <w:r w:rsidRPr="00A61669">
        <w:rPr>
          <w:rFonts w:asciiTheme="majorHAnsi" w:hAnsiTheme="majorHAnsi" w:cstheme="majorHAnsi"/>
          <w:b/>
        </w:rPr>
        <w:t xml:space="preserve">Rearchitect candidates: </w:t>
      </w:r>
      <w:r w:rsidR="00490323" w:rsidRPr="00A61669">
        <w:rPr>
          <w:rFonts w:asciiTheme="majorHAnsi" w:hAnsiTheme="majorHAnsi" w:cstheme="majorHAnsi"/>
        </w:rPr>
        <w:t>Mail Online</w:t>
      </w:r>
      <w:r w:rsidRPr="00A61669">
        <w:rPr>
          <w:rFonts w:asciiTheme="majorHAnsi" w:hAnsiTheme="majorHAnsi" w:cstheme="majorHAnsi"/>
        </w:rPr>
        <w:t xml:space="preserve"> RTA (Real-Time Analytics) significantly overprovisioned. Kubernetes adoption path already started at DMG Media (PoC in flight).</w:t>
      </w:r>
    </w:p>
    <w:p w14:paraId="00000485" w14:textId="44F7D53B"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The list above reflects application owner input captured during workshops and is indicative. Final 7R classification per application is a </w:t>
      </w:r>
      <w:r w:rsidR="00100959" w:rsidRPr="00A61669">
        <w:rPr>
          <w:rFonts w:asciiTheme="majorHAnsi" w:hAnsiTheme="majorHAnsi" w:cstheme="majorHAnsi"/>
        </w:rPr>
        <w:t>Part 2</w:t>
      </w:r>
      <w:r w:rsidRPr="00A61669">
        <w:rPr>
          <w:rFonts w:asciiTheme="majorHAnsi" w:hAnsiTheme="majorHAnsi" w:cstheme="majorHAnsi"/>
        </w:rPr>
        <w:t xml:space="preserve"> activity.</w:t>
      </w:r>
    </w:p>
    <w:p w14:paraId="00000487" w14:textId="00000488" w:rsidR="000B0F63" w:rsidRPr="00A61669" w:rsidRDefault="1BAB210A" w:rsidP="00E40261">
      <w:pPr>
        <w:pStyle w:val="Heading2"/>
        <w:jc w:val="both"/>
        <w:rPr>
          <w:rFonts w:asciiTheme="majorHAnsi" w:hAnsiTheme="majorHAnsi" w:cstheme="majorHAnsi"/>
        </w:rPr>
      </w:pPr>
      <w:bookmarkStart w:id="129" w:name="_Toc168"/>
      <w:bookmarkStart w:id="130" w:name="_Toc227770951"/>
      <w:r w:rsidRPr="00A61669">
        <w:rPr>
          <w:rFonts w:asciiTheme="majorHAnsi" w:hAnsiTheme="majorHAnsi" w:cstheme="majorHAnsi"/>
        </w:rPr>
        <w:t>Migration Cohorts</w:t>
      </w:r>
      <w:bookmarkEnd w:id="129"/>
      <w:bookmarkEnd w:id="130"/>
    </w:p>
    <w:p w14:paraId="00000489" w14:textId="2619EFA8"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Applications group into five cohorts based on readiness, complexity, and dependencies. These are indicative at </w:t>
      </w:r>
      <w:r w:rsidR="003B3BF7" w:rsidRPr="00A61669">
        <w:rPr>
          <w:rFonts w:asciiTheme="majorHAnsi" w:hAnsiTheme="majorHAnsi" w:cstheme="majorHAnsi"/>
        </w:rPr>
        <w:t>Part</w:t>
      </w:r>
      <w:r w:rsidRPr="00A61669">
        <w:rPr>
          <w:rFonts w:asciiTheme="majorHAnsi" w:hAnsiTheme="majorHAnsi" w:cstheme="majorHAnsi"/>
        </w:rPr>
        <w:t xml:space="preserve"> 1 level. P</w:t>
      </w:r>
      <w:r w:rsidR="003B3BF7" w:rsidRPr="00A61669">
        <w:rPr>
          <w:rFonts w:asciiTheme="majorHAnsi" w:hAnsiTheme="majorHAnsi" w:cstheme="majorHAnsi"/>
        </w:rPr>
        <w:t>art</w:t>
      </w:r>
      <w:r w:rsidRPr="00A61669">
        <w:rPr>
          <w:rFonts w:asciiTheme="majorHAnsi" w:hAnsiTheme="majorHAnsi" w:cstheme="majorHAnsi"/>
        </w:rPr>
        <w:t xml:space="preserve"> 2 refines them into a detailed release plan.</w:t>
      </w:r>
    </w:p>
    <w:tbl>
      <w:tblPr>
        <w:tblW w:w="9720" w:type="dxa"/>
        <w:tblCellMar>
          <w:top w:w="100" w:type="dxa"/>
          <w:left w:w="100" w:type="dxa"/>
          <w:bottom w:w="100" w:type="dxa"/>
          <w:right w:w="100" w:type="dxa"/>
        </w:tblCellMar>
        <w:tblLook w:val="04A0" w:firstRow="1" w:lastRow="0" w:firstColumn="1" w:lastColumn="0" w:noHBand="0" w:noVBand="1"/>
      </w:tblPr>
      <w:tblGrid>
        <w:gridCol w:w="1944"/>
        <w:gridCol w:w="2446"/>
        <w:gridCol w:w="1275"/>
        <w:gridCol w:w="1276"/>
        <w:gridCol w:w="2779"/>
      </w:tblGrid>
      <w:tr w:rsidR="00AB10D7" w14:paraId="3C9B244E" w14:textId="77777777" w:rsidTr="1524DEBB">
        <w:tc>
          <w:tcPr>
            <w:tcW w:w="1944" w:type="dxa"/>
            <w:shd w:val="clear" w:color="auto" w:fill="D9D9D9" w:themeFill="background1" w:themeFillShade="D9"/>
            <w:tcMar>
              <w:top w:w="100" w:type="dxa"/>
              <w:left w:w="100" w:type="dxa"/>
              <w:bottom w:w="100" w:type="dxa"/>
              <w:right w:w="100" w:type="dxa"/>
            </w:tcMar>
            <w:vAlign w:val="center"/>
          </w:tcPr>
          <w:p w14:paraId="0000048B" w14:textId="0000048C" w:rsidR="000B0F63" w:rsidRPr="00A61669" w:rsidRDefault="00C05D22" w:rsidP="00A34904">
            <w:pPr>
              <w:pStyle w:val="TableHeader"/>
              <w:jc w:val="center"/>
              <w:rPr>
                <w:rFonts w:asciiTheme="majorHAnsi" w:hAnsiTheme="majorHAnsi" w:cstheme="majorHAnsi"/>
              </w:rPr>
            </w:pPr>
            <w:r w:rsidRPr="00A61669">
              <w:rPr>
                <w:rFonts w:asciiTheme="majorHAnsi" w:hAnsiTheme="majorHAnsi" w:cstheme="majorHAnsi"/>
              </w:rPr>
              <w:t>Cohort</w:t>
            </w:r>
          </w:p>
        </w:tc>
        <w:tc>
          <w:tcPr>
            <w:tcW w:w="2446" w:type="dxa"/>
            <w:shd w:val="clear" w:color="auto" w:fill="D9D9D9" w:themeFill="background1" w:themeFillShade="D9"/>
            <w:tcMar>
              <w:top w:w="100" w:type="dxa"/>
              <w:left w:w="100" w:type="dxa"/>
              <w:bottom w:w="100" w:type="dxa"/>
              <w:right w:w="100" w:type="dxa"/>
            </w:tcMar>
            <w:vAlign w:val="center"/>
          </w:tcPr>
          <w:p w14:paraId="0000048D" w14:textId="0000048E" w:rsidR="000B0F63" w:rsidRPr="00A61669" w:rsidRDefault="00C05D22" w:rsidP="00A34904">
            <w:pPr>
              <w:pStyle w:val="TableHeader"/>
              <w:jc w:val="center"/>
              <w:rPr>
                <w:rFonts w:asciiTheme="majorHAnsi" w:hAnsiTheme="majorHAnsi" w:cstheme="majorHAnsi"/>
              </w:rPr>
            </w:pPr>
            <w:r w:rsidRPr="00A61669">
              <w:rPr>
                <w:rFonts w:asciiTheme="majorHAnsi" w:hAnsiTheme="majorHAnsi" w:cstheme="majorHAnsi"/>
              </w:rPr>
              <w:t>Description</w:t>
            </w:r>
          </w:p>
        </w:tc>
        <w:tc>
          <w:tcPr>
            <w:tcW w:w="1275" w:type="dxa"/>
            <w:shd w:val="clear" w:color="auto" w:fill="D9D9D9" w:themeFill="background1" w:themeFillShade="D9"/>
            <w:tcMar>
              <w:top w:w="100" w:type="dxa"/>
              <w:left w:w="100" w:type="dxa"/>
              <w:bottom w:w="100" w:type="dxa"/>
              <w:right w:w="100" w:type="dxa"/>
            </w:tcMar>
            <w:vAlign w:val="center"/>
          </w:tcPr>
          <w:p w14:paraId="0000048F" w14:textId="00000490" w:rsidR="000B0F63" w:rsidRPr="00A61669" w:rsidRDefault="00C05D22" w:rsidP="00A34904">
            <w:pPr>
              <w:pStyle w:val="TableHeader"/>
              <w:jc w:val="center"/>
              <w:rPr>
                <w:rFonts w:asciiTheme="majorHAnsi" w:hAnsiTheme="majorHAnsi" w:cstheme="majorHAnsi"/>
              </w:rPr>
            </w:pPr>
            <w:r w:rsidRPr="00A61669">
              <w:rPr>
                <w:rFonts w:asciiTheme="majorHAnsi" w:hAnsiTheme="majorHAnsi" w:cstheme="majorHAnsi"/>
              </w:rPr>
              <w:t>Apps</w:t>
            </w:r>
          </w:p>
        </w:tc>
        <w:tc>
          <w:tcPr>
            <w:tcW w:w="1276" w:type="dxa"/>
            <w:shd w:val="clear" w:color="auto" w:fill="D9D9D9" w:themeFill="background1" w:themeFillShade="D9"/>
            <w:tcMar>
              <w:top w:w="100" w:type="dxa"/>
              <w:left w:w="100" w:type="dxa"/>
              <w:bottom w:w="100" w:type="dxa"/>
              <w:right w:w="100" w:type="dxa"/>
            </w:tcMar>
            <w:vAlign w:val="center"/>
          </w:tcPr>
          <w:p w14:paraId="00000491" w14:textId="00000492" w:rsidR="000B0F63" w:rsidRPr="00A61669" w:rsidRDefault="00C05D22" w:rsidP="00A34904">
            <w:pPr>
              <w:pStyle w:val="TableHeader"/>
              <w:jc w:val="center"/>
              <w:rPr>
                <w:rFonts w:asciiTheme="majorHAnsi" w:hAnsiTheme="majorHAnsi" w:cstheme="majorHAnsi"/>
              </w:rPr>
            </w:pPr>
            <w:r w:rsidRPr="00A61669">
              <w:rPr>
                <w:rFonts w:asciiTheme="majorHAnsi" w:hAnsiTheme="majorHAnsi" w:cstheme="majorHAnsi"/>
              </w:rPr>
              <w:t>Servers</w:t>
            </w:r>
          </w:p>
        </w:tc>
        <w:tc>
          <w:tcPr>
            <w:tcW w:w="2779" w:type="dxa"/>
            <w:shd w:val="clear" w:color="auto" w:fill="D9D9D9" w:themeFill="background1" w:themeFillShade="D9"/>
            <w:tcMar>
              <w:top w:w="100" w:type="dxa"/>
              <w:left w:w="100" w:type="dxa"/>
              <w:bottom w:w="100" w:type="dxa"/>
              <w:right w:w="100" w:type="dxa"/>
            </w:tcMar>
            <w:vAlign w:val="center"/>
          </w:tcPr>
          <w:p w14:paraId="00000493" w14:textId="00000494" w:rsidR="000B0F63" w:rsidRPr="00A61669" w:rsidRDefault="00C05D22" w:rsidP="00A34904">
            <w:pPr>
              <w:pStyle w:val="TableHeader"/>
              <w:jc w:val="center"/>
              <w:rPr>
                <w:rFonts w:asciiTheme="majorHAnsi" w:hAnsiTheme="majorHAnsi" w:cstheme="majorHAnsi"/>
              </w:rPr>
            </w:pPr>
            <w:r w:rsidRPr="00A61669">
              <w:rPr>
                <w:rFonts w:asciiTheme="majorHAnsi" w:hAnsiTheme="majorHAnsi" w:cstheme="majorHAnsi"/>
              </w:rPr>
              <w:t>Characteristics</w:t>
            </w:r>
          </w:p>
        </w:tc>
      </w:tr>
      <w:tr w:rsidR="006860A9" w14:paraId="33F24E37" w14:textId="77777777" w:rsidTr="1524DEBB">
        <w:tc>
          <w:tcPr>
            <w:tcW w:w="1944" w:type="dxa"/>
            <w:tcMar>
              <w:top w:w="100" w:type="dxa"/>
              <w:left w:w="100" w:type="dxa"/>
              <w:bottom w:w="100" w:type="dxa"/>
              <w:right w:w="100" w:type="dxa"/>
            </w:tcMar>
            <w:vAlign w:val="center"/>
          </w:tcPr>
          <w:p w14:paraId="00000495" w14:textId="00000496"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rPr>
              <w:t>Cohort 0 - Foundation</w:t>
            </w:r>
          </w:p>
        </w:tc>
        <w:tc>
          <w:tcPr>
            <w:tcW w:w="2446" w:type="dxa"/>
            <w:tcMar>
              <w:top w:w="100" w:type="dxa"/>
              <w:left w:w="100" w:type="dxa"/>
              <w:bottom w:w="100" w:type="dxa"/>
              <w:right w:w="100" w:type="dxa"/>
            </w:tcMar>
            <w:vAlign w:val="center"/>
          </w:tcPr>
          <w:p w14:paraId="00000497" w14:textId="00000498" w:rsidR="000B0F63" w:rsidRPr="00A61669" w:rsidRDefault="00C05D22" w:rsidP="00A34904">
            <w:pPr>
              <w:pStyle w:val="TableInfo"/>
              <w:rPr>
                <w:rFonts w:asciiTheme="majorHAnsi" w:hAnsiTheme="majorHAnsi" w:cstheme="majorHAnsi"/>
              </w:rPr>
            </w:pPr>
            <w:r w:rsidRPr="00A61669">
              <w:rPr>
                <w:rFonts w:asciiTheme="majorHAnsi" w:hAnsiTheme="majorHAnsi" w:cstheme="majorHAnsi"/>
              </w:rPr>
              <w:t>Infrastructure services that must exist before application migration</w:t>
            </w:r>
          </w:p>
        </w:tc>
        <w:tc>
          <w:tcPr>
            <w:tcW w:w="1275" w:type="dxa"/>
            <w:tcMar>
              <w:top w:w="100" w:type="dxa"/>
              <w:left w:w="100" w:type="dxa"/>
              <w:bottom w:w="100" w:type="dxa"/>
              <w:right w:w="100" w:type="dxa"/>
            </w:tcMar>
            <w:vAlign w:val="center"/>
          </w:tcPr>
          <w:p w14:paraId="00000499" w14:textId="0000049A"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rPr>
              <w:t>5</w:t>
            </w:r>
          </w:p>
        </w:tc>
        <w:tc>
          <w:tcPr>
            <w:tcW w:w="1276" w:type="dxa"/>
            <w:tcMar>
              <w:top w:w="100" w:type="dxa"/>
              <w:left w:w="100" w:type="dxa"/>
              <w:bottom w:w="100" w:type="dxa"/>
              <w:right w:w="100" w:type="dxa"/>
            </w:tcMar>
            <w:vAlign w:val="center"/>
          </w:tcPr>
          <w:p w14:paraId="0000049B" w14:textId="0000049C"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rPr>
              <w:t>95</w:t>
            </w:r>
          </w:p>
        </w:tc>
        <w:tc>
          <w:tcPr>
            <w:tcW w:w="2779" w:type="dxa"/>
            <w:tcMar>
              <w:top w:w="100" w:type="dxa"/>
              <w:left w:w="100" w:type="dxa"/>
              <w:bottom w:w="100" w:type="dxa"/>
              <w:right w:w="100" w:type="dxa"/>
            </w:tcMar>
            <w:vAlign w:val="center"/>
          </w:tcPr>
          <w:p w14:paraId="0000049D" w14:textId="0000049E" w:rsidR="000B0F63" w:rsidRPr="00A61669" w:rsidRDefault="00C05D22" w:rsidP="00A34904">
            <w:pPr>
              <w:pStyle w:val="TableInfo"/>
              <w:rPr>
                <w:rFonts w:asciiTheme="majorHAnsi" w:hAnsiTheme="majorHAnsi" w:cstheme="majorHAnsi"/>
              </w:rPr>
            </w:pPr>
            <w:r w:rsidRPr="00A61669">
              <w:rPr>
                <w:rFonts w:asciiTheme="majorHAnsi" w:hAnsiTheme="majorHAnsi" w:cstheme="majorHAnsi"/>
              </w:rPr>
              <w:t>AD, monitoring, security, config management</w:t>
            </w:r>
          </w:p>
        </w:tc>
      </w:tr>
      <w:tr w:rsidR="006860A9" w14:paraId="777C479A" w14:textId="77777777" w:rsidTr="1524DEBB">
        <w:tc>
          <w:tcPr>
            <w:tcW w:w="1944" w:type="dxa"/>
            <w:tcMar>
              <w:top w:w="100" w:type="dxa"/>
              <w:left w:w="100" w:type="dxa"/>
              <w:bottom w:w="100" w:type="dxa"/>
              <w:right w:w="100" w:type="dxa"/>
            </w:tcMar>
            <w:vAlign w:val="center"/>
          </w:tcPr>
          <w:p w14:paraId="0000049F" w14:textId="000004A0"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rPr>
              <w:t>Cohort 1 - Quick Wins</w:t>
            </w:r>
          </w:p>
        </w:tc>
        <w:tc>
          <w:tcPr>
            <w:tcW w:w="2446" w:type="dxa"/>
            <w:tcMar>
              <w:top w:w="100" w:type="dxa"/>
              <w:left w:w="100" w:type="dxa"/>
              <w:bottom w:w="100" w:type="dxa"/>
              <w:right w:w="100" w:type="dxa"/>
            </w:tcMar>
            <w:vAlign w:val="center"/>
          </w:tcPr>
          <w:p w14:paraId="000004A1" w14:textId="000004A2" w:rsidR="000B0F63" w:rsidRPr="00A61669" w:rsidRDefault="00C05D22" w:rsidP="00A34904">
            <w:pPr>
              <w:pStyle w:val="TableInfo"/>
              <w:rPr>
                <w:rFonts w:asciiTheme="majorHAnsi" w:hAnsiTheme="majorHAnsi" w:cstheme="majorHAnsi"/>
              </w:rPr>
            </w:pPr>
            <w:r w:rsidRPr="00A61669">
              <w:rPr>
                <w:rFonts w:asciiTheme="majorHAnsi" w:hAnsiTheme="majorHAnsi" w:cstheme="majorHAnsi"/>
              </w:rPr>
              <w:t>Low-complexity, low-dependency applications</w:t>
            </w:r>
          </w:p>
        </w:tc>
        <w:tc>
          <w:tcPr>
            <w:tcW w:w="1275" w:type="dxa"/>
            <w:tcMar>
              <w:top w:w="100" w:type="dxa"/>
              <w:left w:w="100" w:type="dxa"/>
              <w:bottom w:w="100" w:type="dxa"/>
              <w:right w:w="100" w:type="dxa"/>
            </w:tcMar>
            <w:vAlign w:val="center"/>
          </w:tcPr>
          <w:p w14:paraId="000004A3" w14:textId="000004A4"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rPr>
              <w:t>13</w:t>
            </w:r>
          </w:p>
        </w:tc>
        <w:tc>
          <w:tcPr>
            <w:tcW w:w="1276" w:type="dxa"/>
            <w:tcMar>
              <w:top w:w="100" w:type="dxa"/>
              <w:left w:w="100" w:type="dxa"/>
              <w:bottom w:w="100" w:type="dxa"/>
              <w:right w:w="100" w:type="dxa"/>
            </w:tcMar>
            <w:vAlign w:val="center"/>
          </w:tcPr>
          <w:p w14:paraId="000004A5" w14:textId="000004A6"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rPr>
              <w:t>63</w:t>
            </w:r>
          </w:p>
        </w:tc>
        <w:tc>
          <w:tcPr>
            <w:tcW w:w="2779" w:type="dxa"/>
            <w:tcMar>
              <w:top w:w="100" w:type="dxa"/>
              <w:left w:w="100" w:type="dxa"/>
              <w:bottom w:w="100" w:type="dxa"/>
              <w:right w:w="100" w:type="dxa"/>
            </w:tcMar>
            <w:vAlign w:val="center"/>
          </w:tcPr>
          <w:p w14:paraId="000004A7" w14:textId="000004A8" w:rsidR="000B0F63" w:rsidRPr="00A61669" w:rsidRDefault="00C05D22" w:rsidP="00A34904">
            <w:pPr>
              <w:pStyle w:val="TableInfo"/>
              <w:rPr>
                <w:rFonts w:asciiTheme="majorHAnsi" w:hAnsiTheme="majorHAnsi" w:cstheme="majorHAnsi"/>
              </w:rPr>
            </w:pPr>
            <w:r w:rsidRPr="00A61669">
              <w:rPr>
                <w:rFonts w:asciiTheme="majorHAnsi" w:hAnsiTheme="majorHAnsi" w:cstheme="majorHAnsi"/>
              </w:rPr>
              <w:t>Independent apps, well-discovered, clear cloud fit</w:t>
            </w:r>
          </w:p>
        </w:tc>
      </w:tr>
      <w:tr w:rsidR="006860A9" w14:paraId="7AAC6ADC" w14:textId="77777777" w:rsidTr="1524DEBB">
        <w:tc>
          <w:tcPr>
            <w:tcW w:w="1944" w:type="dxa"/>
            <w:tcMar>
              <w:top w:w="100" w:type="dxa"/>
              <w:left w:w="100" w:type="dxa"/>
              <w:bottom w:w="100" w:type="dxa"/>
              <w:right w:w="100" w:type="dxa"/>
            </w:tcMar>
            <w:vAlign w:val="center"/>
          </w:tcPr>
          <w:p w14:paraId="000004A9" w14:textId="000004AA"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rPr>
              <w:t>Cohort 2 - Planned Migration</w:t>
            </w:r>
          </w:p>
        </w:tc>
        <w:tc>
          <w:tcPr>
            <w:tcW w:w="2446" w:type="dxa"/>
            <w:tcMar>
              <w:top w:w="100" w:type="dxa"/>
              <w:left w:w="100" w:type="dxa"/>
              <w:bottom w:w="100" w:type="dxa"/>
              <w:right w:w="100" w:type="dxa"/>
            </w:tcMar>
            <w:vAlign w:val="center"/>
          </w:tcPr>
          <w:p w14:paraId="000004AB" w14:textId="000004AC" w:rsidR="000B0F63" w:rsidRPr="00A61669" w:rsidRDefault="00C05D22" w:rsidP="00A34904">
            <w:pPr>
              <w:pStyle w:val="TableInfo"/>
              <w:rPr>
                <w:rFonts w:asciiTheme="majorHAnsi" w:hAnsiTheme="majorHAnsi" w:cstheme="majorHAnsi"/>
              </w:rPr>
            </w:pPr>
            <w:r w:rsidRPr="00A61669">
              <w:rPr>
                <w:rFonts w:asciiTheme="majorHAnsi" w:hAnsiTheme="majorHAnsi" w:cstheme="majorHAnsi"/>
              </w:rPr>
              <w:t>Moderate complexity with manageable dependencies</w:t>
            </w:r>
          </w:p>
        </w:tc>
        <w:tc>
          <w:tcPr>
            <w:tcW w:w="1275" w:type="dxa"/>
            <w:tcMar>
              <w:top w:w="100" w:type="dxa"/>
              <w:left w:w="100" w:type="dxa"/>
              <w:bottom w:w="100" w:type="dxa"/>
              <w:right w:w="100" w:type="dxa"/>
            </w:tcMar>
            <w:vAlign w:val="center"/>
          </w:tcPr>
          <w:p w14:paraId="000004AD" w14:textId="000004AE"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rPr>
              <w:t>17</w:t>
            </w:r>
          </w:p>
        </w:tc>
        <w:tc>
          <w:tcPr>
            <w:tcW w:w="1276" w:type="dxa"/>
            <w:tcMar>
              <w:top w:w="100" w:type="dxa"/>
              <w:left w:w="100" w:type="dxa"/>
              <w:bottom w:w="100" w:type="dxa"/>
              <w:right w:w="100" w:type="dxa"/>
            </w:tcMar>
            <w:vAlign w:val="center"/>
          </w:tcPr>
          <w:p w14:paraId="000004AF" w14:textId="000004B0"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rPr>
              <w:t>425</w:t>
            </w:r>
          </w:p>
        </w:tc>
        <w:tc>
          <w:tcPr>
            <w:tcW w:w="2779" w:type="dxa"/>
            <w:tcMar>
              <w:top w:w="100" w:type="dxa"/>
              <w:left w:w="100" w:type="dxa"/>
              <w:bottom w:w="100" w:type="dxa"/>
              <w:right w:w="100" w:type="dxa"/>
            </w:tcMar>
            <w:vAlign w:val="center"/>
          </w:tcPr>
          <w:p w14:paraId="000004B1" w14:textId="000004B2" w:rsidR="000B0F63" w:rsidRPr="00A61669" w:rsidRDefault="00C05D22" w:rsidP="00A34904">
            <w:pPr>
              <w:pStyle w:val="TableInfo"/>
              <w:rPr>
                <w:rFonts w:asciiTheme="majorHAnsi" w:hAnsiTheme="majorHAnsi" w:cstheme="majorHAnsi"/>
              </w:rPr>
            </w:pPr>
            <w:r w:rsidRPr="00A61669">
              <w:rPr>
                <w:rFonts w:asciiTheme="majorHAnsi" w:hAnsiTheme="majorHAnsi" w:cstheme="majorHAnsi"/>
              </w:rPr>
              <w:t>Some database dependencies, cross-app connections, mixed infrastructure</w:t>
            </w:r>
          </w:p>
        </w:tc>
      </w:tr>
      <w:tr w:rsidR="006860A9" w14:paraId="64DE5C2A" w14:textId="77777777" w:rsidTr="1524DEBB">
        <w:tc>
          <w:tcPr>
            <w:tcW w:w="1944" w:type="dxa"/>
            <w:tcMar>
              <w:top w:w="100" w:type="dxa"/>
              <w:left w:w="100" w:type="dxa"/>
              <w:bottom w:w="100" w:type="dxa"/>
              <w:right w:w="100" w:type="dxa"/>
            </w:tcMar>
            <w:vAlign w:val="center"/>
          </w:tcPr>
          <w:p w14:paraId="000004B3" w14:textId="000004B4"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rPr>
              <w:t>Cohort 3 - Complex Migration</w:t>
            </w:r>
          </w:p>
        </w:tc>
        <w:tc>
          <w:tcPr>
            <w:tcW w:w="2446" w:type="dxa"/>
            <w:tcMar>
              <w:top w:w="100" w:type="dxa"/>
              <w:left w:w="100" w:type="dxa"/>
              <w:bottom w:w="100" w:type="dxa"/>
              <w:right w:w="100" w:type="dxa"/>
            </w:tcMar>
            <w:vAlign w:val="center"/>
          </w:tcPr>
          <w:p w14:paraId="000004B5" w14:textId="000004B6" w:rsidR="000B0F63" w:rsidRPr="00A61669" w:rsidRDefault="00C05D22" w:rsidP="00A34904">
            <w:pPr>
              <w:pStyle w:val="TableInfo"/>
              <w:rPr>
                <w:rFonts w:asciiTheme="majorHAnsi" w:hAnsiTheme="majorHAnsi" w:cstheme="majorHAnsi"/>
              </w:rPr>
            </w:pPr>
            <w:r w:rsidRPr="00A61669">
              <w:rPr>
                <w:rFonts w:asciiTheme="majorHAnsi" w:hAnsiTheme="majorHAnsi" w:cstheme="majorHAnsi"/>
              </w:rPr>
              <w:t>High-complexity applications needing detailed planning</w:t>
            </w:r>
          </w:p>
        </w:tc>
        <w:tc>
          <w:tcPr>
            <w:tcW w:w="1275" w:type="dxa"/>
            <w:tcMar>
              <w:top w:w="100" w:type="dxa"/>
              <w:left w:w="100" w:type="dxa"/>
              <w:bottom w:w="100" w:type="dxa"/>
              <w:right w:w="100" w:type="dxa"/>
            </w:tcMar>
            <w:vAlign w:val="center"/>
          </w:tcPr>
          <w:p w14:paraId="000004B7" w14:textId="000004B8"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rPr>
              <w:t>2</w:t>
            </w:r>
          </w:p>
        </w:tc>
        <w:tc>
          <w:tcPr>
            <w:tcW w:w="1276" w:type="dxa"/>
            <w:tcMar>
              <w:top w:w="100" w:type="dxa"/>
              <w:left w:w="100" w:type="dxa"/>
              <w:bottom w:w="100" w:type="dxa"/>
              <w:right w:w="100" w:type="dxa"/>
            </w:tcMar>
            <w:vAlign w:val="center"/>
          </w:tcPr>
          <w:p w14:paraId="000004B9" w14:textId="000004BA"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rPr>
              <w:t>2,342</w:t>
            </w:r>
          </w:p>
        </w:tc>
        <w:tc>
          <w:tcPr>
            <w:tcW w:w="2779" w:type="dxa"/>
            <w:tcMar>
              <w:top w:w="100" w:type="dxa"/>
              <w:left w:w="100" w:type="dxa"/>
              <w:bottom w:w="100" w:type="dxa"/>
              <w:right w:w="100" w:type="dxa"/>
            </w:tcMar>
            <w:vAlign w:val="center"/>
          </w:tcPr>
          <w:p w14:paraId="000004BB" w14:textId="4B72F7A5" w:rsidR="000B0F63" w:rsidRPr="00A61669" w:rsidRDefault="00490323" w:rsidP="00A34904">
            <w:pPr>
              <w:pStyle w:val="TableInfo"/>
              <w:rPr>
                <w:rFonts w:asciiTheme="majorHAnsi" w:hAnsiTheme="majorHAnsi" w:cstheme="majorHAnsi"/>
              </w:rPr>
            </w:pPr>
            <w:r w:rsidRPr="00A61669">
              <w:rPr>
                <w:rFonts w:asciiTheme="majorHAnsi" w:hAnsiTheme="majorHAnsi" w:cstheme="majorHAnsi"/>
              </w:rPr>
              <w:t>Mail Online</w:t>
            </w:r>
            <w:r w:rsidR="00C05D22" w:rsidRPr="00A61669">
              <w:rPr>
                <w:rFonts w:asciiTheme="majorHAnsi" w:hAnsiTheme="majorHAnsi" w:cstheme="majorHAnsi"/>
              </w:rPr>
              <w:t xml:space="preserve"> (2,206) + WPS (136). Oracle dependency, 91 sub-services</w:t>
            </w:r>
          </w:p>
        </w:tc>
      </w:tr>
      <w:tr w:rsidR="006860A9" w14:paraId="5983B61F" w14:textId="77777777" w:rsidTr="1524DEBB">
        <w:tc>
          <w:tcPr>
            <w:tcW w:w="1944" w:type="dxa"/>
            <w:tcMar>
              <w:top w:w="100" w:type="dxa"/>
              <w:left w:w="100" w:type="dxa"/>
              <w:bottom w:w="100" w:type="dxa"/>
              <w:right w:w="100" w:type="dxa"/>
            </w:tcMar>
            <w:vAlign w:val="center"/>
          </w:tcPr>
          <w:p w14:paraId="000004BD" w14:textId="000004BE"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rPr>
              <w:t>Cohort 4 - Business Decision Required</w:t>
            </w:r>
          </w:p>
        </w:tc>
        <w:tc>
          <w:tcPr>
            <w:tcW w:w="2446" w:type="dxa"/>
            <w:tcMar>
              <w:top w:w="100" w:type="dxa"/>
              <w:left w:w="100" w:type="dxa"/>
              <w:bottom w:w="100" w:type="dxa"/>
              <w:right w:w="100" w:type="dxa"/>
            </w:tcMar>
            <w:vAlign w:val="center"/>
          </w:tcPr>
          <w:p w14:paraId="000004BF" w14:textId="000004C0" w:rsidR="000B0F63" w:rsidRPr="00A61669" w:rsidRDefault="00C05D22" w:rsidP="00A34904">
            <w:pPr>
              <w:pStyle w:val="TableInfo"/>
              <w:rPr>
                <w:rFonts w:asciiTheme="majorHAnsi" w:hAnsiTheme="majorHAnsi" w:cstheme="majorHAnsi"/>
              </w:rPr>
            </w:pPr>
            <w:r w:rsidRPr="00A61669">
              <w:rPr>
                <w:rFonts w:asciiTheme="majorHAnsi" w:hAnsiTheme="majorHAnsi" w:cstheme="majorHAnsi"/>
              </w:rPr>
              <w:t>Applications where a strategic decision is needed first</w:t>
            </w:r>
          </w:p>
        </w:tc>
        <w:tc>
          <w:tcPr>
            <w:tcW w:w="1275" w:type="dxa"/>
            <w:tcMar>
              <w:top w:w="100" w:type="dxa"/>
              <w:left w:w="100" w:type="dxa"/>
              <w:bottom w:w="100" w:type="dxa"/>
              <w:right w:w="100" w:type="dxa"/>
            </w:tcMar>
            <w:vAlign w:val="center"/>
          </w:tcPr>
          <w:p w14:paraId="000004C1" w14:textId="000004C2"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rPr>
              <w:t>2</w:t>
            </w:r>
          </w:p>
        </w:tc>
        <w:tc>
          <w:tcPr>
            <w:tcW w:w="1276" w:type="dxa"/>
            <w:tcMar>
              <w:top w:w="100" w:type="dxa"/>
              <w:left w:w="100" w:type="dxa"/>
              <w:bottom w:w="100" w:type="dxa"/>
              <w:right w:w="100" w:type="dxa"/>
            </w:tcMar>
            <w:vAlign w:val="center"/>
          </w:tcPr>
          <w:p w14:paraId="000004C3" w14:textId="000004C4"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rPr>
              <w:t>113</w:t>
            </w:r>
          </w:p>
        </w:tc>
        <w:tc>
          <w:tcPr>
            <w:tcW w:w="2779" w:type="dxa"/>
            <w:tcMar>
              <w:top w:w="100" w:type="dxa"/>
              <w:left w:w="100" w:type="dxa"/>
              <w:bottom w:w="100" w:type="dxa"/>
              <w:right w:w="100" w:type="dxa"/>
            </w:tcMar>
            <w:vAlign w:val="center"/>
          </w:tcPr>
          <w:p w14:paraId="000004C5" w14:textId="000004C6" w:rsidR="000B0F63" w:rsidRPr="00A61669" w:rsidRDefault="00C05D22" w:rsidP="00A34904">
            <w:pPr>
              <w:pStyle w:val="TableInfo"/>
              <w:rPr>
                <w:rFonts w:asciiTheme="majorHAnsi" w:hAnsiTheme="majorHAnsi" w:cstheme="majorHAnsi"/>
              </w:rPr>
            </w:pPr>
            <w:r w:rsidRPr="00A61669">
              <w:rPr>
                <w:rFonts w:asciiTheme="majorHAnsi" w:hAnsiTheme="majorHAnsi" w:cstheme="majorHAnsi"/>
                <w:lang w:val="en-GB"/>
              </w:rPr>
              <w:t>Atex (109) + InstantPress (4). Multicast, Oracle, vendor dependency</w:t>
            </w:r>
          </w:p>
        </w:tc>
      </w:tr>
    </w:tbl>
    <w:p w14:paraId="000004C7" w14:textId="000004C8" w:rsidR="000B0F63" w:rsidRPr="00A61669" w:rsidRDefault="1BAB210A" w:rsidP="00E40261">
      <w:pPr>
        <w:pStyle w:val="Heading2"/>
        <w:jc w:val="both"/>
        <w:rPr>
          <w:rFonts w:asciiTheme="majorHAnsi" w:hAnsiTheme="majorHAnsi" w:cstheme="majorHAnsi"/>
        </w:rPr>
      </w:pPr>
      <w:bookmarkStart w:id="131" w:name="_Toc169"/>
      <w:bookmarkStart w:id="132" w:name="_Toc227770952"/>
      <w:r w:rsidRPr="00A61669">
        <w:rPr>
          <w:rFonts w:asciiTheme="majorHAnsi" w:hAnsiTheme="majorHAnsi" w:cstheme="majorHAnsi"/>
        </w:rPr>
        <w:t>Co-Migration Groups</w:t>
      </w:r>
      <w:bookmarkEnd w:id="131"/>
      <w:bookmarkEnd w:id="132"/>
    </w:p>
    <w:p w14:paraId="000004C9" w14:textId="000004CA" w:rsidR="000B0F63" w:rsidRPr="00A61669" w:rsidRDefault="00C05D22" w:rsidP="00E40261">
      <w:pPr>
        <w:jc w:val="both"/>
        <w:rPr>
          <w:rFonts w:asciiTheme="majorHAnsi" w:hAnsiTheme="majorHAnsi" w:cstheme="majorHAnsi"/>
        </w:rPr>
      </w:pPr>
      <w:r w:rsidRPr="00A61669">
        <w:rPr>
          <w:rFonts w:asciiTheme="majorHAnsi" w:hAnsiTheme="majorHAnsi" w:cstheme="majorHAnsi"/>
        </w:rPr>
        <w:t>Discovery and workshops identified applications that must migrate together. Splitting them breaks data paths or operational coupling.</w:t>
      </w:r>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CF5E89" w14:paraId="72540133" w14:textId="77777777" w:rsidTr="1524DEBB">
        <w:tc>
          <w:tcPr>
            <w:tcW w:w="2430" w:type="dxa"/>
            <w:shd w:val="clear" w:color="auto" w:fill="D9D9D9" w:themeFill="background1" w:themeFillShade="D9"/>
            <w:tcMar>
              <w:top w:w="100" w:type="dxa"/>
              <w:left w:w="100" w:type="dxa"/>
              <w:bottom w:w="100" w:type="dxa"/>
              <w:right w:w="100" w:type="dxa"/>
            </w:tcMar>
            <w:vAlign w:val="center"/>
          </w:tcPr>
          <w:p w14:paraId="000004CB" w14:textId="000004CC" w:rsidR="000B0F63" w:rsidRPr="00A61669" w:rsidRDefault="00C05D22" w:rsidP="00A34904">
            <w:pPr>
              <w:pStyle w:val="TableHeader"/>
              <w:jc w:val="center"/>
              <w:rPr>
                <w:rFonts w:asciiTheme="majorHAnsi" w:hAnsiTheme="majorHAnsi" w:cstheme="majorHAnsi"/>
              </w:rPr>
            </w:pPr>
            <w:r w:rsidRPr="00A61669">
              <w:rPr>
                <w:rFonts w:asciiTheme="majorHAnsi" w:hAnsiTheme="majorHAnsi" w:cstheme="majorHAnsi"/>
              </w:rPr>
              <w:t>Group</w:t>
            </w:r>
          </w:p>
        </w:tc>
        <w:tc>
          <w:tcPr>
            <w:tcW w:w="2430" w:type="dxa"/>
            <w:shd w:val="clear" w:color="auto" w:fill="D9D9D9" w:themeFill="background1" w:themeFillShade="D9"/>
            <w:tcMar>
              <w:top w:w="100" w:type="dxa"/>
              <w:left w:w="100" w:type="dxa"/>
              <w:bottom w:w="100" w:type="dxa"/>
              <w:right w:w="100" w:type="dxa"/>
            </w:tcMar>
            <w:vAlign w:val="center"/>
          </w:tcPr>
          <w:p w14:paraId="000004CD" w14:textId="000004CE" w:rsidR="000B0F63" w:rsidRPr="00A61669" w:rsidRDefault="00C05D22" w:rsidP="00A34904">
            <w:pPr>
              <w:pStyle w:val="TableHeader"/>
              <w:jc w:val="center"/>
              <w:rPr>
                <w:rFonts w:asciiTheme="majorHAnsi" w:hAnsiTheme="majorHAnsi" w:cstheme="majorHAnsi"/>
              </w:rPr>
            </w:pPr>
            <w:r w:rsidRPr="00A61669">
              <w:rPr>
                <w:rFonts w:asciiTheme="majorHAnsi" w:hAnsiTheme="majorHAnsi" w:cstheme="majorHAnsi"/>
              </w:rPr>
              <w:t>Applications</w:t>
            </w:r>
          </w:p>
        </w:tc>
        <w:tc>
          <w:tcPr>
            <w:tcW w:w="2430" w:type="dxa"/>
            <w:shd w:val="clear" w:color="auto" w:fill="D9D9D9" w:themeFill="background1" w:themeFillShade="D9"/>
            <w:tcMar>
              <w:top w:w="100" w:type="dxa"/>
              <w:left w:w="100" w:type="dxa"/>
              <w:bottom w:w="100" w:type="dxa"/>
              <w:right w:w="100" w:type="dxa"/>
            </w:tcMar>
            <w:vAlign w:val="center"/>
          </w:tcPr>
          <w:p w14:paraId="000004CF" w14:textId="000004D0" w:rsidR="000B0F63" w:rsidRPr="00A61669" w:rsidRDefault="00C05D22" w:rsidP="00A34904">
            <w:pPr>
              <w:pStyle w:val="TableHeader"/>
              <w:jc w:val="center"/>
              <w:rPr>
                <w:rFonts w:asciiTheme="majorHAnsi" w:hAnsiTheme="majorHAnsi" w:cstheme="majorHAnsi"/>
              </w:rPr>
            </w:pPr>
            <w:r w:rsidRPr="00A61669">
              <w:rPr>
                <w:rFonts w:asciiTheme="majorHAnsi" w:hAnsiTheme="majorHAnsi" w:cstheme="majorHAnsi"/>
              </w:rPr>
              <w:t>Reason</w:t>
            </w:r>
          </w:p>
        </w:tc>
        <w:tc>
          <w:tcPr>
            <w:tcW w:w="2430" w:type="dxa"/>
            <w:shd w:val="clear" w:color="auto" w:fill="D9D9D9" w:themeFill="background1" w:themeFillShade="D9"/>
            <w:tcMar>
              <w:top w:w="100" w:type="dxa"/>
              <w:left w:w="100" w:type="dxa"/>
              <w:bottom w:w="100" w:type="dxa"/>
              <w:right w:w="100" w:type="dxa"/>
            </w:tcMar>
            <w:vAlign w:val="center"/>
          </w:tcPr>
          <w:p w14:paraId="000004D1" w14:textId="000004D2" w:rsidR="000B0F63" w:rsidRPr="00A61669" w:rsidRDefault="00C05D22" w:rsidP="00A34904">
            <w:pPr>
              <w:pStyle w:val="TableHeader"/>
              <w:jc w:val="center"/>
              <w:rPr>
                <w:rFonts w:asciiTheme="majorHAnsi" w:hAnsiTheme="majorHAnsi" w:cstheme="majorHAnsi"/>
              </w:rPr>
            </w:pPr>
            <w:r w:rsidRPr="00A61669">
              <w:rPr>
                <w:rFonts w:asciiTheme="majorHAnsi" w:hAnsiTheme="majorHAnsi" w:cstheme="majorHAnsi"/>
              </w:rPr>
              <w:t>Cohort</w:t>
            </w:r>
          </w:p>
        </w:tc>
      </w:tr>
      <w:tr w:rsidR="00150F98" w14:paraId="797CA8F0" w14:textId="77777777" w:rsidTr="1524DEBB">
        <w:tc>
          <w:tcPr>
            <w:tcW w:w="2430" w:type="dxa"/>
            <w:tcMar>
              <w:top w:w="100" w:type="dxa"/>
              <w:left w:w="100" w:type="dxa"/>
              <w:bottom w:w="100" w:type="dxa"/>
              <w:right w:w="100" w:type="dxa"/>
            </w:tcMar>
            <w:vAlign w:val="center"/>
          </w:tcPr>
          <w:p w14:paraId="000004D3" w14:textId="70A15314" w:rsidR="000B0F63" w:rsidRPr="00A61669" w:rsidRDefault="00490323" w:rsidP="00A34904">
            <w:pPr>
              <w:pStyle w:val="TableInfo"/>
              <w:jc w:val="center"/>
              <w:rPr>
                <w:rFonts w:asciiTheme="majorHAnsi" w:hAnsiTheme="majorHAnsi" w:cstheme="majorHAnsi"/>
              </w:rPr>
            </w:pPr>
            <w:r w:rsidRPr="00A61669">
              <w:rPr>
                <w:rFonts w:asciiTheme="majorHAnsi" w:hAnsiTheme="majorHAnsi" w:cstheme="majorHAnsi"/>
              </w:rPr>
              <w:t>Mail Online</w:t>
            </w:r>
            <w:r w:rsidR="00C05D22" w:rsidRPr="00A61669">
              <w:rPr>
                <w:rFonts w:asciiTheme="majorHAnsi" w:hAnsiTheme="majorHAnsi" w:cstheme="majorHAnsi"/>
              </w:rPr>
              <w:t xml:space="preserve"> Core</w:t>
            </w:r>
          </w:p>
        </w:tc>
        <w:tc>
          <w:tcPr>
            <w:tcW w:w="2430" w:type="dxa"/>
            <w:tcMar>
              <w:top w:w="100" w:type="dxa"/>
              <w:left w:w="100" w:type="dxa"/>
              <w:bottom w:w="100" w:type="dxa"/>
              <w:right w:w="100" w:type="dxa"/>
            </w:tcMar>
            <w:vAlign w:val="center"/>
          </w:tcPr>
          <w:p w14:paraId="000004D5" w14:textId="4338981B" w:rsidR="000B0F63" w:rsidRPr="00A61669" w:rsidRDefault="00490323" w:rsidP="00A34904">
            <w:pPr>
              <w:pStyle w:val="TableInfo"/>
              <w:jc w:val="center"/>
              <w:rPr>
                <w:rFonts w:asciiTheme="majorHAnsi" w:hAnsiTheme="majorHAnsi" w:cstheme="majorHAnsi"/>
              </w:rPr>
            </w:pPr>
            <w:r w:rsidRPr="00A61669">
              <w:rPr>
                <w:rFonts w:asciiTheme="majorHAnsi" w:hAnsiTheme="majorHAnsi" w:cstheme="majorHAnsi"/>
              </w:rPr>
              <w:t>Mail Online</w:t>
            </w:r>
            <w:r w:rsidR="00C05D22" w:rsidRPr="00A61669">
              <w:rPr>
                <w:rFonts w:asciiTheme="majorHAnsi" w:hAnsiTheme="majorHAnsi" w:cstheme="majorHAnsi"/>
              </w:rPr>
              <w:t xml:space="preserve"> + WPS</w:t>
            </w:r>
          </w:p>
        </w:tc>
        <w:tc>
          <w:tcPr>
            <w:tcW w:w="2430" w:type="dxa"/>
            <w:tcMar>
              <w:top w:w="100" w:type="dxa"/>
              <w:left w:w="100" w:type="dxa"/>
              <w:bottom w:w="100" w:type="dxa"/>
              <w:right w:w="100" w:type="dxa"/>
            </w:tcMar>
            <w:vAlign w:val="center"/>
          </w:tcPr>
          <w:p w14:paraId="000004D7" w14:textId="6AC679E7" w:rsidR="000B0F63" w:rsidRPr="00A61669" w:rsidRDefault="003B3BF7" w:rsidP="00A34904">
            <w:pPr>
              <w:pStyle w:val="TableInfo"/>
              <w:rPr>
                <w:rFonts w:asciiTheme="majorHAnsi" w:hAnsiTheme="majorHAnsi" w:cstheme="majorHAnsi"/>
              </w:rPr>
            </w:pPr>
            <w:r w:rsidRPr="00A61669">
              <w:rPr>
                <w:rFonts w:asciiTheme="majorHAnsi" w:hAnsiTheme="majorHAnsi" w:cstheme="majorHAnsi"/>
                <w:lang w:val="en-GB"/>
              </w:rPr>
              <w:t xml:space="preserve">WPS is tightly coupled to </w:t>
            </w:r>
            <w:r w:rsidR="00490323" w:rsidRPr="00A61669">
              <w:rPr>
                <w:rFonts w:asciiTheme="majorHAnsi" w:hAnsiTheme="majorHAnsi" w:cstheme="majorHAnsi"/>
                <w:lang w:val="en-GB"/>
              </w:rPr>
              <w:t>Mail Online</w:t>
            </w:r>
            <w:r w:rsidRPr="00A61669">
              <w:rPr>
                <w:rFonts w:asciiTheme="majorHAnsi" w:hAnsiTheme="majorHAnsi" w:cstheme="majorHAnsi"/>
                <w:lang w:val="en-GB"/>
              </w:rPr>
              <w:t xml:space="preserve"> through sustained Oracle connections to the B-cluster, shared infrastructure dependencies, and operational workflows identified during the </w:t>
            </w:r>
            <w:r w:rsidR="00490323" w:rsidRPr="00A61669">
              <w:rPr>
                <w:rFonts w:asciiTheme="majorHAnsi" w:hAnsiTheme="majorHAnsi" w:cstheme="majorHAnsi"/>
                <w:lang w:val="en-GB"/>
              </w:rPr>
              <w:t>Mail Online</w:t>
            </w:r>
            <w:r w:rsidRPr="00A61669">
              <w:rPr>
                <w:rFonts w:asciiTheme="majorHAnsi" w:hAnsiTheme="majorHAnsi" w:cstheme="majorHAnsi"/>
                <w:lang w:val="en-GB"/>
              </w:rPr>
              <w:t xml:space="preserve"> workshop. Full coupling detail is in the Application Scoping workbook.</w:t>
            </w:r>
          </w:p>
        </w:tc>
        <w:tc>
          <w:tcPr>
            <w:tcW w:w="2430" w:type="dxa"/>
            <w:tcMar>
              <w:top w:w="100" w:type="dxa"/>
              <w:left w:w="100" w:type="dxa"/>
              <w:bottom w:w="100" w:type="dxa"/>
              <w:right w:w="100" w:type="dxa"/>
            </w:tcMar>
            <w:vAlign w:val="center"/>
          </w:tcPr>
          <w:p w14:paraId="000004D9" w14:textId="000004DA"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rPr>
              <w:t>3</w:t>
            </w:r>
          </w:p>
        </w:tc>
      </w:tr>
      <w:tr w:rsidR="00150F98" w14:paraId="5A8CFCF9" w14:textId="77777777" w:rsidTr="1524DEBB">
        <w:tc>
          <w:tcPr>
            <w:tcW w:w="2430" w:type="dxa"/>
            <w:tcMar>
              <w:top w:w="100" w:type="dxa"/>
              <w:left w:w="100" w:type="dxa"/>
              <w:bottom w:w="100" w:type="dxa"/>
              <w:right w:w="100" w:type="dxa"/>
            </w:tcMar>
            <w:vAlign w:val="center"/>
          </w:tcPr>
          <w:p w14:paraId="000004DB" w14:textId="000004DC"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lang w:val="en-GB"/>
              </w:rPr>
              <w:lastRenderedPageBreak/>
              <w:t>ECO3 and OneVision</w:t>
            </w:r>
          </w:p>
        </w:tc>
        <w:tc>
          <w:tcPr>
            <w:tcW w:w="2430" w:type="dxa"/>
            <w:tcMar>
              <w:top w:w="100" w:type="dxa"/>
              <w:left w:w="100" w:type="dxa"/>
              <w:bottom w:w="100" w:type="dxa"/>
              <w:right w:w="100" w:type="dxa"/>
            </w:tcMar>
            <w:vAlign w:val="center"/>
          </w:tcPr>
          <w:p w14:paraId="000004DD" w14:textId="000004DE"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lang w:val="en-GB"/>
              </w:rPr>
              <w:t>ECO3 + OneVision Suite</w:t>
            </w:r>
          </w:p>
        </w:tc>
        <w:tc>
          <w:tcPr>
            <w:tcW w:w="2430" w:type="dxa"/>
            <w:tcMar>
              <w:top w:w="100" w:type="dxa"/>
              <w:left w:w="100" w:type="dxa"/>
              <w:bottom w:w="100" w:type="dxa"/>
              <w:right w:w="100" w:type="dxa"/>
            </w:tcMar>
            <w:vAlign w:val="center"/>
          </w:tcPr>
          <w:p w14:paraId="000004DF" w14:textId="000004E0" w:rsidR="000B0F63" w:rsidRPr="00A61669" w:rsidRDefault="00C05D22" w:rsidP="00A34904">
            <w:pPr>
              <w:pStyle w:val="TableInfo"/>
              <w:rPr>
                <w:rFonts w:asciiTheme="majorHAnsi" w:hAnsiTheme="majorHAnsi" w:cstheme="majorHAnsi"/>
              </w:rPr>
            </w:pPr>
            <w:r w:rsidRPr="00A61669">
              <w:rPr>
                <w:rFonts w:asciiTheme="majorHAnsi" w:hAnsiTheme="majorHAnsi" w:cstheme="majorHAnsi"/>
                <w:lang w:val="en-GB"/>
              </w:rPr>
              <w:t>OneVision reads from ECO3 courier database (SMB, port 445, network-confirmed)</w:t>
            </w:r>
          </w:p>
        </w:tc>
        <w:tc>
          <w:tcPr>
            <w:tcW w:w="2430" w:type="dxa"/>
            <w:tcMar>
              <w:top w:w="100" w:type="dxa"/>
              <w:left w:w="100" w:type="dxa"/>
              <w:bottom w:w="100" w:type="dxa"/>
              <w:right w:w="100" w:type="dxa"/>
            </w:tcMar>
            <w:vAlign w:val="center"/>
          </w:tcPr>
          <w:p w14:paraId="000004E1" w14:textId="000004E2"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rPr>
              <w:t>2</w:t>
            </w:r>
          </w:p>
        </w:tc>
      </w:tr>
      <w:tr w:rsidR="00150F98" w14:paraId="70A17CF6" w14:textId="77777777" w:rsidTr="1524DEBB">
        <w:tc>
          <w:tcPr>
            <w:tcW w:w="2430" w:type="dxa"/>
            <w:tcMar>
              <w:top w:w="100" w:type="dxa"/>
              <w:left w:w="100" w:type="dxa"/>
              <w:bottom w:w="100" w:type="dxa"/>
              <w:right w:w="100" w:type="dxa"/>
            </w:tcMar>
            <w:vAlign w:val="center"/>
          </w:tcPr>
          <w:p w14:paraId="000004E3" w14:textId="000004E4"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lang w:val="en-GB"/>
              </w:rPr>
              <w:t>Atex Publishing</w:t>
            </w:r>
          </w:p>
        </w:tc>
        <w:tc>
          <w:tcPr>
            <w:tcW w:w="2430" w:type="dxa"/>
            <w:tcMar>
              <w:top w:w="100" w:type="dxa"/>
              <w:left w:w="100" w:type="dxa"/>
              <w:bottom w:w="100" w:type="dxa"/>
              <w:right w:w="100" w:type="dxa"/>
            </w:tcMar>
            <w:vAlign w:val="center"/>
          </w:tcPr>
          <w:p w14:paraId="000004E5" w14:textId="000004E6"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lang w:val="en-GB"/>
              </w:rPr>
              <w:t>Atex + InstantPress</w:t>
            </w:r>
          </w:p>
        </w:tc>
        <w:tc>
          <w:tcPr>
            <w:tcW w:w="2430" w:type="dxa"/>
            <w:tcMar>
              <w:top w:w="100" w:type="dxa"/>
              <w:left w:w="100" w:type="dxa"/>
              <w:bottom w:w="100" w:type="dxa"/>
              <w:right w:w="100" w:type="dxa"/>
            </w:tcMar>
            <w:vAlign w:val="center"/>
          </w:tcPr>
          <w:p w14:paraId="000004E7" w14:textId="000004E8" w:rsidR="000B0F63" w:rsidRPr="00A61669" w:rsidRDefault="00C05D22" w:rsidP="00A34904">
            <w:pPr>
              <w:pStyle w:val="TableInfo"/>
              <w:rPr>
                <w:rFonts w:asciiTheme="majorHAnsi" w:hAnsiTheme="majorHAnsi" w:cstheme="majorHAnsi"/>
              </w:rPr>
            </w:pPr>
            <w:r w:rsidRPr="00A61669">
              <w:rPr>
                <w:rFonts w:asciiTheme="majorHAnsi" w:hAnsiTheme="majorHAnsi" w:cstheme="majorHAnsi"/>
                <w:lang w:val="en-GB"/>
              </w:rPr>
              <w:t>InstantPress produces PDF output from Atex content</w:t>
            </w:r>
          </w:p>
        </w:tc>
        <w:tc>
          <w:tcPr>
            <w:tcW w:w="2430" w:type="dxa"/>
            <w:tcMar>
              <w:top w:w="100" w:type="dxa"/>
              <w:left w:w="100" w:type="dxa"/>
              <w:bottom w:w="100" w:type="dxa"/>
              <w:right w:w="100" w:type="dxa"/>
            </w:tcMar>
            <w:vAlign w:val="center"/>
          </w:tcPr>
          <w:p w14:paraId="000004E9" w14:textId="000004EA" w:rsidR="000B0F63" w:rsidRPr="00A61669" w:rsidRDefault="00C05D22" w:rsidP="00A34904">
            <w:pPr>
              <w:pStyle w:val="TableInfo"/>
              <w:jc w:val="center"/>
              <w:rPr>
                <w:rFonts w:asciiTheme="majorHAnsi" w:hAnsiTheme="majorHAnsi" w:cstheme="majorHAnsi"/>
              </w:rPr>
            </w:pPr>
            <w:r w:rsidRPr="00A61669">
              <w:rPr>
                <w:rFonts w:asciiTheme="majorHAnsi" w:hAnsiTheme="majorHAnsi" w:cstheme="majorHAnsi"/>
              </w:rPr>
              <w:t>4</w:t>
            </w:r>
          </w:p>
        </w:tc>
      </w:tr>
    </w:tbl>
    <w:p w14:paraId="000004EB" w14:textId="000004EC" w:rsidR="000B0F63" w:rsidRPr="00A61669" w:rsidRDefault="1BAB210A" w:rsidP="00E40261">
      <w:pPr>
        <w:pStyle w:val="Heading2"/>
        <w:jc w:val="both"/>
        <w:rPr>
          <w:rFonts w:asciiTheme="majorHAnsi" w:hAnsiTheme="majorHAnsi" w:cstheme="majorHAnsi"/>
        </w:rPr>
      </w:pPr>
      <w:bookmarkStart w:id="133" w:name="_Toc170"/>
      <w:bookmarkStart w:id="134" w:name="_Toc227770953"/>
      <w:r w:rsidRPr="00A61669">
        <w:rPr>
          <w:rFonts w:asciiTheme="majorHAnsi" w:hAnsiTheme="majorHAnsi" w:cstheme="majorHAnsi"/>
        </w:rPr>
        <w:t>What This Means In Practice</w:t>
      </w:r>
      <w:bookmarkEnd w:id="133"/>
      <w:bookmarkEnd w:id="134"/>
    </w:p>
    <w:p w14:paraId="000004ED" w14:textId="30EA9EC9" w:rsidR="000B0F63" w:rsidRPr="00A61669" w:rsidRDefault="0088745F" w:rsidP="00F57DAB">
      <w:pPr>
        <w:pStyle w:val="ListBullet"/>
        <w:numPr>
          <w:ilvl w:val="0"/>
          <w:numId w:val="19"/>
        </w:numPr>
        <w:jc w:val="both"/>
        <w:rPr>
          <w:rFonts w:asciiTheme="majorHAnsi" w:hAnsiTheme="majorHAnsi" w:cstheme="majorHAnsi"/>
        </w:rPr>
      </w:pPr>
      <w:r w:rsidRPr="00A61669">
        <w:rPr>
          <w:rFonts w:asciiTheme="majorHAnsi" w:hAnsiTheme="majorHAnsi" w:cstheme="majorHAnsi"/>
        </w:rPr>
        <w:t>Mail Online</w:t>
      </w:r>
      <w:r w:rsidR="00C05D22" w:rsidRPr="00A61669">
        <w:rPr>
          <w:rFonts w:asciiTheme="majorHAnsi" w:hAnsiTheme="majorHAnsi" w:cstheme="majorHAnsi"/>
        </w:rPr>
        <w:t xml:space="preserve"> defines the programme timeline. Any </w:t>
      </w:r>
      <w:r w:rsidR="00100959" w:rsidRPr="00A61669">
        <w:rPr>
          <w:rFonts w:asciiTheme="majorHAnsi" w:hAnsiTheme="majorHAnsi" w:cstheme="majorHAnsi"/>
        </w:rPr>
        <w:t>Part 2</w:t>
      </w:r>
      <w:r w:rsidR="00C05D22" w:rsidRPr="00A61669">
        <w:rPr>
          <w:rFonts w:asciiTheme="majorHAnsi" w:hAnsiTheme="majorHAnsi" w:cstheme="majorHAnsi"/>
        </w:rPr>
        <w:t xml:space="preserve"> plan that does not address </w:t>
      </w:r>
      <w:r w:rsidR="00490323" w:rsidRPr="00A61669">
        <w:rPr>
          <w:rFonts w:asciiTheme="majorHAnsi" w:hAnsiTheme="majorHAnsi" w:cstheme="majorHAnsi"/>
        </w:rPr>
        <w:t>Mail Online</w:t>
      </w:r>
      <w:r w:rsidR="00C05D22" w:rsidRPr="00A61669">
        <w:rPr>
          <w:rFonts w:asciiTheme="majorHAnsi" w:hAnsiTheme="majorHAnsi" w:cstheme="majorHAnsi"/>
        </w:rPr>
        <w:t xml:space="preserve"> is incomplete.</w:t>
      </w:r>
    </w:p>
    <w:p w14:paraId="000004EF" w14:textId="2756F226" w:rsidR="000B0F63" w:rsidRPr="00A61669" w:rsidRDefault="00C05D22" w:rsidP="00F57DAB">
      <w:pPr>
        <w:pStyle w:val="ListBullet"/>
        <w:numPr>
          <w:ilvl w:val="0"/>
          <w:numId w:val="19"/>
        </w:numPr>
        <w:jc w:val="both"/>
        <w:rPr>
          <w:rFonts w:asciiTheme="majorHAnsi" w:hAnsiTheme="majorHAnsi" w:cstheme="majorHAnsi"/>
        </w:rPr>
      </w:pPr>
      <w:r w:rsidRPr="00A61669">
        <w:rPr>
          <w:rFonts w:asciiTheme="majorHAnsi" w:hAnsiTheme="majorHAnsi" w:cstheme="majorHAnsi"/>
        </w:rPr>
        <w:t>Cohort 4 (Atex, InstantPress) requires a decision before it can progress: unicast support on Atex, or accept the VMware-on-cloud cost. This is a small cohort but it blocks Atex migration</w:t>
      </w:r>
      <w:r>
        <w:rPr>
          <w:rFonts w:asciiTheme="majorHAnsi" w:hAnsiTheme="majorHAnsi" w:cstheme="majorHAnsi"/>
        </w:rPr>
        <w:t xml:space="preserve"> </w:t>
      </w:r>
      <w:r w:rsidR="00310FD9">
        <w:rPr>
          <w:rFonts w:asciiTheme="majorHAnsi" w:hAnsiTheme="majorHAnsi" w:cstheme="majorHAnsi"/>
        </w:rPr>
        <w:t>to GCP or Azure</w:t>
      </w:r>
      <w:r w:rsidRPr="00A61669">
        <w:rPr>
          <w:rFonts w:asciiTheme="majorHAnsi" w:hAnsiTheme="majorHAnsi" w:cstheme="majorHAnsi"/>
        </w:rPr>
        <w:t xml:space="preserve"> entirely until resolved.</w:t>
      </w:r>
      <w:r w:rsidR="00310FD9">
        <w:rPr>
          <w:rFonts w:asciiTheme="majorHAnsi" w:hAnsiTheme="majorHAnsi" w:cstheme="majorHAnsi"/>
        </w:rPr>
        <w:t xml:space="preserve"> AWS supports multicast. </w:t>
      </w:r>
    </w:p>
    <w:p w14:paraId="000004F1" w14:textId="71751405" w:rsidR="000B0F63" w:rsidRPr="00A61669" w:rsidRDefault="00C05D22" w:rsidP="00F57DAB">
      <w:pPr>
        <w:pStyle w:val="ListBullet"/>
        <w:numPr>
          <w:ilvl w:val="0"/>
          <w:numId w:val="19"/>
        </w:numPr>
        <w:jc w:val="both"/>
        <w:rPr>
          <w:rFonts w:asciiTheme="majorHAnsi" w:hAnsiTheme="majorHAnsi" w:cstheme="majorHAnsi"/>
        </w:rPr>
      </w:pPr>
      <w:r w:rsidRPr="00A61669">
        <w:rPr>
          <w:rFonts w:asciiTheme="majorHAnsi" w:hAnsiTheme="majorHAnsi" w:cstheme="majorHAnsi"/>
        </w:rPr>
        <w:t xml:space="preserve">Quick wins exist. Cohort 1 is 13 applications, 63 servers, </w:t>
      </w:r>
      <w:r w:rsidR="003770C1" w:rsidRPr="00A61669">
        <w:rPr>
          <w:rFonts w:asciiTheme="majorHAnsi" w:hAnsiTheme="majorHAnsi" w:cstheme="majorHAnsi"/>
        </w:rPr>
        <w:t xml:space="preserve">and </w:t>
      </w:r>
      <w:r w:rsidRPr="00A61669">
        <w:rPr>
          <w:rFonts w:asciiTheme="majorHAnsi" w:hAnsiTheme="majorHAnsi" w:cstheme="majorHAnsi"/>
        </w:rPr>
        <w:t xml:space="preserve">deliverable early. These give </w:t>
      </w:r>
      <w:r w:rsidR="007415CD" w:rsidRPr="00A61669">
        <w:rPr>
          <w:rFonts w:asciiTheme="majorHAnsi" w:hAnsiTheme="majorHAnsi" w:cstheme="majorHAnsi"/>
        </w:rPr>
        <w:t>DMG Media</w:t>
      </w:r>
      <w:r w:rsidRPr="00A61669">
        <w:rPr>
          <w:rFonts w:asciiTheme="majorHAnsi" w:hAnsiTheme="majorHAnsi" w:cstheme="majorHAnsi"/>
        </w:rPr>
        <w:t xml:space="preserve"> measurable cloud cost savings and operational experience before the complex work begins.</w:t>
      </w:r>
    </w:p>
    <w:p w14:paraId="000004F3" w14:textId="000004F4" w:rsidR="000B0F63" w:rsidRPr="00A61669" w:rsidRDefault="00C05D22" w:rsidP="00F57DAB">
      <w:pPr>
        <w:pStyle w:val="ListBullet"/>
        <w:numPr>
          <w:ilvl w:val="0"/>
          <w:numId w:val="19"/>
        </w:numPr>
        <w:jc w:val="both"/>
        <w:rPr>
          <w:rFonts w:asciiTheme="majorHAnsi" w:hAnsiTheme="majorHAnsi" w:cstheme="majorHAnsi"/>
        </w:rPr>
      </w:pPr>
      <w:r w:rsidRPr="00A61669">
        <w:rPr>
          <w:rFonts w:asciiTheme="majorHAnsi" w:hAnsiTheme="majorHAnsi" w:cstheme="majorHAnsi"/>
        </w:rPr>
        <w:t>Sydney datacentre is the smallest and most independent workload, with a flexible contract. It is a natural early-migration candidate and provides a DC cost offset proof point.</w:t>
      </w:r>
    </w:p>
    <w:p w14:paraId="000004F5" w14:textId="1E313C9D" w:rsidR="000B0F63" w:rsidRPr="00A61669" w:rsidRDefault="0048433C" w:rsidP="00E40261">
      <w:pPr>
        <w:pStyle w:val="Heading2"/>
        <w:jc w:val="both"/>
        <w:rPr>
          <w:rFonts w:asciiTheme="majorHAnsi" w:hAnsiTheme="majorHAnsi" w:cstheme="majorHAnsi"/>
        </w:rPr>
      </w:pPr>
      <w:r w:rsidRPr="00A61669">
        <w:rPr>
          <w:rFonts w:asciiTheme="majorHAnsi" w:hAnsiTheme="majorHAnsi" w:cstheme="majorHAnsi"/>
        </w:rPr>
        <w:t>What Part 2 Will Address</w:t>
      </w:r>
    </w:p>
    <w:p w14:paraId="000004F7" w14:textId="78B6A9B8" w:rsidR="000B0F63" w:rsidRPr="00A61669" w:rsidRDefault="00C05D22" w:rsidP="00F57DAB">
      <w:pPr>
        <w:pStyle w:val="ListBullet"/>
        <w:numPr>
          <w:ilvl w:val="0"/>
          <w:numId w:val="20"/>
        </w:numPr>
        <w:jc w:val="both"/>
        <w:rPr>
          <w:rFonts w:asciiTheme="majorHAnsi" w:hAnsiTheme="majorHAnsi" w:cstheme="majorHAnsi"/>
        </w:rPr>
      </w:pPr>
      <w:r w:rsidRPr="00A61669">
        <w:rPr>
          <w:rFonts w:asciiTheme="majorHAnsi" w:hAnsiTheme="majorHAnsi" w:cstheme="majorHAnsi"/>
        </w:rPr>
        <w:t xml:space="preserve">Per-application 7R classification across the full estate: </w:t>
      </w:r>
      <w:r w:rsidR="00100959" w:rsidRPr="00A61669">
        <w:rPr>
          <w:rFonts w:asciiTheme="majorHAnsi" w:hAnsiTheme="majorHAnsi" w:cstheme="majorHAnsi"/>
        </w:rPr>
        <w:t>Part 2</w:t>
      </w:r>
      <w:r w:rsidRPr="00A61669">
        <w:rPr>
          <w:rFonts w:asciiTheme="majorHAnsi" w:hAnsiTheme="majorHAnsi" w:cstheme="majorHAnsi"/>
        </w:rPr>
        <w:t xml:space="preserve"> scope.</w:t>
      </w:r>
    </w:p>
    <w:p w14:paraId="000004F9" w14:textId="5200BB90" w:rsidR="000B0F63" w:rsidRPr="00A61669" w:rsidRDefault="00C05D22" w:rsidP="00F57DAB">
      <w:pPr>
        <w:pStyle w:val="ListBullet"/>
        <w:numPr>
          <w:ilvl w:val="0"/>
          <w:numId w:val="20"/>
        </w:numPr>
        <w:jc w:val="both"/>
        <w:rPr>
          <w:rFonts w:asciiTheme="majorHAnsi" w:hAnsiTheme="majorHAnsi" w:cstheme="majorHAnsi"/>
        </w:rPr>
      </w:pPr>
      <w:r w:rsidRPr="00A61669">
        <w:rPr>
          <w:rFonts w:asciiTheme="majorHAnsi" w:hAnsiTheme="majorHAnsi" w:cstheme="majorHAnsi"/>
        </w:rPr>
        <w:t xml:space="preserve">Detailed PL/SQL conversion scoping for Oracle modernisation: </w:t>
      </w:r>
      <w:r w:rsidR="00100959" w:rsidRPr="00A61669">
        <w:rPr>
          <w:rFonts w:asciiTheme="majorHAnsi" w:hAnsiTheme="majorHAnsi" w:cstheme="majorHAnsi"/>
        </w:rPr>
        <w:t>Part 2</w:t>
      </w:r>
      <w:r w:rsidRPr="00A61669">
        <w:rPr>
          <w:rFonts w:asciiTheme="majorHAnsi" w:hAnsiTheme="majorHAnsi" w:cstheme="majorHAnsi"/>
        </w:rPr>
        <w:t xml:space="preserve"> scope, highest</w:t>
      </w:r>
      <w:r w:rsidR="00966FD3" w:rsidRPr="00A61669">
        <w:rPr>
          <w:rFonts w:asciiTheme="majorHAnsi" w:hAnsiTheme="majorHAnsi" w:cstheme="majorHAnsi"/>
        </w:rPr>
        <w:t xml:space="preserve"> </w:t>
      </w:r>
      <w:r w:rsidRPr="00A61669">
        <w:rPr>
          <w:rFonts w:asciiTheme="majorHAnsi" w:hAnsiTheme="majorHAnsi" w:cstheme="majorHAnsi"/>
        </w:rPr>
        <w:t>value workstream.</w:t>
      </w:r>
    </w:p>
    <w:p w14:paraId="000004FB" w14:textId="5A64DBE1" w:rsidR="000B0F63" w:rsidRPr="00A61669" w:rsidRDefault="00C05D22" w:rsidP="00F57DAB">
      <w:pPr>
        <w:pStyle w:val="ListBullet"/>
        <w:numPr>
          <w:ilvl w:val="0"/>
          <w:numId w:val="20"/>
        </w:numPr>
        <w:jc w:val="both"/>
        <w:rPr>
          <w:rFonts w:asciiTheme="majorHAnsi" w:hAnsiTheme="majorHAnsi" w:cstheme="majorHAnsi"/>
        </w:rPr>
      </w:pPr>
      <w:r w:rsidRPr="00A61669">
        <w:rPr>
          <w:rFonts w:asciiTheme="majorHAnsi" w:hAnsiTheme="majorHAnsi" w:cstheme="majorHAnsi"/>
        </w:rPr>
        <w:t xml:space="preserve">Deep dependency mapping for </w:t>
      </w:r>
      <w:r w:rsidR="00490323" w:rsidRPr="00A61669">
        <w:rPr>
          <w:rFonts w:asciiTheme="majorHAnsi" w:hAnsiTheme="majorHAnsi" w:cstheme="majorHAnsi"/>
        </w:rPr>
        <w:t>Mail Online</w:t>
      </w:r>
      <w:r w:rsidRPr="00A61669">
        <w:rPr>
          <w:rFonts w:asciiTheme="majorHAnsi" w:hAnsiTheme="majorHAnsi" w:cstheme="majorHAnsi"/>
        </w:rPr>
        <w:t xml:space="preserve">'s 91 sub-components: </w:t>
      </w:r>
      <w:r w:rsidR="00100959" w:rsidRPr="00A61669">
        <w:rPr>
          <w:rFonts w:asciiTheme="majorHAnsi" w:hAnsiTheme="majorHAnsi" w:cstheme="majorHAnsi"/>
        </w:rPr>
        <w:t>Part 2</w:t>
      </w:r>
      <w:r w:rsidRPr="00A61669">
        <w:rPr>
          <w:rFonts w:asciiTheme="majorHAnsi" w:hAnsiTheme="majorHAnsi" w:cstheme="majorHAnsi"/>
        </w:rPr>
        <w:t xml:space="preserve"> scope.</w:t>
      </w:r>
    </w:p>
    <w:p w14:paraId="000004FD" w14:textId="37F28D4F" w:rsidR="000B0F63" w:rsidRPr="00A61669" w:rsidRDefault="00C05D22" w:rsidP="00F57DAB">
      <w:pPr>
        <w:pStyle w:val="ListBullet"/>
        <w:numPr>
          <w:ilvl w:val="0"/>
          <w:numId w:val="20"/>
        </w:numPr>
        <w:jc w:val="both"/>
        <w:rPr>
          <w:rFonts w:asciiTheme="majorHAnsi" w:hAnsiTheme="majorHAnsi" w:cstheme="majorHAnsi"/>
        </w:rPr>
      </w:pPr>
      <w:r w:rsidRPr="00A61669">
        <w:rPr>
          <w:rFonts w:asciiTheme="majorHAnsi" w:hAnsiTheme="majorHAnsi" w:cstheme="majorHAnsi"/>
        </w:rPr>
        <w:t xml:space="preserve">Validation of workshop findings with application owners who were not available during </w:t>
      </w:r>
      <w:r w:rsidR="00100959" w:rsidRPr="00A61669">
        <w:rPr>
          <w:rFonts w:asciiTheme="majorHAnsi" w:hAnsiTheme="majorHAnsi" w:cstheme="majorHAnsi"/>
        </w:rPr>
        <w:t>Part 1</w:t>
      </w:r>
      <w:r w:rsidRPr="00A61669">
        <w:rPr>
          <w:rFonts w:asciiTheme="majorHAnsi" w:hAnsiTheme="majorHAnsi" w:cstheme="majorHAnsi"/>
        </w:rPr>
        <w:t xml:space="preserve">: </w:t>
      </w:r>
      <w:r w:rsidR="00100959" w:rsidRPr="00A61669">
        <w:rPr>
          <w:rFonts w:asciiTheme="majorHAnsi" w:hAnsiTheme="majorHAnsi" w:cstheme="majorHAnsi"/>
        </w:rPr>
        <w:t>Part 2</w:t>
      </w:r>
      <w:r w:rsidRPr="00A61669">
        <w:rPr>
          <w:rFonts w:asciiTheme="majorHAnsi" w:hAnsiTheme="majorHAnsi" w:cstheme="majorHAnsi"/>
        </w:rPr>
        <w:t xml:space="preserve"> scope.</w:t>
      </w:r>
    </w:p>
    <w:p w14:paraId="000004FF" w14:textId="6CD0BC45" w:rsidR="000B0F63" w:rsidRPr="00A61669" w:rsidRDefault="00C05D22" w:rsidP="00F57DAB">
      <w:pPr>
        <w:pStyle w:val="ListBullet"/>
        <w:numPr>
          <w:ilvl w:val="0"/>
          <w:numId w:val="20"/>
        </w:numPr>
        <w:jc w:val="both"/>
        <w:rPr>
          <w:rFonts w:asciiTheme="majorHAnsi" w:hAnsiTheme="majorHAnsi" w:cstheme="majorHAnsi"/>
        </w:rPr>
      </w:pPr>
      <w:r w:rsidRPr="00A61669">
        <w:rPr>
          <w:rFonts w:asciiTheme="majorHAnsi" w:hAnsiTheme="majorHAnsi" w:cstheme="majorHAnsi"/>
        </w:rPr>
        <w:t xml:space="preserve">Atex vendor engagement on unicast support: </w:t>
      </w:r>
      <w:r w:rsidR="00100959" w:rsidRPr="00A61669">
        <w:rPr>
          <w:rFonts w:asciiTheme="majorHAnsi" w:hAnsiTheme="majorHAnsi" w:cstheme="majorHAnsi"/>
        </w:rPr>
        <w:t>Part 2</w:t>
      </w:r>
      <w:r w:rsidRPr="00A61669">
        <w:rPr>
          <w:rFonts w:asciiTheme="majorHAnsi" w:hAnsiTheme="majorHAnsi" w:cstheme="majorHAnsi"/>
        </w:rPr>
        <w:t xml:space="preserve"> action with direct cost impact.</w:t>
      </w:r>
    </w:p>
    <w:p w14:paraId="4197D423" w14:textId="40160E67" w:rsidR="0048433C" w:rsidRPr="00A61669" w:rsidRDefault="0048433C" w:rsidP="0048433C">
      <w:pPr>
        <w:pStyle w:val="ListBullet"/>
        <w:jc w:val="both"/>
        <w:rPr>
          <w:rFonts w:asciiTheme="majorHAnsi" w:hAnsiTheme="majorHAnsi" w:cstheme="majorHAnsi"/>
        </w:rPr>
      </w:pPr>
      <w:r w:rsidRPr="00A61669">
        <w:rPr>
          <w:rFonts w:asciiTheme="majorHAnsi" w:hAnsiTheme="majorHAnsi" w:cstheme="majorHAnsi"/>
        </w:rPr>
        <w:t>How these application constraints and cohort groupings map to the three cloud platforms is the subject of Section 7.</w:t>
      </w:r>
    </w:p>
    <w:p w14:paraId="00000501" w14:textId="00000502" w:rsidR="000B0F63" w:rsidRPr="00A61669" w:rsidRDefault="00C05D22" w:rsidP="00E40261">
      <w:pPr>
        <w:jc w:val="both"/>
        <w:rPr>
          <w:rFonts w:asciiTheme="majorHAnsi" w:hAnsiTheme="majorHAnsi" w:cstheme="majorHAnsi"/>
        </w:rPr>
      </w:pPr>
      <w:r w:rsidRPr="00A61669">
        <w:rPr>
          <w:rFonts w:asciiTheme="majorHAnsi" w:hAnsiTheme="majorHAnsi" w:cstheme="majorHAnsi"/>
        </w:rPr>
        <w:br w:type="page"/>
      </w:r>
    </w:p>
    <w:p w14:paraId="00000503" w14:textId="00000504" w:rsidR="000B0F63" w:rsidRPr="00A61669" w:rsidRDefault="1BAB210A" w:rsidP="00E40261">
      <w:pPr>
        <w:pStyle w:val="Heading1"/>
        <w:jc w:val="both"/>
        <w:rPr>
          <w:rFonts w:asciiTheme="majorHAnsi" w:hAnsiTheme="majorHAnsi" w:cstheme="majorHAnsi"/>
        </w:rPr>
      </w:pPr>
      <w:bookmarkStart w:id="135" w:name="_Toc172"/>
      <w:bookmarkStart w:id="136" w:name="_Toc227770955"/>
      <w:bookmarkStart w:id="137" w:name="_Toc228549359"/>
      <w:r w:rsidRPr="00A61669">
        <w:rPr>
          <w:rFonts w:asciiTheme="majorHAnsi" w:hAnsiTheme="majorHAnsi" w:cstheme="majorHAnsi"/>
        </w:rPr>
        <w:lastRenderedPageBreak/>
        <w:t>Section 7: Hyperscaler Recommendation</w:t>
      </w:r>
      <w:bookmarkEnd w:id="135"/>
      <w:bookmarkEnd w:id="136"/>
      <w:bookmarkEnd w:id="137"/>
    </w:p>
    <w:p w14:paraId="00000505" w14:textId="00000506" w:rsidR="000B0F63" w:rsidRPr="00A61669" w:rsidRDefault="1BAB210A" w:rsidP="00E40261">
      <w:pPr>
        <w:pStyle w:val="Heading2"/>
        <w:jc w:val="both"/>
        <w:rPr>
          <w:rFonts w:asciiTheme="majorHAnsi" w:hAnsiTheme="majorHAnsi" w:cstheme="majorHAnsi"/>
        </w:rPr>
      </w:pPr>
      <w:bookmarkStart w:id="138" w:name="_Toc173"/>
      <w:bookmarkStart w:id="139" w:name="_Toc227770956"/>
      <w:r w:rsidRPr="00A61669">
        <w:rPr>
          <w:rFonts w:asciiTheme="majorHAnsi" w:hAnsiTheme="majorHAnsi" w:cstheme="majorHAnsi"/>
        </w:rPr>
        <w:t>What This Section Does</w:t>
      </w:r>
      <w:bookmarkEnd w:id="138"/>
      <w:bookmarkEnd w:id="139"/>
    </w:p>
    <w:p w14:paraId="00000507" w14:textId="00000508" w:rsidR="000B0F63" w:rsidRPr="00A61669" w:rsidRDefault="00C05D22" w:rsidP="00E40261">
      <w:pPr>
        <w:jc w:val="both"/>
        <w:rPr>
          <w:rFonts w:asciiTheme="majorHAnsi" w:hAnsiTheme="majorHAnsi" w:cstheme="majorHAnsi"/>
        </w:rPr>
      </w:pPr>
      <w:r w:rsidRPr="00A61669">
        <w:rPr>
          <w:rFonts w:asciiTheme="majorHAnsi" w:hAnsiTheme="majorHAnsi" w:cstheme="majorHAnsi"/>
        </w:rPr>
        <w:t>This section reaches the conclusion. It draws on the cost evidence in Section 5 and the application fit evidence in Section 6 to make a clear platform recommendation for DMG Media. The scoring summary below shows how each cloud performed across the weighted evaluation criteria. The recommendation that follows is the one Rackspace believes best fits DMG Media's situation, and why.</w:t>
      </w:r>
    </w:p>
    <w:p w14:paraId="00000509" w14:textId="0000050A" w:rsidR="000B0F63" w:rsidRPr="00A61669" w:rsidRDefault="1BAB210A" w:rsidP="00E40261">
      <w:pPr>
        <w:pStyle w:val="Heading2"/>
        <w:jc w:val="both"/>
        <w:rPr>
          <w:rFonts w:asciiTheme="majorHAnsi" w:hAnsiTheme="majorHAnsi" w:cstheme="majorHAnsi"/>
        </w:rPr>
      </w:pPr>
      <w:bookmarkStart w:id="140" w:name="_Toc174"/>
      <w:bookmarkStart w:id="141" w:name="_Toc227770957"/>
      <w:r w:rsidRPr="00A61669">
        <w:rPr>
          <w:rFonts w:asciiTheme="majorHAnsi" w:hAnsiTheme="majorHAnsi" w:cstheme="majorHAnsi"/>
        </w:rPr>
        <w:t>Weighted Scoring Summary</w:t>
      </w:r>
      <w:bookmarkEnd w:id="140"/>
      <w:bookmarkEnd w:id="141"/>
    </w:p>
    <w:p w14:paraId="0000050B" w14:textId="4E14B908" w:rsidR="000B0F63" w:rsidRPr="00A61669" w:rsidRDefault="00C05D22" w:rsidP="00E40261">
      <w:pPr>
        <w:jc w:val="both"/>
        <w:rPr>
          <w:rFonts w:asciiTheme="majorHAnsi" w:hAnsiTheme="majorHAnsi" w:cstheme="majorHAnsi"/>
        </w:rPr>
      </w:pPr>
      <w:r w:rsidRPr="00A61669">
        <w:rPr>
          <w:rFonts w:asciiTheme="majorHAnsi" w:hAnsiTheme="majorHAnsi" w:cstheme="majorHAnsi"/>
        </w:rPr>
        <w:t>The weighted hyperscaler scoring was applied across thirteen strategic goals</w:t>
      </w:r>
      <w:r w:rsidR="00196F00" w:rsidRPr="00A61669">
        <w:rPr>
          <w:rFonts w:asciiTheme="majorHAnsi" w:hAnsiTheme="majorHAnsi" w:cstheme="majorHAnsi"/>
        </w:rPr>
        <w:t xml:space="preserve"> which are aggregated from 57 underlying value dials, with per-dial detail in Appendix B.</w:t>
      </w:r>
      <w:r w:rsidRPr="00A61669">
        <w:rPr>
          <w:rFonts w:asciiTheme="majorHAnsi" w:hAnsiTheme="majorHAnsi" w:cstheme="majorHAnsi"/>
        </w:rPr>
        <w:t xml:space="preserve">, with weightings DMG Media signed off at the start of the engagement. Scoring was refined during </w:t>
      </w:r>
      <w:r w:rsidR="00100959" w:rsidRPr="00A61669">
        <w:rPr>
          <w:rFonts w:asciiTheme="majorHAnsi" w:hAnsiTheme="majorHAnsi" w:cstheme="majorHAnsi"/>
        </w:rPr>
        <w:t>Part 1</w:t>
      </w:r>
      <w:r w:rsidRPr="00A61669">
        <w:rPr>
          <w:rFonts w:asciiTheme="majorHAnsi" w:hAnsiTheme="majorHAnsi" w:cstheme="majorHAnsi"/>
        </w:rPr>
        <w:t xml:space="preserve"> as commercial data arrived and practical constraints were validated.</w:t>
      </w:r>
    </w:p>
    <w:tbl>
      <w:tblPr>
        <w:tblW w:w="9740" w:type="dxa"/>
        <w:tblCellMar>
          <w:top w:w="100" w:type="dxa"/>
          <w:left w:w="100" w:type="dxa"/>
          <w:bottom w:w="100" w:type="dxa"/>
          <w:right w:w="100" w:type="dxa"/>
        </w:tblCellMar>
        <w:tblLook w:val="04A0" w:firstRow="1" w:lastRow="0" w:firstColumn="1" w:lastColumn="0" w:noHBand="0" w:noVBand="1"/>
      </w:tblPr>
      <w:tblGrid>
        <w:gridCol w:w="1512"/>
        <w:gridCol w:w="1021"/>
        <w:gridCol w:w="1007"/>
        <w:gridCol w:w="950"/>
        <w:gridCol w:w="1058"/>
        <w:gridCol w:w="1421"/>
        <w:gridCol w:w="2771"/>
      </w:tblGrid>
      <w:tr w:rsidR="00F77087" w14:paraId="64F0B063" w14:textId="77777777" w:rsidTr="00626181">
        <w:tc>
          <w:tcPr>
            <w:tcW w:w="1358" w:type="dxa"/>
            <w:shd w:val="clear" w:color="auto" w:fill="D9D9D9" w:themeFill="background1" w:themeFillShade="D9"/>
            <w:tcMar>
              <w:top w:w="100" w:type="dxa"/>
              <w:left w:w="100" w:type="dxa"/>
              <w:bottom w:w="100" w:type="dxa"/>
              <w:right w:w="100" w:type="dxa"/>
            </w:tcMar>
            <w:vAlign w:val="bottom"/>
          </w:tcPr>
          <w:p w14:paraId="0000050D" w14:textId="01DB4E72" w:rsidR="00F77087" w:rsidRPr="00A61669" w:rsidRDefault="00F77087" w:rsidP="00F77087">
            <w:pPr>
              <w:pStyle w:val="TableHeader"/>
              <w:jc w:val="center"/>
              <w:rPr>
                <w:rFonts w:asciiTheme="majorHAnsi" w:hAnsiTheme="majorHAnsi" w:cstheme="majorHAnsi"/>
              </w:rPr>
            </w:pPr>
            <w:r w:rsidRPr="00A61669">
              <w:rPr>
                <w:rFonts w:asciiTheme="majorHAnsi" w:hAnsiTheme="majorHAnsi" w:cstheme="majorHAnsi"/>
              </w:rPr>
              <w:t>Strategic Goal</w:t>
            </w:r>
          </w:p>
        </w:tc>
        <w:tc>
          <w:tcPr>
            <w:tcW w:w="1024" w:type="dxa"/>
            <w:shd w:val="clear" w:color="auto" w:fill="D9D9D9" w:themeFill="background1" w:themeFillShade="D9"/>
            <w:vAlign w:val="bottom"/>
          </w:tcPr>
          <w:p w14:paraId="750C78CF" w14:textId="555D17D8" w:rsidR="00F77087" w:rsidRPr="00A61669" w:rsidRDefault="00F77087" w:rsidP="00F77087">
            <w:pPr>
              <w:pStyle w:val="TableHeader"/>
              <w:jc w:val="center"/>
              <w:rPr>
                <w:rFonts w:asciiTheme="majorHAnsi" w:hAnsiTheme="majorHAnsi" w:cstheme="majorHAnsi"/>
              </w:rPr>
            </w:pPr>
            <w:r w:rsidRPr="00A61669">
              <w:rPr>
                <w:rFonts w:asciiTheme="majorHAnsi" w:hAnsiTheme="majorHAnsi" w:cstheme="majorHAnsi"/>
              </w:rPr>
              <w:t>DMG Priority</w:t>
            </w:r>
          </w:p>
        </w:tc>
        <w:tc>
          <w:tcPr>
            <w:tcW w:w="1024" w:type="dxa"/>
            <w:shd w:val="clear" w:color="auto" w:fill="D9D9D9" w:themeFill="background1" w:themeFillShade="D9"/>
            <w:tcMar>
              <w:top w:w="100" w:type="dxa"/>
              <w:left w:w="100" w:type="dxa"/>
              <w:bottom w:w="100" w:type="dxa"/>
              <w:right w:w="100" w:type="dxa"/>
            </w:tcMar>
            <w:vAlign w:val="bottom"/>
          </w:tcPr>
          <w:p w14:paraId="0000050F" w14:textId="6F68AEA8" w:rsidR="00F77087" w:rsidRPr="00A61669" w:rsidRDefault="00F77087" w:rsidP="00F77087">
            <w:pPr>
              <w:pStyle w:val="TableHeader"/>
              <w:jc w:val="center"/>
              <w:rPr>
                <w:rFonts w:asciiTheme="majorHAnsi" w:hAnsiTheme="majorHAnsi" w:cstheme="majorHAnsi"/>
              </w:rPr>
            </w:pPr>
            <w:r w:rsidRPr="00A61669">
              <w:rPr>
                <w:rFonts w:asciiTheme="majorHAnsi" w:hAnsiTheme="majorHAnsi" w:cstheme="majorHAnsi"/>
              </w:rPr>
              <w:t>AWS</w:t>
            </w:r>
          </w:p>
        </w:tc>
        <w:tc>
          <w:tcPr>
            <w:tcW w:w="962" w:type="dxa"/>
            <w:shd w:val="clear" w:color="auto" w:fill="D9D9D9" w:themeFill="background1" w:themeFillShade="D9"/>
            <w:tcMar>
              <w:top w:w="100" w:type="dxa"/>
              <w:left w:w="100" w:type="dxa"/>
              <w:bottom w:w="100" w:type="dxa"/>
              <w:right w:w="100" w:type="dxa"/>
            </w:tcMar>
            <w:vAlign w:val="bottom"/>
          </w:tcPr>
          <w:p w14:paraId="00000511" w14:textId="1E01572C" w:rsidR="00F77087" w:rsidRPr="00A61669" w:rsidRDefault="00F77087" w:rsidP="00F77087">
            <w:pPr>
              <w:pStyle w:val="TableHeader"/>
              <w:jc w:val="center"/>
              <w:rPr>
                <w:rFonts w:asciiTheme="majorHAnsi" w:hAnsiTheme="majorHAnsi" w:cstheme="majorHAnsi"/>
              </w:rPr>
            </w:pPr>
            <w:r w:rsidRPr="00A61669">
              <w:rPr>
                <w:rFonts w:asciiTheme="majorHAnsi" w:hAnsiTheme="majorHAnsi" w:cstheme="majorHAnsi"/>
              </w:rPr>
              <w:t>Azure</w:t>
            </w:r>
          </w:p>
        </w:tc>
        <w:tc>
          <w:tcPr>
            <w:tcW w:w="1078" w:type="dxa"/>
            <w:shd w:val="clear" w:color="auto" w:fill="D9D9D9" w:themeFill="background1" w:themeFillShade="D9"/>
            <w:tcMar>
              <w:top w:w="100" w:type="dxa"/>
              <w:left w:w="100" w:type="dxa"/>
              <w:bottom w:w="100" w:type="dxa"/>
              <w:right w:w="100" w:type="dxa"/>
            </w:tcMar>
            <w:vAlign w:val="bottom"/>
          </w:tcPr>
          <w:p w14:paraId="00000513" w14:textId="3479FB71" w:rsidR="00F77087" w:rsidRPr="00A61669" w:rsidRDefault="00F77087" w:rsidP="00F77087">
            <w:pPr>
              <w:pStyle w:val="TableHeader"/>
              <w:jc w:val="center"/>
              <w:rPr>
                <w:rFonts w:asciiTheme="majorHAnsi" w:hAnsiTheme="majorHAnsi" w:cstheme="majorHAnsi"/>
              </w:rPr>
            </w:pPr>
            <w:r w:rsidRPr="00A61669">
              <w:rPr>
                <w:rFonts w:asciiTheme="majorHAnsi" w:hAnsiTheme="majorHAnsi" w:cstheme="majorHAnsi"/>
              </w:rPr>
              <w:t>GCP</w:t>
            </w:r>
          </w:p>
        </w:tc>
        <w:tc>
          <w:tcPr>
            <w:tcW w:w="1450" w:type="dxa"/>
            <w:shd w:val="clear" w:color="auto" w:fill="D9D9D9" w:themeFill="background1" w:themeFillShade="D9"/>
            <w:tcMar>
              <w:top w:w="100" w:type="dxa"/>
              <w:left w:w="100" w:type="dxa"/>
              <w:bottom w:w="100" w:type="dxa"/>
              <w:right w:w="100" w:type="dxa"/>
            </w:tcMar>
            <w:vAlign w:val="center"/>
          </w:tcPr>
          <w:p w14:paraId="00000515" w14:textId="00000516" w:rsidR="00F77087" w:rsidRPr="00A61669" w:rsidRDefault="00F77087" w:rsidP="00F77087">
            <w:pPr>
              <w:pStyle w:val="TableHeader"/>
              <w:jc w:val="center"/>
              <w:rPr>
                <w:rFonts w:asciiTheme="majorHAnsi" w:hAnsiTheme="majorHAnsi" w:cstheme="majorHAnsi"/>
              </w:rPr>
            </w:pPr>
            <w:r w:rsidRPr="00A61669">
              <w:rPr>
                <w:rFonts w:asciiTheme="majorHAnsi" w:hAnsiTheme="majorHAnsi" w:cstheme="majorHAnsi"/>
              </w:rPr>
              <w:t>Winner</w:t>
            </w:r>
          </w:p>
        </w:tc>
        <w:tc>
          <w:tcPr>
            <w:tcW w:w="2844" w:type="dxa"/>
            <w:shd w:val="clear" w:color="auto" w:fill="D9D9D9" w:themeFill="background1" w:themeFillShade="D9"/>
            <w:tcMar>
              <w:top w:w="100" w:type="dxa"/>
              <w:left w:w="100" w:type="dxa"/>
              <w:bottom w:w="100" w:type="dxa"/>
              <w:right w:w="100" w:type="dxa"/>
            </w:tcMar>
            <w:vAlign w:val="center"/>
          </w:tcPr>
          <w:p w14:paraId="00000517" w14:textId="00000518" w:rsidR="00F77087" w:rsidRPr="00A61669" w:rsidRDefault="00F77087" w:rsidP="00F77087">
            <w:pPr>
              <w:pStyle w:val="TableHeader"/>
              <w:jc w:val="center"/>
              <w:rPr>
                <w:rFonts w:asciiTheme="majorHAnsi" w:hAnsiTheme="majorHAnsi" w:cstheme="majorHAnsi"/>
              </w:rPr>
            </w:pPr>
            <w:r w:rsidRPr="00A61669">
              <w:rPr>
                <w:rFonts w:asciiTheme="majorHAnsi" w:hAnsiTheme="majorHAnsi" w:cstheme="majorHAnsi"/>
              </w:rPr>
              <w:t>Notes</w:t>
            </w:r>
          </w:p>
        </w:tc>
      </w:tr>
      <w:tr w:rsidR="00F77087" w14:paraId="76506BB3" w14:textId="77777777" w:rsidTr="00626181">
        <w:tc>
          <w:tcPr>
            <w:tcW w:w="1358" w:type="dxa"/>
            <w:tcMar>
              <w:top w:w="100" w:type="dxa"/>
              <w:left w:w="100" w:type="dxa"/>
              <w:bottom w:w="100" w:type="dxa"/>
              <w:right w:w="100" w:type="dxa"/>
            </w:tcMar>
            <w:vAlign w:val="bottom"/>
          </w:tcPr>
          <w:p w14:paraId="00000519" w14:textId="46AFEA54"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b/>
                <w:sz w:val="20"/>
                <w:szCs w:val="20"/>
                <w:lang w:eastAsia="en-GB"/>
              </w:rPr>
              <w:t>Uptime</w:t>
            </w:r>
          </w:p>
        </w:tc>
        <w:tc>
          <w:tcPr>
            <w:tcW w:w="1024" w:type="dxa"/>
            <w:vAlign w:val="bottom"/>
          </w:tcPr>
          <w:p w14:paraId="1CFF6E94" w14:textId="65BD6EE8" w:rsidR="00F77087" w:rsidRPr="00A61669" w:rsidRDefault="00F77087" w:rsidP="00F77087">
            <w:pPr>
              <w:pStyle w:val="TableInfo"/>
              <w:jc w:val="center"/>
              <w:rPr>
                <w:rFonts w:asciiTheme="majorHAnsi" w:eastAsia="Times New Roman" w:hAnsiTheme="majorHAnsi" w:cstheme="majorHAnsi"/>
                <w:color w:val="000000"/>
                <w:lang w:eastAsia="en-GB"/>
              </w:rPr>
            </w:pPr>
            <w:r w:rsidRPr="00A61669">
              <w:rPr>
                <w:rFonts w:asciiTheme="majorHAnsi" w:eastAsia="Times New Roman" w:hAnsiTheme="majorHAnsi" w:cstheme="majorHAnsi"/>
                <w:color w:val="000000"/>
                <w:lang w:eastAsia="en-GB"/>
              </w:rPr>
              <w:t>High</w:t>
            </w:r>
          </w:p>
        </w:tc>
        <w:tc>
          <w:tcPr>
            <w:tcW w:w="1024" w:type="dxa"/>
            <w:tcMar>
              <w:top w:w="100" w:type="dxa"/>
              <w:left w:w="100" w:type="dxa"/>
              <w:bottom w:w="100" w:type="dxa"/>
              <w:right w:w="100" w:type="dxa"/>
            </w:tcMar>
            <w:vAlign w:val="bottom"/>
          </w:tcPr>
          <w:p w14:paraId="0000051B" w14:textId="2F54A4AE"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4.2</w:t>
            </w:r>
          </w:p>
        </w:tc>
        <w:tc>
          <w:tcPr>
            <w:tcW w:w="962" w:type="dxa"/>
            <w:tcMar>
              <w:top w:w="100" w:type="dxa"/>
              <w:left w:w="100" w:type="dxa"/>
              <w:bottom w:w="100" w:type="dxa"/>
              <w:right w:w="100" w:type="dxa"/>
            </w:tcMar>
            <w:vAlign w:val="bottom"/>
          </w:tcPr>
          <w:p w14:paraId="0000051D" w14:textId="5D3E7E5A"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4.2</w:t>
            </w:r>
          </w:p>
        </w:tc>
        <w:tc>
          <w:tcPr>
            <w:tcW w:w="1078" w:type="dxa"/>
            <w:tcMar>
              <w:top w:w="100" w:type="dxa"/>
              <w:left w:w="100" w:type="dxa"/>
              <w:bottom w:w="100" w:type="dxa"/>
              <w:right w:w="100" w:type="dxa"/>
            </w:tcMar>
            <w:vAlign w:val="bottom"/>
          </w:tcPr>
          <w:p w14:paraId="0000051F" w14:textId="4182260D"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4.2</w:t>
            </w:r>
          </w:p>
        </w:tc>
        <w:tc>
          <w:tcPr>
            <w:tcW w:w="1450" w:type="dxa"/>
            <w:tcMar>
              <w:top w:w="100" w:type="dxa"/>
              <w:left w:w="100" w:type="dxa"/>
              <w:bottom w:w="100" w:type="dxa"/>
              <w:right w:w="100" w:type="dxa"/>
            </w:tcMar>
            <w:vAlign w:val="center"/>
          </w:tcPr>
          <w:p w14:paraId="00000521" w14:textId="00000522" w:rsidR="00F77087" w:rsidRPr="00A61669" w:rsidRDefault="00F77087" w:rsidP="00F77087">
            <w:pPr>
              <w:pStyle w:val="TableInfo"/>
              <w:jc w:val="center"/>
              <w:rPr>
                <w:rFonts w:asciiTheme="majorHAnsi" w:hAnsiTheme="majorHAnsi" w:cstheme="majorHAnsi"/>
              </w:rPr>
            </w:pPr>
            <w:r w:rsidRPr="00A61669">
              <w:rPr>
                <w:rFonts w:asciiTheme="majorHAnsi" w:hAnsiTheme="majorHAnsi" w:cstheme="majorHAnsi"/>
              </w:rPr>
              <w:t>Tied</w:t>
            </w:r>
          </w:p>
        </w:tc>
        <w:tc>
          <w:tcPr>
            <w:tcW w:w="2844" w:type="dxa"/>
            <w:tcMar>
              <w:top w:w="100" w:type="dxa"/>
              <w:left w:w="100" w:type="dxa"/>
              <w:bottom w:w="100" w:type="dxa"/>
              <w:right w:w="100" w:type="dxa"/>
            </w:tcMar>
            <w:vAlign w:val="center"/>
          </w:tcPr>
          <w:p w14:paraId="00000523" w14:textId="00000524" w:rsidR="00F77087" w:rsidRPr="00A61669" w:rsidRDefault="00F77087" w:rsidP="00F77087">
            <w:pPr>
              <w:pStyle w:val="TableInfo"/>
              <w:rPr>
                <w:rFonts w:asciiTheme="majorHAnsi" w:hAnsiTheme="majorHAnsi" w:cstheme="majorHAnsi"/>
              </w:rPr>
            </w:pPr>
            <w:r w:rsidRPr="00A61669">
              <w:rPr>
                <w:rFonts w:asciiTheme="majorHAnsi" w:hAnsiTheme="majorHAnsi" w:cstheme="majorHAnsi"/>
              </w:rPr>
              <w:t>All three offer 99.99% SLA at multi-zone deployment.</w:t>
            </w:r>
          </w:p>
        </w:tc>
      </w:tr>
      <w:tr w:rsidR="00F77087" w14:paraId="010650CA" w14:textId="77777777" w:rsidTr="00626181">
        <w:tc>
          <w:tcPr>
            <w:tcW w:w="1358" w:type="dxa"/>
            <w:tcMar>
              <w:top w:w="100" w:type="dxa"/>
              <w:left w:w="100" w:type="dxa"/>
              <w:bottom w:w="100" w:type="dxa"/>
              <w:right w:w="100" w:type="dxa"/>
            </w:tcMar>
            <w:vAlign w:val="bottom"/>
          </w:tcPr>
          <w:p w14:paraId="00000525" w14:textId="38FA9505"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b/>
                <w:sz w:val="20"/>
                <w:szCs w:val="20"/>
                <w:lang w:eastAsia="en-GB"/>
              </w:rPr>
              <w:t>Reliability</w:t>
            </w:r>
          </w:p>
        </w:tc>
        <w:tc>
          <w:tcPr>
            <w:tcW w:w="1024" w:type="dxa"/>
            <w:vAlign w:val="bottom"/>
          </w:tcPr>
          <w:p w14:paraId="0FD1CAC4" w14:textId="0033A18F" w:rsidR="00F77087" w:rsidRPr="00A61669" w:rsidRDefault="00F77087" w:rsidP="00F77087">
            <w:pPr>
              <w:pStyle w:val="TableInfo"/>
              <w:jc w:val="center"/>
              <w:rPr>
                <w:rFonts w:asciiTheme="majorHAnsi" w:eastAsia="Times New Roman" w:hAnsiTheme="majorHAnsi" w:cstheme="majorHAnsi"/>
                <w:color w:val="000000"/>
                <w:lang w:eastAsia="en-GB"/>
              </w:rPr>
            </w:pPr>
            <w:r w:rsidRPr="00A61669">
              <w:rPr>
                <w:rFonts w:asciiTheme="majorHAnsi" w:eastAsia="Times New Roman" w:hAnsiTheme="majorHAnsi" w:cstheme="majorHAnsi"/>
                <w:color w:val="000000"/>
                <w:lang w:eastAsia="en-GB"/>
              </w:rPr>
              <w:t>Moderate</w:t>
            </w:r>
          </w:p>
        </w:tc>
        <w:tc>
          <w:tcPr>
            <w:tcW w:w="1024" w:type="dxa"/>
            <w:tcMar>
              <w:top w:w="100" w:type="dxa"/>
              <w:left w:w="100" w:type="dxa"/>
              <w:bottom w:w="100" w:type="dxa"/>
              <w:right w:w="100" w:type="dxa"/>
            </w:tcMar>
            <w:vAlign w:val="bottom"/>
          </w:tcPr>
          <w:p w14:paraId="00000527" w14:textId="57C99C07" w:rsidR="00F77087" w:rsidRPr="00A61669" w:rsidRDefault="00F77087" w:rsidP="00F77087">
            <w:pPr>
              <w:pStyle w:val="TableInfo"/>
              <w:jc w:val="center"/>
              <w:rPr>
                <w:rFonts w:asciiTheme="majorHAnsi" w:hAnsiTheme="majorHAnsi" w:cstheme="majorHAnsi"/>
                <w:b/>
              </w:rPr>
            </w:pPr>
            <w:r w:rsidRPr="00A61669">
              <w:rPr>
                <w:rFonts w:asciiTheme="majorHAnsi" w:eastAsia="Times New Roman" w:hAnsiTheme="majorHAnsi" w:cstheme="majorHAnsi"/>
                <w:color w:val="000000"/>
                <w:lang w:eastAsia="en-GB"/>
              </w:rPr>
              <w:t>4.8</w:t>
            </w:r>
          </w:p>
        </w:tc>
        <w:tc>
          <w:tcPr>
            <w:tcW w:w="962" w:type="dxa"/>
            <w:tcMar>
              <w:top w:w="100" w:type="dxa"/>
              <w:left w:w="100" w:type="dxa"/>
              <w:bottom w:w="100" w:type="dxa"/>
              <w:right w:w="100" w:type="dxa"/>
            </w:tcMar>
            <w:vAlign w:val="bottom"/>
          </w:tcPr>
          <w:p w14:paraId="00000529" w14:textId="6C739168"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4.6</w:t>
            </w:r>
          </w:p>
        </w:tc>
        <w:tc>
          <w:tcPr>
            <w:tcW w:w="1078" w:type="dxa"/>
            <w:tcMar>
              <w:top w:w="100" w:type="dxa"/>
              <w:left w:w="100" w:type="dxa"/>
              <w:bottom w:w="100" w:type="dxa"/>
              <w:right w:w="100" w:type="dxa"/>
            </w:tcMar>
            <w:vAlign w:val="bottom"/>
          </w:tcPr>
          <w:p w14:paraId="0000052B" w14:textId="289E3B58"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4.4</w:t>
            </w:r>
          </w:p>
        </w:tc>
        <w:tc>
          <w:tcPr>
            <w:tcW w:w="1450" w:type="dxa"/>
            <w:tcMar>
              <w:top w:w="100" w:type="dxa"/>
              <w:left w:w="100" w:type="dxa"/>
              <w:bottom w:w="100" w:type="dxa"/>
              <w:right w:w="100" w:type="dxa"/>
            </w:tcMar>
            <w:vAlign w:val="center"/>
          </w:tcPr>
          <w:p w14:paraId="0000052D" w14:textId="0000052E" w:rsidR="00F77087" w:rsidRPr="00A61669" w:rsidRDefault="00F77087" w:rsidP="00F77087">
            <w:pPr>
              <w:pStyle w:val="TableInfo"/>
              <w:jc w:val="center"/>
              <w:rPr>
                <w:rFonts w:asciiTheme="majorHAnsi" w:hAnsiTheme="majorHAnsi" w:cstheme="majorHAnsi"/>
              </w:rPr>
            </w:pPr>
            <w:r w:rsidRPr="00A61669">
              <w:rPr>
                <w:rFonts w:asciiTheme="majorHAnsi" w:hAnsiTheme="majorHAnsi" w:cstheme="majorHAnsi"/>
              </w:rPr>
              <w:t>AWS</w:t>
            </w:r>
          </w:p>
        </w:tc>
        <w:tc>
          <w:tcPr>
            <w:tcW w:w="2844" w:type="dxa"/>
            <w:tcMar>
              <w:top w:w="100" w:type="dxa"/>
              <w:left w:w="100" w:type="dxa"/>
              <w:bottom w:w="100" w:type="dxa"/>
              <w:right w:w="100" w:type="dxa"/>
            </w:tcMar>
            <w:vAlign w:val="center"/>
          </w:tcPr>
          <w:p w14:paraId="0000052F" w14:textId="00000530" w:rsidR="00F77087" w:rsidRPr="00A61669" w:rsidRDefault="00F77087" w:rsidP="00F77087">
            <w:pPr>
              <w:pStyle w:val="TableInfo"/>
              <w:rPr>
                <w:rFonts w:asciiTheme="majorHAnsi" w:hAnsiTheme="majorHAnsi" w:cstheme="majorHAnsi"/>
              </w:rPr>
            </w:pPr>
            <w:r w:rsidRPr="00A61669">
              <w:rPr>
                <w:rFonts w:asciiTheme="majorHAnsi" w:hAnsiTheme="majorHAnsi" w:cstheme="majorHAnsi"/>
                <w:lang w:val="en-GB"/>
              </w:rPr>
              <w:t>Longest operational track record, broadest service catalogue.</w:t>
            </w:r>
          </w:p>
        </w:tc>
      </w:tr>
      <w:tr w:rsidR="00F77087" w14:paraId="29E7225F" w14:textId="77777777" w:rsidTr="00626181">
        <w:tc>
          <w:tcPr>
            <w:tcW w:w="1358" w:type="dxa"/>
            <w:tcMar>
              <w:top w:w="100" w:type="dxa"/>
              <w:left w:w="100" w:type="dxa"/>
              <w:bottom w:w="100" w:type="dxa"/>
              <w:right w:w="100" w:type="dxa"/>
            </w:tcMar>
            <w:vAlign w:val="bottom"/>
          </w:tcPr>
          <w:p w14:paraId="00000531" w14:textId="59575C7C"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b/>
                <w:sz w:val="20"/>
                <w:szCs w:val="20"/>
                <w:lang w:eastAsia="en-GB"/>
              </w:rPr>
              <w:t>Scalability</w:t>
            </w:r>
          </w:p>
        </w:tc>
        <w:tc>
          <w:tcPr>
            <w:tcW w:w="1024" w:type="dxa"/>
            <w:vAlign w:val="bottom"/>
          </w:tcPr>
          <w:p w14:paraId="39117157" w14:textId="0783DFC3" w:rsidR="00F77087" w:rsidRPr="00A61669" w:rsidRDefault="00F77087" w:rsidP="00F77087">
            <w:pPr>
              <w:pStyle w:val="TableInfo"/>
              <w:jc w:val="center"/>
              <w:rPr>
                <w:rFonts w:asciiTheme="majorHAnsi" w:eastAsia="Times New Roman" w:hAnsiTheme="majorHAnsi" w:cstheme="majorHAnsi"/>
                <w:color w:val="000000"/>
                <w:lang w:eastAsia="en-GB"/>
              </w:rPr>
            </w:pPr>
            <w:r w:rsidRPr="00A61669">
              <w:rPr>
                <w:rFonts w:asciiTheme="majorHAnsi" w:eastAsia="Times New Roman" w:hAnsiTheme="majorHAnsi" w:cstheme="majorHAnsi"/>
                <w:color w:val="000000"/>
                <w:lang w:eastAsia="en-GB"/>
              </w:rPr>
              <w:t>Moderate</w:t>
            </w:r>
          </w:p>
        </w:tc>
        <w:tc>
          <w:tcPr>
            <w:tcW w:w="1024" w:type="dxa"/>
            <w:tcMar>
              <w:top w:w="100" w:type="dxa"/>
              <w:left w:w="100" w:type="dxa"/>
              <w:bottom w:w="100" w:type="dxa"/>
              <w:right w:w="100" w:type="dxa"/>
            </w:tcMar>
            <w:vAlign w:val="bottom"/>
          </w:tcPr>
          <w:p w14:paraId="00000533" w14:textId="692BDFBA" w:rsidR="00F77087" w:rsidRPr="00A61669" w:rsidRDefault="00F77087" w:rsidP="00F77087">
            <w:pPr>
              <w:pStyle w:val="TableInfo"/>
              <w:jc w:val="center"/>
              <w:rPr>
                <w:rFonts w:asciiTheme="majorHAnsi" w:hAnsiTheme="majorHAnsi" w:cstheme="majorHAnsi"/>
                <w:b/>
              </w:rPr>
            </w:pPr>
            <w:r w:rsidRPr="00A61669">
              <w:rPr>
                <w:rFonts w:asciiTheme="majorHAnsi" w:eastAsia="Times New Roman" w:hAnsiTheme="majorHAnsi" w:cstheme="majorHAnsi"/>
                <w:color w:val="000000"/>
                <w:lang w:eastAsia="en-GB"/>
              </w:rPr>
              <w:t>4.8</w:t>
            </w:r>
          </w:p>
        </w:tc>
        <w:tc>
          <w:tcPr>
            <w:tcW w:w="962" w:type="dxa"/>
            <w:tcMar>
              <w:top w:w="100" w:type="dxa"/>
              <w:left w:w="100" w:type="dxa"/>
              <w:bottom w:w="100" w:type="dxa"/>
              <w:right w:w="100" w:type="dxa"/>
            </w:tcMar>
            <w:vAlign w:val="bottom"/>
          </w:tcPr>
          <w:p w14:paraId="00000535" w14:textId="5332E2FF"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4.5</w:t>
            </w:r>
          </w:p>
        </w:tc>
        <w:tc>
          <w:tcPr>
            <w:tcW w:w="1078" w:type="dxa"/>
            <w:tcMar>
              <w:top w:w="100" w:type="dxa"/>
              <w:left w:w="100" w:type="dxa"/>
              <w:bottom w:w="100" w:type="dxa"/>
              <w:right w:w="100" w:type="dxa"/>
            </w:tcMar>
            <w:vAlign w:val="bottom"/>
          </w:tcPr>
          <w:p w14:paraId="00000537" w14:textId="623B3736" w:rsidR="00F77087" w:rsidRPr="00A61669" w:rsidRDefault="00F77087" w:rsidP="00F77087">
            <w:pPr>
              <w:pStyle w:val="TableInfo"/>
              <w:jc w:val="center"/>
              <w:rPr>
                <w:rFonts w:asciiTheme="majorHAnsi" w:hAnsiTheme="majorHAnsi" w:cstheme="majorHAnsi"/>
                <w:b/>
              </w:rPr>
            </w:pPr>
            <w:r w:rsidRPr="00A61669">
              <w:rPr>
                <w:rFonts w:asciiTheme="majorHAnsi" w:eastAsia="Times New Roman" w:hAnsiTheme="majorHAnsi" w:cstheme="majorHAnsi"/>
                <w:color w:val="000000"/>
                <w:lang w:eastAsia="en-GB"/>
              </w:rPr>
              <w:t>4.8</w:t>
            </w:r>
          </w:p>
        </w:tc>
        <w:tc>
          <w:tcPr>
            <w:tcW w:w="1450" w:type="dxa"/>
            <w:tcMar>
              <w:top w:w="100" w:type="dxa"/>
              <w:left w:w="100" w:type="dxa"/>
              <w:bottom w:w="100" w:type="dxa"/>
              <w:right w:w="100" w:type="dxa"/>
            </w:tcMar>
            <w:vAlign w:val="center"/>
          </w:tcPr>
          <w:p w14:paraId="00000539" w14:textId="0000053A" w:rsidR="00F77087" w:rsidRPr="00A61669" w:rsidRDefault="00F77087" w:rsidP="00F77087">
            <w:pPr>
              <w:pStyle w:val="TableInfo"/>
              <w:jc w:val="center"/>
              <w:rPr>
                <w:rFonts w:asciiTheme="majorHAnsi" w:hAnsiTheme="majorHAnsi" w:cstheme="majorHAnsi"/>
              </w:rPr>
            </w:pPr>
            <w:r w:rsidRPr="00A61669">
              <w:rPr>
                <w:rFonts w:asciiTheme="majorHAnsi" w:hAnsiTheme="majorHAnsi" w:cstheme="majorHAnsi"/>
              </w:rPr>
              <w:t>AWS / GCP</w:t>
            </w:r>
          </w:p>
        </w:tc>
        <w:tc>
          <w:tcPr>
            <w:tcW w:w="2844" w:type="dxa"/>
            <w:tcMar>
              <w:top w:w="100" w:type="dxa"/>
              <w:left w:w="100" w:type="dxa"/>
              <w:bottom w:w="100" w:type="dxa"/>
              <w:right w:w="100" w:type="dxa"/>
            </w:tcMar>
            <w:vAlign w:val="center"/>
          </w:tcPr>
          <w:p w14:paraId="0000053B" w14:textId="0000053C" w:rsidR="00F77087" w:rsidRPr="00A61669" w:rsidRDefault="00F77087" w:rsidP="00F77087">
            <w:pPr>
              <w:pStyle w:val="TableInfo"/>
              <w:rPr>
                <w:rFonts w:asciiTheme="majorHAnsi" w:hAnsiTheme="majorHAnsi" w:cstheme="majorHAnsi"/>
              </w:rPr>
            </w:pPr>
            <w:r w:rsidRPr="00A61669">
              <w:rPr>
                <w:rFonts w:asciiTheme="majorHAnsi" w:hAnsiTheme="majorHAnsi" w:cstheme="majorHAnsi"/>
              </w:rPr>
              <w:t>Both offer strong elastic demand handling.</w:t>
            </w:r>
          </w:p>
        </w:tc>
      </w:tr>
      <w:tr w:rsidR="00F77087" w14:paraId="38A2FE8E" w14:textId="77777777" w:rsidTr="00626181">
        <w:tc>
          <w:tcPr>
            <w:tcW w:w="1358" w:type="dxa"/>
            <w:tcMar>
              <w:top w:w="100" w:type="dxa"/>
              <w:left w:w="100" w:type="dxa"/>
              <w:bottom w:w="100" w:type="dxa"/>
              <w:right w:w="100" w:type="dxa"/>
            </w:tcMar>
            <w:vAlign w:val="bottom"/>
          </w:tcPr>
          <w:p w14:paraId="0000053D" w14:textId="14C20602"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b/>
                <w:sz w:val="20"/>
                <w:szCs w:val="20"/>
                <w:lang w:eastAsia="en-GB"/>
              </w:rPr>
              <w:t>Security</w:t>
            </w:r>
          </w:p>
        </w:tc>
        <w:tc>
          <w:tcPr>
            <w:tcW w:w="1024" w:type="dxa"/>
            <w:vAlign w:val="bottom"/>
          </w:tcPr>
          <w:p w14:paraId="485D5072" w14:textId="726D4A13" w:rsidR="00F77087" w:rsidRPr="00A61669" w:rsidRDefault="00F77087" w:rsidP="00F77087">
            <w:pPr>
              <w:pStyle w:val="TableInfo"/>
              <w:jc w:val="center"/>
              <w:rPr>
                <w:rFonts w:asciiTheme="majorHAnsi" w:eastAsia="Times New Roman" w:hAnsiTheme="majorHAnsi" w:cstheme="majorHAnsi"/>
                <w:color w:val="000000"/>
                <w:lang w:eastAsia="en-GB"/>
              </w:rPr>
            </w:pPr>
            <w:r w:rsidRPr="00A61669">
              <w:rPr>
                <w:rFonts w:asciiTheme="majorHAnsi" w:eastAsia="Times New Roman" w:hAnsiTheme="majorHAnsi" w:cstheme="majorHAnsi"/>
                <w:color w:val="000000"/>
                <w:lang w:eastAsia="en-GB"/>
              </w:rPr>
              <w:t>Moderate</w:t>
            </w:r>
          </w:p>
        </w:tc>
        <w:tc>
          <w:tcPr>
            <w:tcW w:w="1024" w:type="dxa"/>
            <w:tcMar>
              <w:top w:w="100" w:type="dxa"/>
              <w:left w:w="100" w:type="dxa"/>
              <w:bottom w:w="100" w:type="dxa"/>
              <w:right w:w="100" w:type="dxa"/>
            </w:tcMar>
            <w:vAlign w:val="bottom"/>
          </w:tcPr>
          <w:p w14:paraId="0000053F" w14:textId="65BFA274"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4.3</w:t>
            </w:r>
          </w:p>
        </w:tc>
        <w:tc>
          <w:tcPr>
            <w:tcW w:w="962" w:type="dxa"/>
            <w:tcMar>
              <w:top w:w="100" w:type="dxa"/>
              <w:left w:w="100" w:type="dxa"/>
              <w:bottom w:w="100" w:type="dxa"/>
              <w:right w:w="100" w:type="dxa"/>
            </w:tcMar>
            <w:vAlign w:val="bottom"/>
          </w:tcPr>
          <w:p w14:paraId="00000541" w14:textId="03C8172F" w:rsidR="00F77087" w:rsidRPr="00A61669" w:rsidRDefault="00F77087" w:rsidP="00F77087">
            <w:pPr>
              <w:pStyle w:val="TableInfo"/>
              <w:jc w:val="center"/>
              <w:rPr>
                <w:rFonts w:asciiTheme="majorHAnsi" w:hAnsiTheme="majorHAnsi" w:cstheme="majorHAnsi"/>
                <w:b/>
              </w:rPr>
            </w:pPr>
            <w:r w:rsidRPr="00A61669">
              <w:rPr>
                <w:rFonts w:asciiTheme="majorHAnsi" w:eastAsia="Times New Roman" w:hAnsiTheme="majorHAnsi" w:cstheme="majorHAnsi"/>
                <w:color w:val="000000"/>
                <w:lang w:eastAsia="en-GB"/>
              </w:rPr>
              <w:t>4.8</w:t>
            </w:r>
          </w:p>
        </w:tc>
        <w:tc>
          <w:tcPr>
            <w:tcW w:w="1078" w:type="dxa"/>
            <w:tcMar>
              <w:top w:w="100" w:type="dxa"/>
              <w:left w:w="100" w:type="dxa"/>
              <w:bottom w:w="100" w:type="dxa"/>
              <w:right w:w="100" w:type="dxa"/>
            </w:tcMar>
            <w:vAlign w:val="bottom"/>
          </w:tcPr>
          <w:p w14:paraId="00000543" w14:textId="2E2E0DCA"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4.6</w:t>
            </w:r>
          </w:p>
        </w:tc>
        <w:tc>
          <w:tcPr>
            <w:tcW w:w="1450" w:type="dxa"/>
            <w:tcMar>
              <w:top w:w="100" w:type="dxa"/>
              <w:left w:w="100" w:type="dxa"/>
              <w:bottom w:w="100" w:type="dxa"/>
              <w:right w:w="100" w:type="dxa"/>
            </w:tcMar>
            <w:vAlign w:val="center"/>
          </w:tcPr>
          <w:p w14:paraId="00000545" w14:textId="00000546" w:rsidR="00F77087" w:rsidRPr="00A61669" w:rsidRDefault="00F77087" w:rsidP="00F77087">
            <w:pPr>
              <w:pStyle w:val="TableInfo"/>
              <w:jc w:val="center"/>
              <w:rPr>
                <w:rFonts w:asciiTheme="majorHAnsi" w:hAnsiTheme="majorHAnsi" w:cstheme="majorHAnsi"/>
              </w:rPr>
            </w:pPr>
            <w:r w:rsidRPr="00A61669">
              <w:rPr>
                <w:rFonts w:asciiTheme="majorHAnsi" w:hAnsiTheme="majorHAnsi" w:cstheme="majorHAnsi"/>
              </w:rPr>
              <w:t>Azure</w:t>
            </w:r>
          </w:p>
        </w:tc>
        <w:tc>
          <w:tcPr>
            <w:tcW w:w="2844" w:type="dxa"/>
            <w:tcMar>
              <w:top w:w="100" w:type="dxa"/>
              <w:left w:w="100" w:type="dxa"/>
              <w:bottom w:w="100" w:type="dxa"/>
              <w:right w:w="100" w:type="dxa"/>
            </w:tcMar>
            <w:vAlign w:val="center"/>
          </w:tcPr>
          <w:p w14:paraId="00000547" w14:textId="00000548" w:rsidR="00F77087" w:rsidRPr="00A61669" w:rsidRDefault="00F77087" w:rsidP="00F77087">
            <w:pPr>
              <w:pStyle w:val="TableInfo"/>
              <w:rPr>
                <w:rFonts w:asciiTheme="majorHAnsi" w:hAnsiTheme="majorHAnsi" w:cstheme="majorHAnsi"/>
              </w:rPr>
            </w:pPr>
            <w:r w:rsidRPr="00A61669">
              <w:rPr>
                <w:rFonts w:asciiTheme="majorHAnsi" w:hAnsiTheme="majorHAnsi" w:cstheme="majorHAnsi"/>
              </w:rPr>
              <w:t>Azure Entra ID and Sentinel strongest.</w:t>
            </w:r>
          </w:p>
        </w:tc>
      </w:tr>
      <w:tr w:rsidR="00F77087" w14:paraId="32AC3D27" w14:textId="77777777" w:rsidTr="00626181">
        <w:tc>
          <w:tcPr>
            <w:tcW w:w="1358" w:type="dxa"/>
            <w:tcMar>
              <w:top w:w="100" w:type="dxa"/>
              <w:left w:w="100" w:type="dxa"/>
              <w:bottom w:w="100" w:type="dxa"/>
              <w:right w:w="100" w:type="dxa"/>
            </w:tcMar>
            <w:vAlign w:val="bottom"/>
          </w:tcPr>
          <w:p w14:paraId="00000549" w14:textId="37D3BC33"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b/>
                <w:sz w:val="20"/>
                <w:szCs w:val="20"/>
                <w:lang w:eastAsia="en-GB"/>
              </w:rPr>
              <w:t>Performance</w:t>
            </w:r>
          </w:p>
        </w:tc>
        <w:tc>
          <w:tcPr>
            <w:tcW w:w="1024" w:type="dxa"/>
            <w:vAlign w:val="bottom"/>
          </w:tcPr>
          <w:p w14:paraId="15857FD6" w14:textId="50E7C4BF" w:rsidR="00F77087" w:rsidRPr="00A61669" w:rsidRDefault="00F77087" w:rsidP="00F77087">
            <w:pPr>
              <w:pStyle w:val="TableInfo"/>
              <w:jc w:val="center"/>
              <w:rPr>
                <w:rFonts w:asciiTheme="majorHAnsi" w:eastAsia="Times New Roman" w:hAnsiTheme="majorHAnsi" w:cstheme="majorHAnsi"/>
                <w:color w:val="000000"/>
                <w:lang w:eastAsia="en-GB"/>
              </w:rPr>
            </w:pPr>
            <w:r w:rsidRPr="00A61669">
              <w:rPr>
                <w:rFonts w:asciiTheme="majorHAnsi" w:eastAsia="Times New Roman" w:hAnsiTheme="majorHAnsi" w:cstheme="majorHAnsi"/>
                <w:color w:val="000000"/>
                <w:lang w:eastAsia="en-GB"/>
              </w:rPr>
              <w:t>High</w:t>
            </w:r>
          </w:p>
        </w:tc>
        <w:tc>
          <w:tcPr>
            <w:tcW w:w="1024" w:type="dxa"/>
            <w:tcMar>
              <w:top w:w="100" w:type="dxa"/>
              <w:left w:w="100" w:type="dxa"/>
              <w:bottom w:w="100" w:type="dxa"/>
              <w:right w:w="100" w:type="dxa"/>
            </w:tcMar>
            <w:vAlign w:val="bottom"/>
          </w:tcPr>
          <w:p w14:paraId="0000054B" w14:textId="6673B385" w:rsidR="00F77087" w:rsidRPr="00A61669" w:rsidRDefault="00F77087" w:rsidP="00F77087">
            <w:pPr>
              <w:pStyle w:val="TableInfo"/>
              <w:jc w:val="center"/>
              <w:rPr>
                <w:rFonts w:asciiTheme="majorHAnsi" w:hAnsiTheme="majorHAnsi" w:cstheme="majorHAnsi"/>
                <w:b/>
              </w:rPr>
            </w:pPr>
            <w:r w:rsidRPr="00A61669">
              <w:rPr>
                <w:rFonts w:asciiTheme="majorHAnsi" w:eastAsia="Times New Roman" w:hAnsiTheme="majorHAnsi" w:cstheme="majorHAnsi"/>
                <w:color w:val="000000"/>
                <w:lang w:eastAsia="en-GB"/>
              </w:rPr>
              <w:t>4.7</w:t>
            </w:r>
          </w:p>
        </w:tc>
        <w:tc>
          <w:tcPr>
            <w:tcW w:w="962" w:type="dxa"/>
            <w:tcMar>
              <w:top w:w="100" w:type="dxa"/>
              <w:left w:w="100" w:type="dxa"/>
              <w:bottom w:w="100" w:type="dxa"/>
              <w:right w:w="100" w:type="dxa"/>
            </w:tcMar>
            <w:vAlign w:val="bottom"/>
          </w:tcPr>
          <w:p w14:paraId="0000054D" w14:textId="7FBAD0E0"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4.3</w:t>
            </w:r>
          </w:p>
        </w:tc>
        <w:tc>
          <w:tcPr>
            <w:tcW w:w="1078" w:type="dxa"/>
            <w:tcMar>
              <w:top w:w="100" w:type="dxa"/>
              <w:left w:w="100" w:type="dxa"/>
              <w:bottom w:w="100" w:type="dxa"/>
              <w:right w:w="100" w:type="dxa"/>
            </w:tcMar>
            <w:vAlign w:val="bottom"/>
          </w:tcPr>
          <w:p w14:paraId="0000054F" w14:textId="3CEC203B"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4.3</w:t>
            </w:r>
          </w:p>
        </w:tc>
        <w:tc>
          <w:tcPr>
            <w:tcW w:w="1450" w:type="dxa"/>
            <w:tcMar>
              <w:top w:w="100" w:type="dxa"/>
              <w:left w:w="100" w:type="dxa"/>
              <w:bottom w:w="100" w:type="dxa"/>
              <w:right w:w="100" w:type="dxa"/>
            </w:tcMar>
            <w:vAlign w:val="center"/>
          </w:tcPr>
          <w:p w14:paraId="00000551" w14:textId="00000552" w:rsidR="00F77087" w:rsidRPr="00A61669" w:rsidRDefault="00F77087" w:rsidP="00F77087">
            <w:pPr>
              <w:pStyle w:val="TableInfo"/>
              <w:jc w:val="center"/>
              <w:rPr>
                <w:rFonts w:asciiTheme="majorHAnsi" w:hAnsiTheme="majorHAnsi" w:cstheme="majorHAnsi"/>
              </w:rPr>
            </w:pPr>
            <w:r w:rsidRPr="00A61669">
              <w:rPr>
                <w:rFonts w:asciiTheme="majorHAnsi" w:hAnsiTheme="majorHAnsi" w:cstheme="majorHAnsi"/>
              </w:rPr>
              <w:t>AWS</w:t>
            </w:r>
          </w:p>
        </w:tc>
        <w:tc>
          <w:tcPr>
            <w:tcW w:w="2844" w:type="dxa"/>
            <w:tcMar>
              <w:top w:w="100" w:type="dxa"/>
              <w:left w:w="100" w:type="dxa"/>
              <w:bottom w:w="100" w:type="dxa"/>
              <w:right w:w="100" w:type="dxa"/>
            </w:tcMar>
            <w:vAlign w:val="center"/>
          </w:tcPr>
          <w:p w14:paraId="00000553" w14:textId="00000554" w:rsidR="00F77087" w:rsidRPr="00A61669" w:rsidRDefault="00F77087" w:rsidP="00F77087">
            <w:pPr>
              <w:pStyle w:val="TableInfo"/>
              <w:rPr>
                <w:rFonts w:asciiTheme="majorHAnsi" w:hAnsiTheme="majorHAnsi" w:cstheme="majorHAnsi"/>
              </w:rPr>
            </w:pPr>
            <w:r w:rsidRPr="00A61669">
              <w:rPr>
                <w:rFonts w:asciiTheme="majorHAnsi" w:hAnsiTheme="majorHAnsi" w:cstheme="majorHAnsi"/>
              </w:rPr>
              <w:t>Best for HPC and specialist compute workloads.</w:t>
            </w:r>
          </w:p>
        </w:tc>
      </w:tr>
      <w:tr w:rsidR="00F77087" w14:paraId="2762FBE7" w14:textId="77777777" w:rsidTr="00626181">
        <w:tc>
          <w:tcPr>
            <w:tcW w:w="1358" w:type="dxa"/>
            <w:tcMar>
              <w:top w:w="100" w:type="dxa"/>
              <w:left w:w="100" w:type="dxa"/>
              <w:bottom w:w="100" w:type="dxa"/>
              <w:right w:w="100" w:type="dxa"/>
            </w:tcMar>
            <w:vAlign w:val="bottom"/>
          </w:tcPr>
          <w:p w14:paraId="00000555" w14:textId="499D3ED7"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b/>
                <w:sz w:val="20"/>
                <w:szCs w:val="20"/>
                <w:lang w:eastAsia="en-GB"/>
              </w:rPr>
              <w:t>Business Analytics</w:t>
            </w:r>
          </w:p>
        </w:tc>
        <w:tc>
          <w:tcPr>
            <w:tcW w:w="1024" w:type="dxa"/>
            <w:vAlign w:val="bottom"/>
          </w:tcPr>
          <w:p w14:paraId="143C72E4" w14:textId="30809BEB" w:rsidR="00F77087" w:rsidRPr="00A61669" w:rsidRDefault="00F77087" w:rsidP="00F77087">
            <w:pPr>
              <w:pStyle w:val="TableInfo"/>
              <w:jc w:val="center"/>
              <w:rPr>
                <w:rFonts w:asciiTheme="majorHAnsi" w:eastAsia="Times New Roman" w:hAnsiTheme="majorHAnsi" w:cstheme="majorHAnsi"/>
                <w:color w:val="000000"/>
                <w:lang w:eastAsia="en-GB"/>
              </w:rPr>
            </w:pPr>
            <w:r w:rsidRPr="00A61669">
              <w:rPr>
                <w:rFonts w:asciiTheme="majorHAnsi" w:eastAsia="Times New Roman" w:hAnsiTheme="majorHAnsi" w:cstheme="majorHAnsi"/>
                <w:color w:val="000000"/>
                <w:lang w:eastAsia="en-GB"/>
              </w:rPr>
              <w:t>Moderate</w:t>
            </w:r>
          </w:p>
        </w:tc>
        <w:tc>
          <w:tcPr>
            <w:tcW w:w="1024" w:type="dxa"/>
            <w:tcMar>
              <w:top w:w="100" w:type="dxa"/>
              <w:left w:w="100" w:type="dxa"/>
              <w:bottom w:w="100" w:type="dxa"/>
              <w:right w:w="100" w:type="dxa"/>
            </w:tcMar>
            <w:vAlign w:val="bottom"/>
          </w:tcPr>
          <w:p w14:paraId="00000557" w14:textId="50EA49BB"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4.3</w:t>
            </w:r>
          </w:p>
        </w:tc>
        <w:tc>
          <w:tcPr>
            <w:tcW w:w="962" w:type="dxa"/>
            <w:tcMar>
              <w:top w:w="100" w:type="dxa"/>
              <w:left w:w="100" w:type="dxa"/>
              <w:bottom w:w="100" w:type="dxa"/>
              <w:right w:w="100" w:type="dxa"/>
            </w:tcMar>
            <w:vAlign w:val="bottom"/>
          </w:tcPr>
          <w:p w14:paraId="00000559" w14:textId="471B7016"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4.2</w:t>
            </w:r>
          </w:p>
        </w:tc>
        <w:tc>
          <w:tcPr>
            <w:tcW w:w="1078" w:type="dxa"/>
            <w:tcMar>
              <w:top w:w="100" w:type="dxa"/>
              <w:left w:w="100" w:type="dxa"/>
              <w:bottom w:w="100" w:type="dxa"/>
              <w:right w:w="100" w:type="dxa"/>
            </w:tcMar>
            <w:vAlign w:val="bottom"/>
          </w:tcPr>
          <w:p w14:paraId="0000055B" w14:textId="02A7DE14" w:rsidR="00F77087" w:rsidRPr="00A61669" w:rsidRDefault="00F77087" w:rsidP="00F77087">
            <w:pPr>
              <w:pStyle w:val="TableInfo"/>
              <w:jc w:val="center"/>
              <w:rPr>
                <w:rFonts w:asciiTheme="majorHAnsi" w:hAnsiTheme="majorHAnsi" w:cstheme="majorHAnsi"/>
                <w:b/>
              </w:rPr>
            </w:pPr>
            <w:r w:rsidRPr="00A61669">
              <w:rPr>
                <w:rFonts w:asciiTheme="majorHAnsi" w:eastAsia="Times New Roman" w:hAnsiTheme="majorHAnsi" w:cstheme="majorHAnsi"/>
                <w:color w:val="000000"/>
                <w:lang w:eastAsia="en-GB"/>
              </w:rPr>
              <w:t>4.5</w:t>
            </w:r>
          </w:p>
        </w:tc>
        <w:tc>
          <w:tcPr>
            <w:tcW w:w="1450" w:type="dxa"/>
            <w:tcMar>
              <w:top w:w="100" w:type="dxa"/>
              <w:left w:w="100" w:type="dxa"/>
              <w:bottom w:w="100" w:type="dxa"/>
              <w:right w:w="100" w:type="dxa"/>
            </w:tcMar>
            <w:vAlign w:val="center"/>
          </w:tcPr>
          <w:p w14:paraId="0000055D" w14:textId="0000055E" w:rsidR="00F77087" w:rsidRPr="00A61669" w:rsidRDefault="00F77087" w:rsidP="00F77087">
            <w:pPr>
              <w:pStyle w:val="TableInfo"/>
              <w:jc w:val="center"/>
              <w:rPr>
                <w:rFonts w:asciiTheme="majorHAnsi" w:hAnsiTheme="majorHAnsi" w:cstheme="majorHAnsi"/>
              </w:rPr>
            </w:pPr>
            <w:r w:rsidRPr="00A61669">
              <w:rPr>
                <w:rFonts w:asciiTheme="majorHAnsi" w:hAnsiTheme="majorHAnsi" w:cstheme="majorHAnsi"/>
              </w:rPr>
              <w:t>GCP</w:t>
            </w:r>
          </w:p>
        </w:tc>
        <w:tc>
          <w:tcPr>
            <w:tcW w:w="2844" w:type="dxa"/>
            <w:tcMar>
              <w:top w:w="100" w:type="dxa"/>
              <w:left w:w="100" w:type="dxa"/>
              <w:bottom w:w="100" w:type="dxa"/>
              <w:right w:w="100" w:type="dxa"/>
            </w:tcMar>
            <w:vAlign w:val="center"/>
          </w:tcPr>
          <w:p w14:paraId="0000055F" w14:textId="00000560" w:rsidR="00F77087" w:rsidRPr="00A61669" w:rsidRDefault="00F77087" w:rsidP="00F77087">
            <w:pPr>
              <w:pStyle w:val="TableInfo"/>
              <w:rPr>
                <w:rFonts w:asciiTheme="majorHAnsi" w:hAnsiTheme="majorHAnsi" w:cstheme="majorHAnsi"/>
              </w:rPr>
            </w:pPr>
            <w:r w:rsidRPr="00A61669">
              <w:rPr>
                <w:rFonts w:asciiTheme="majorHAnsi" w:hAnsiTheme="majorHAnsi" w:cstheme="majorHAnsi"/>
                <w:lang w:val="en-GB"/>
              </w:rPr>
              <w:t>BigQuery is the clearest native advantage.</w:t>
            </w:r>
          </w:p>
        </w:tc>
      </w:tr>
      <w:tr w:rsidR="00F77087" w14:paraId="1E166DC6" w14:textId="77777777" w:rsidTr="00626181">
        <w:tc>
          <w:tcPr>
            <w:tcW w:w="1358" w:type="dxa"/>
            <w:tcMar>
              <w:top w:w="100" w:type="dxa"/>
              <w:left w:w="100" w:type="dxa"/>
              <w:bottom w:w="100" w:type="dxa"/>
              <w:right w:w="100" w:type="dxa"/>
            </w:tcMar>
            <w:vAlign w:val="bottom"/>
          </w:tcPr>
          <w:p w14:paraId="00000561" w14:textId="7CFF4FD2"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b/>
                <w:sz w:val="20"/>
                <w:szCs w:val="20"/>
                <w:lang w:eastAsia="en-GB"/>
              </w:rPr>
              <w:t>Transparency</w:t>
            </w:r>
          </w:p>
        </w:tc>
        <w:tc>
          <w:tcPr>
            <w:tcW w:w="1024" w:type="dxa"/>
            <w:vAlign w:val="bottom"/>
          </w:tcPr>
          <w:p w14:paraId="7218B8C5" w14:textId="69A63216" w:rsidR="00F77087" w:rsidRPr="00A61669" w:rsidRDefault="00F77087" w:rsidP="00F77087">
            <w:pPr>
              <w:pStyle w:val="TableInfo"/>
              <w:jc w:val="center"/>
              <w:rPr>
                <w:rFonts w:asciiTheme="majorHAnsi" w:eastAsia="Times New Roman" w:hAnsiTheme="majorHAnsi" w:cstheme="majorHAnsi"/>
                <w:color w:val="000000"/>
                <w:lang w:eastAsia="en-GB"/>
              </w:rPr>
            </w:pPr>
            <w:r w:rsidRPr="00A61669">
              <w:rPr>
                <w:rFonts w:asciiTheme="majorHAnsi" w:eastAsia="Times New Roman" w:hAnsiTheme="majorHAnsi" w:cstheme="majorHAnsi"/>
                <w:color w:val="000000"/>
                <w:lang w:eastAsia="en-GB"/>
              </w:rPr>
              <w:t>Moderate</w:t>
            </w:r>
          </w:p>
        </w:tc>
        <w:tc>
          <w:tcPr>
            <w:tcW w:w="1024" w:type="dxa"/>
            <w:tcMar>
              <w:top w:w="100" w:type="dxa"/>
              <w:left w:w="100" w:type="dxa"/>
              <w:bottom w:w="100" w:type="dxa"/>
              <w:right w:w="100" w:type="dxa"/>
            </w:tcMar>
            <w:vAlign w:val="bottom"/>
          </w:tcPr>
          <w:p w14:paraId="00000563" w14:textId="27DC5E12"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4.0</w:t>
            </w:r>
          </w:p>
        </w:tc>
        <w:tc>
          <w:tcPr>
            <w:tcW w:w="962" w:type="dxa"/>
            <w:tcMar>
              <w:top w:w="100" w:type="dxa"/>
              <w:left w:w="100" w:type="dxa"/>
              <w:bottom w:w="100" w:type="dxa"/>
              <w:right w:w="100" w:type="dxa"/>
            </w:tcMar>
            <w:vAlign w:val="bottom"/>
          </w:tcPr>
          <w:p w14:paraId="00000565" w14:textId="4C11977A"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4.0</w:t>
            </w:r>
          </w:p>
        </w:tc>
        <w:tc>
          <w:tcPr>
            <w:tcW w:w="1078" w:type="dxa"/>
            <w:tcMar>
              <w:top w:w="100" w:type="dxa"/>
              <w:left w:w="100" w:type="dxa"/>
              <w:bottom w:w="100" w:type="dxa"/>
              <w:right w:w="100" w:type="dxa"/>
            </w:tcMar>
            <w:vAlign w:val="bottom"/>
          </w:tcPr>
          <w:p w14:paraId="00000567" w14:textId="59ED1356" w:rsidR="00F77087" w:rsidRPr="00A61669" w:rsidRDefault="00F77087" w:rsidP="00F77087">
            <w:pPr>
              <w:pStyle w:val="TableInfo"/>
              <w:jc w:val="center"/>
              <w:rPr>
                <w:rFonts w:asciiTheme="majorHAnsi" w:hAnsiTheme="majorHAnsi" w:cstheme="majorHAnsi"/>
                <w:b/>
              </w:rPr>
            </w:pPr>
            <w:r w:rsidRPr="00A61669">
              <w:rPr>
                <w:rFonts w:asciiTheme="majorHAnsi" w:eastAsia="Times New Roman" w:hAnsiTheme="majorHAnsi" w:cstheme="majorHAnsi"/>
                <w:color w:val="000000"/>
                <w:lang w:eastAsia="en-GB"/>
              </w:rPr>
              <w:t>4.2</w:t>
            </w:r>
          </w:p>
        </w:tc>
        <w:tc>
          <w:tcPr>
            <w:tcW w:w="1450" w:type="dxa"/>
            <w:tcMar>
              <w:top w:w="100" w:type="dxa"/>
              <w:left w:w="100" w:type="dxa"/>
              <w:bottom w:w="100" w:type="dxa"/>
              <w:right w:w="100" w:type="dxa"/>
            </w:tcMar>
            <w:vAlign w:val="center"/>
          </w:tcPr>
          <w:p w14:paraId="00000569" w14:textId="0000056A" w:rsidR="00F77087" w:rsidRPr="00A61669" w:rsidRDefault="00F77087" w:rsidP="00F77087">
            <w:pPr>
              <w:pStyle w:val="TableInfo"/>
              <w:jc w:val="center"/>
              <w:rPr>
                <w:rFonts w:asciiTheme="majorHAnsi" w:hAnsiTheme="majorHAnsi" w:cstheme="majorHAnsi"/>
              </w:rPr>
            </w:pPr>
            <w:r w:rsidRPr="00A61669">
              <w:rPr>
                <w:rFonts w:asciiTheme="majorHAnsi" w:hAnsiTheme="majorHAnsi" w:cstheme="majorHAnsi"/>
              </w:rPr>
              <w:t>GCP</w:t>
            </w:r>
          </w:p>
        </w:tc>
        <w:tc>
          <w:tcPr>
            <w:tcW w:w="2844" w:type="dxa"/>
            <w:tcMar>
              <w:top w:w="100" w:type="dxa"/>
              <w:left w:w="100" w:type="dxa"/>
              <w:bottom w:w="100" w:type="dxa"/>
              <w:right w:w="100" w:type="dxa"/>
            </w:tcMar>
            <w:vAlign w:val="center"/>
          </w:tcPr>
          <w:p w14:paraId="0000056B" w14:textId="0000056C" w:rsidR="00F77087" w:rsidRPr="00A61669" w:rsidRDefault="00F77087" w:rsidP="00F77087">
            <w:pPr>
              <w:pStyle w:val="TableInfo"/>
              <w:rPr>
                <w:rFonts w:asciiTheme="majorHAnsi" w:hAnsiTheme="majorHAnsi" w:cstheme="majorHAnsi"/>
              </w:rPr>
            </w:pPr>
            <w:r w:rsidRPr="00A61669">
              <w:rPr>
                <w:rFonts w:asciiTheme="majorHAnsi" w:hAnsiTheme="majorHAnsi" w:cstheme="majorHAnsi"/>
              </w:rPr>
              <w:t>Marginal advantage, not decisive.</w:t>
            </w:r>
          </w:p>
        </w:tc>
      </w:tr>
      <w:tr w:rsidR="00F77087" w14:paraId="6FBA726B" w14:textId="77777777" w:rsidTr="00626181">
        <w:tc>
          <w:tcPr>
            <w:tcW w:w="1358" w:type="dxa"/>
            <w:tcMar>
              <w:top w:w="100" w:type="dxa"/>
              <w:left w:w="100" w:type="dxa"/>
              <w:bottom w:w="100" w:type="dxa"/>
              <w:right w:w="100" w:type="dxa"/>
            </w:tcMar>
            <w:vAlign w:val="bottom"/>
          </w:tcPr>
          <w:p w14:paraId="0000056D" w14:textId="770BB948"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b/>
                <w:sz w:val="20"/>
                <w:szCs w:val="20"/>
                <w:lang w:eastAsia="en-GB"/>
              </w:rPr>
              <w:t>Cost</w:t>
            </w:r>
          </w:p>
        </w:tc>
        <w:tc>
          <w:tcPr>
            <w:tcW w:w="1024" w:type="dxa"/>
            <w:vAlign w:val="bottom"/>
          </w:tcPr>
          <w:p w14:paraId="06BC4F12" w14:textId="17D006B4" w:rsidR="00F77087" w:rsidRPr="00A61669" w:rsidRDefault="00F77087" w:rsidP="00F77087">
            <w:pPr>
              <w:pStyle w:val="TableInfo"/>
              <w:jc w:val="center"/>
              <w:rPr>
                <w:rFonts w:asciiTheme="majorHAnsi" w:eastAsia="Times New Roman" w:hAnsiTheme="majorHAnsi" w:cstheme="majorHAnsi"/>
                <w:color w:val="000000"/>
                <w:lang w:eastAsia="en-GB"/>
              </w:rPr>
            </w:pPr>
            <w:r w:rsidRPr="00A61669">
              <w:rPr>
                <w:rFonts w:asciiTheme="majorHAnsi" w:eastAsia="Times New Roman" w:hAnsiTheme="majorHAnsi" w:cstheme="majorHAnsi"/>
                <w:color w:val="000000"/>
                <w:lang w:eastAsia="en-GB"/>
              </w:rPr>
              <w:t>Very High</w:t>
            </w:r>
          </w:p>
        </w:tc>
        <w:tc>
          <w:tcPr>
            <w:tcW w:w="1024" w:type="dxa"/>
            <w:tcMar>
              <w:top w:w="100" w:type="dxa"/>
              <w:left w:w="100" w:type="dxa"/>
              <w:bottom w:w="100" w:type="dxa"/>
              <w:right w:w="100" w:type="dxa"/>
            </w:tcMar>
            <w:vAlign w:val="bottom"/>
          </w:tcPr>
          <w:p w14:paraId="0000056F" w14:textId="229DF17F" w:rsidR="00F77087" w:rsidRPr="00A61669" w:rsidRDefault="00F77087" w:rsidP="00F77087">
            <w:pPr>
              <w:pStyle w:val="TableInfo"/>
              <w:jc w:val="center"/>
              <w:rPr>
                <w:rFonts w:asciiTheme="majorHAnsi" w:hAnsiTheme="majorHAnsi" w:cstheme="majorHAnsi"/>
                <w:b/>
              </w:rPr>
            </w:pPr>
            <w:r w:rsidRPr="00A61669">
              <w:rPr>
                <w:rFonts w:asciiTheme="majorHAnsi" w:eastAsia="Times New Roman" w:hAnsiTheme="majorHAnsi" w:cstheme="majorHAnsi"/>
                <w:color w:val="000000"/>
                <w:lang w:eastAsia="en-GB"/>
              </w:rPr>
              <w:t>4.7</w:t>
            </w:r>
          </w:p>
        </w:tc>
        <w:tc>
          <w:tcPr>
            <w:tcW w:w="962" w:type="dxa"/>
            <w:tcMar>
              <w:top w:w="100" w:type="dxa"/>
              <w:left w:w="100" w:type="dxa"/>
              <w:bottom w:w="100" w:type="dxa"/>
              <w:right w:w="100" w:type="dxa"/>
            </w:tcMar>
            <w:vAlign w:val="bottom"/>
          </w:tcPr>
          <w:p w14:paraId="00000571" w14:textId="20466144"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3.8</w:t>
            </w:r>
          </w:p>
        </w:tc>
        <w:tc>
          <w:tcPr>
            <w:tcW w:w="1078" w:type="dxa"/>
            <w:tcMar>
              <w:top w:w="100" w:type="dxa"/>
              <w:left w:w="100" w:type="dxa"/>
              <w:bottom w:w="100" w:type="dxa"/>
              <w:right w:w="100" w:type="dxa"/>
            </w:tcMar>
            <w:vAlign w:val="bottom"/>
          </w:tcPr>
          <w:p w14:paraId="00000573" w14:textId="470E3629"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4.2</w:t>
            </w:r>
          </w:p>
        </w:tc>
        <w:tc>
          <w:tcPr>
            <w:tcW w:w="1450" w:type="dxa"/>
            <w:tcMar>
              <w:top w:w="100" w:type="dxa"/>
              <w:left w:w="100" w:type="dxa"/>
              <w:bottom w:w="100" w:type="dxa"/>
              <w:right w:w="100" w:type="dxa"/>
            </w:tcMar>
            <w:vAlign w:val="center"/>
          </w:tcPr>
          <w:p w14:paraId="00000575" w14:textId="00000576" w:rsidR="00F77087" w:rsidRPr="00A61669" w:rsidRDefault="00F77087" w:rsidP="00F77087">
            <w:pPr>
              <w:pStyle w:val="TableInfo"/>
              <w:jc w:val="center"/>
              <w:rPr>
                <w:rFonts w:asciiTheme="majorHAnsi" w:hAnsiTheme="majorHAnsi" w:cstheme="majorHAnsi"/>
              </w:rPr>
            </w:pPr>
            <w:r w:rsidRPr="00A61669">
              <w:rPr>
                <w:rFonts w:asciiTheme="majorHAnsi" w:hAnsiTheme="majorHAnsi" w:cstheme="majorHAnsi"/>
              </w:rPr>
              <w:t>AWS</w:t>
            </w:r>
          </w:p>
        </w:tc>
        <w:tc>
          <w:tcPr>
            <w:tcW w:w="2844" w:type="dxa"/>
            <w:tcMar>
              <w:top w:w="100" w:type="dxa"/>
              <w:left w:w="100" w:type="dxa"/>
              <w:bottom w:w="100" w:type="dxa"/>
              <w:right w:w="100" w:type="dxa"/>
            </w:tcMar>
            <w:vAlign w:val="center"/>
          </w:tcPr>
          <w:p w14:paraId="00000577" w14:textId="00000578" w:rsidR="00F77087" w:rsidRPr="00A61669" w:rsidRDefault="00F77087" w:rsidP="00F77087">
            <w:pPr>
              <w:pStyle w:val="TableInfo"/>
              <w:rPr>
                <w:rFonts w:asciiTheme="majorHAnsi" w:hAnsiTheme="majorHAnsi" w:cstheme="majorHAnsi"/>
              </w:rPr>
            </w:pPr>
            <w:r w:rsidRPr="00A61669">
              <w:rPr>
                <w:rFonts w:asciiTheme="majorHAnsi" w:hAnsiTheme="majorHAnsi" w:cstheme="majorHAnsi"/>
              </w:rPr>
              <w:t>TCO dial reflects Complete View.</w:t>
            </w:r>
          </w:p>
        </w:tc>
      </w:tr>
      <w:tr w:rsidR="00F77087" w14:paraId="0949CC4A" w14:textId="77777777" w:rsidTr="00626181">
        <w:tc>
          <w:tcPr>
            <w:tcW w:w="1358" w:type="dxa"/>
            <w:tcMar>
              <w:top w:w="100" w:type="dxa"/>
              <w:left w:w="100" w:type="dxa"/>
              <w:bottom w:w="100" w:type="dxa"/>
              <w:right w:w="100" w:type="dxa"/>
            </w:tcMar>
            <w:vAlign w:val="bottom"/>
          </w:tcPr>
          <w:p w14:paraId="00000579" w14:textId="07408F2D"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b/>
                <w:sz w:val="20"/>
                <w:szCs w:val="20"/>
                <w:lang w:eastAsia="en-GB"/>
              </w:rPr>
              <w:t>Sovereignty</w:t>
            </w:r>
          </w:p>
        </w:tc>
        <w:tc>
          <w:tcPr>
            <w:tcW w:w="1024" w:type="dxa"/>
            <w:vAlign w:val="bottom"/>
          </w:tcPr>
          <w:p w14:paraId="64B329B8" w14:textId="52C16160" w:rsidR="00F77087" w:rsidRPr="00A61669" w:rsidRDefault="00F77087" w:rsidP="00F77087">
            <w:pPr>
              <w:pStyle w:val="TableInfo"/>
              <w:jc w:val="center"/>
              <w:rPr>
                <w:rFonts w:asciiTheme="majorHAnsi" w:eastAsia="Times New Roman" w:hAnsiTheme="majorHAnsi" w:cstheme="majorHAnsi"/>
                <w:color w:val="000000"/>
                <w:lang w:eastAsia="en-GB"/>
              </w:rPr>
            </w:pPr>
            <w:r w:rsidRPr="00A61669">
              <w:rPr>
                <w:rFonts w:asciiTheme="majorHAnsi" w:eastAsia="Times New Roman" w:hAnsiTheme="majorHAnsi" w:cstheme="majorHAnsi"/>
                <w:color w:val="000000"/>
                <w:lang w:eastAsia="en-GB"/>
              </w:rPr>
              <w:t>Moderate</w:t>
            </w:r>
          </w:p>
        </w:tc>
        <w:tc>
          <w:tcPr>
            <w:tcW w:w="1024" w:type="dxa"/>
            <w:tcMar>
              <w:top w:w="100" w:type="dxa"/>
              <w:left w:w="100" w:type="dxa"/>
              <w:bottom w:w="100" w:type="dxa"/>
              <w:right w:w="100" w:type="dxa"/>
            </w:tcMar>
            <w:vAlign w:val="bottom"/>
          </w:tcPr>
          <w:p w14:paraId="0000057B" w14:textId="5FC18A46" w:rsidR="00F77087" w:rsidRPr="00A61669" w:rsidRDefault="00F77087" w:rsidP="00F77087">
            <w:pPr>
              <w:pStyle w:val="TableInfo"/>
              <w:jc w:val="center"/>
              <w:rPr>
                <w:rFonts w:asciiTheme="majorHAnsi" w:hAnsiTheme="majorHAnsi" w:cstheme="majorHAnsi"/>
                <w:b/>
              </w:rPr>
            </w:pPr>
            <w:r w:rsidRPr="00A61669">
              <w:rPr>
                <w:rFonts w:asciiTheme="majorHAnsi" w:eastAsia="Times New Roman" w:hAnsiTheme="majorHAnsi" w:cstheme="majorHAnsi"/>
                <w:color w:val="000000"/>
                <w:lang w:eastAsia="en-GB"/>
              </w:rPr>
              <w:t>3.7</w:t>
            </w:r>
          </w:p>
        </w:tc>
        <w:tc>
          <w:tcPr>
            <w:tcW w:w="962" w:type="dxa"/>
            <w:tcMar>
              <w:top w:w="100" w:type="dxa"/>
              <w:left w:w="100" w:type="dxa"/>
              <w:bottom w:w="100" w:type="dxa"/>
              <w:right w:w="100" w:type="dxa"/>
            </w:tcMar>
            <w:vAlign w:val="bottom"/>
          </w:tcPr>
          <w:p w14:paraId="0000057D" w14:textId="1EE27693" w:rsidR="00F77087" w:rsidRPr="00A61669" w:rsidRDefault="00F77087" w:rsidP="00F77087">
            <w:pPr>
              <w:pStyle w:val="TableInfo"/>
              <w:jc w:val="center"/>
              <w:rPr>
                <w:rFonts w:asciiTheme="majorHAnsi" w:hAnsiTheme="majorHAnsi" w:cstheme="majorHAnsi"/>
                <w:b/>
              </w:rPr>
            </w:pPr>
            <w:r w:rsidRPr="00A61669">
              <w:rPr>
                <w:rFonts w:asciiTheme="majorHAnsi" w:eastAsia="Times New Roman" w:hAnsiTheme="majorHAnsi" w:cstheme="majorHAnsi"/>
                <w:color w:val="000000"/>
                <w:lang w:eastAsia="en-GB"/>
              </w:rPr>
              <w:t>3.7</w:t>
            </w:r>
          </w:p>
        </w:tc>
        <w:tc>
          <w:tcPr>
            <w:tcW w:w="1078" w:type="dxa"/>
            <w:tcMar>
              <w:top w:w="100" w:type="dxa"/>
              <w:left w:w="100" w:type="dxa"/>
              <w:bottom w:w="100" w:type="dxa"/>
              <w:right w:w="100" w:type="dxa"/>
            </w:tcMar>
            <w:vAlign w:val="bottom"/>
          </w:tcPr>
          <w:p w14:paraId="0000057F" w14:textId="70EBA264"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3.4</w:t>
            </w:r>
          </w:p>
        </w:tc>
        <w:tc>
          <w:tcPr>
            <w:tcW w:w="1450" w:type="dxa"/>
            <w:tcMar>
              <w:top w:w="100" w:type="dxa"/>
              <w:left w:w="100" w:type="dxa"/>
              <w:bottom w:w="100" w:type="dxa"/>
              <w:right w:w="100" w:type="dxa"/>
            </w:tcMar>
            <w:vAlign w:val="center"/>
          </w:tcPr>
          <w:p w14:paraId="00000581" w14:textId="00000582" w:rsidR="00F77087" w:rsidRPr="00A61669" w:rsidRDefault="00F77087" w:rsidP="00F77087">
            <w:pPr>
              <w:pStyle w:val="TableInfo"/>
              <w:jc w:val="center"/>
              <w:rPr>
                <w:rFonts w:asciiTheme="majorHAnsi" w:hAnsiTheme="majorHAnsi" w:cstheme="majorHAnsi"/>
              </w:rPr>
            </w:pPr>
            <w:r w:rsidRPr="00A61669">
              <w:rPr>
                <w:rFonts w:asciiTheme="majorHAnsi" w:hAnsiTheme="majorHAnsi" w:cstheme="majorHAnsi"/>
              </w:rPr>
              <w:t>AWS / Azure</w:t>
            </w:r>
          </w:p>
        </w:tc>
        <w:tc>
          <w:tcPr>
            <w:tcW w:w="2844" w:type="dxa"/>
            <w:tcMar>
              <w:top w:w="100" w:type="dxa"/>
              <w:left w:w="100" w:type="dxa"/>
              <w:bottom w:w="100" w:type="dxa"/>
              <w:right w:w="100" w:type="dxa"/>
            </w:tcMar>
            <w:vAlign w:val="center"/>
          </w:tcPr>
          <w:p w14:paraId="00000583" w14:textId="7409FAE3" w:rsidR="00F77087" w:rsidRPr="00A61669" w:rsidRDefault="00431885" w:rsidP="00F77087">
            <w:pPr>
              <w:pStyle w:val="TableInfo"/>
              <w:rPr>
                <w:rFonts w:asciiTheme="majorHAnsi" w:hAnsiTheme="majorHAnsi" w:cstheme="majorHAnsi"/>
              </w:rPr>
            </w:pPr>
            <w:r w:rsidRPr="00A61669">
              <w:rPr>
                <w:rFonts w:asciiTheme="majorHAnsi" w:hAnsiTheme="majorHAnsi" w:cstheme="majorHAnsi"/>
              </w:rPr>
              <w:t>AWS and Azure offer broader UK data residency options</w:t>
            </w:r>
          </w:p>
        </w:tc>
      </w:tr>
      <w:tr w:rsidR="00F77087" w14:paraId="7FF5807B" w14:textId="77777777" w:rsidTr="00626181">
        <w:tc>
          <w:tcPr>
            <w:tcW w:w="1358" w:type="dxa"/>
            <w:tcMar>
              <w:top w:w="100" w:type="dxa"/>
              <w:left w:w="100" w:type="dxa"/>
              <w:bottom w:w="100" w:type="dxa"/>
              <w:right w:w="100" w:type="dxa"/>
            </w:tcMar>
            <w:vAlign w:val="bottom"/>
          </w:tcPr>
          <w:p w14:paraId="00000585" w14:textId="1AC1D0FD"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b/>
                <w:sz w:val="20"/>
                <w:szCs w:val="20"/>
                <w:lang w:eastAsia="en-GB"/>
              </w:rPr>
              <w:t>Business Fit</w:t>
            </w:r>
          </w:p>
        </w:tc>
        <w:tc>
          <w:tcPr>
            <w:tcW w:w="1024" w:type="dxa"/>
            <w:vAlign w:val="bottom"/>
          </w:tcPr>
          <w:p w14:paraId="19F911CA" w14:textId="187B3ABA" w:rsidR="00F77087" w:rsidRPr="00A61669" w:rsidRDefault="00F77087" w:rsidP="00F77087">
            <w:pPr>
              <w:pStyle w:val="TableInfo"/>
              <w:jc w:val="center"/>
              <w:rPr>
                <w:rFonts w:asciiTheme="majorHAnsi" w:eastAsia="Times New Roman" w:hAnsiTheme="majorHAnsi" w:cstheme="majorHAnsi"/>
                <w:color w:val="000000"/>
                <w:lang w:eastAsia="en-GB"/>
              </w:rPr>
            </w:pPr>
            <w:r w:rsidRPr="00A61669">
              <w:rPr>
                <w:rFonts w:asciiTheme="majorHAnsi" w:eastAsia="Times New Roman" w:hAnsiTheme="majorHAnsi" w:cstheme="majorHAnsi"/>
                <w:color w:val="000000"/>
                <w:lang w:eastAsia="en-GB"/>
              </w:rPr>
              <w:t>Moderate</w:t>
            </w:r>
          </w:p>
        </w:tc>
        <w:tc>
          <w:tcPr>
            <w:tcW w:w="1024" w:type="dxa"/>
            <w:tcMar>
              <w:top w:w="100" w:type="dxa"/>
              <w:left w:w="100" w:type="dxa"/>
              <w:bottom w:w="100" w:type="dxa"/>
              <w:right w:w="100" w:type="dxa"/>
            </w:tcMar>
            <w:vAlign w:val="bottom"/>
          </w:tcPr>
          <w:p w14:paraId="00000587" w14:textId="4A88A99E"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4.6</w:t>
            </w:r>
          </w:p>
        </w:tc>
        <w:tc>
          <w:tcPr>
            <w:tcW w:w="962" w:type="dxa"/>
            <w:tcMar>
              <w:top w:w="100" w:type="dxa"/>
              <w:left w:w="100" w:type="dxa"/>
              <w:bottom w:w="100" w:type="dxa"/>
              <w:right w:w="100" w:type="dxa"/>
            </w:tcMar>
            <w:vAlign w:val="bottom"/>
          </w:tcPr>
          <w:p w14:paraId="00000589" w14:textId="77DFE724"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4.5</w:t>
            </w:r>
          </w:p>
        </w:tc>
        <w:tc>
          <w:tcPr>
            <w:tcW w:w="1078" w:type="dxa"/>
            <w:tcMar>
              <w:top w:w="100" w:type="dxa"/>
              <w:left w:w="100" w:type="dxa"/>
              <w:bottom w:w="100" w:type="dxa"/>
              <w:right w:w="100" w:type="dxa"/>
            </w:tcMar>
            <w:vAlign w:val="bottom"/>
          </w:tcPr>
          <w:p w14:paraId="0000058B" w14:textId="63B33AA0"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3.9</w:t>
            </w:r>
          </w:p>
        </w:tc>
        <w:tc>
          <w:tcPr>
            <w:tcW w:w="1450" w:type="dxa"/>
            <w:tcMar>
              <w:top w:w="100" w:type="dxa"/>
              <w:left w:w="100" w:type="dxa"/>
              <w:bottom w:w="100" w:type="dxa"/>
              <w:right w:w="100" w:type="dxa"/>
            </w:tcMar>
            <w:vAlign w:val="center"/>
          </w:tcPr>
          <w:p w14:paraId="0000058D" w14:textId="0000058E" w:rsidR="00F77087" w:rsidRPr="00A61669" w:rsidRDefault="00F77087" w:rsidP="00F77087">
            <w:pPr>
              <w:pStyle w:val="TableInfo"/>
              <w:jc w:val="center"/>
              <w:rPr>
                <w:rFonts w:asciiTheme="majorHAnsi" w:hAnsiTheme="majorHAnsi" w:cstheme="majorHAnsi"/>
              </w:rPr>
            </w:pPr>
            <w:r w:rsidRPr="00A61669">
              <w:rPr>
                <w:rFonts w:asciiTheme="majorHAnsi" w:hAnsiTheme="majorHAnsi" w:cstheme="majorHAnsi"/>
              </w:rPr>
              <w:t>AWS</w:t>
            </w:r>
          </w:p>
        </w:tc>
        <w:tc>
          <w:tcPr>
            <w:tcW w:w="2844" w:type="dxa"/>
            <w:tcMar>
              <w:top w:w="100" w:type="dxa"/>
              <w:left w:w="100" w:type="dxa"/>
              <w:bottom w:w="100" w:type="dxa"/>
              <w:right w:w="100" w:type="dxa"/>
            </w:tcMar>
            <w:vAlign w:val="center"/>
          </w:tcPr>
          <w:p w14:paraId="0000058F" w14:textId="00000590" w:rsidR="00F77087" w:rsidRPr="00A61669" w:rsidRDefault="00F77087" w:rsidP="00F77087">
            <w:pPr>
              <w:pStyle w:val="TableInfo"/>
              <w:rPr>
                <w:rFonts w:asciiTheme="majorHAnsi" w:hAnsiTheme="majorHAnsi" w:cstheme="majorHAnsi"/>
              </w:rPr>
            </w:pPr>
            <w:r w:rsidRPr="00A61669">
              <w:rPr>
                <w:rFonts w:asciiTheme="majorHAnsi" w:hAnsiTheme="majorHAnsi" w:cstheme="majorHAnsi"/>
              </w:rPr>
              <w:t>Partner ecosystem, enterprise relationships, skills market.</w:t>
            </w:r>
          </w:p>
        </w:tc>
      </w:tr>
      <w:tr w:rsidR="00F77087" w14:paraId="135AD6E2" w14:textId="77777777" w:rsidTr="00626181">
        <w:tc>
          <w:tcPr>
            <w:tcW w:w="1358" w:type="dxa"/>
            <w:tcMar>
              <w:top w:w="100" w:type="dxa"/>
              <w:left w:w="100" w:type="dxa"/>
              <w:bottom w:w="100" w:type="dxa"/>
              <w:right w:w="100" w:type="dxa"/>
            </w:tcMar>
            <w:vAlign w:val="bottom"/>
          </w:tcPr>
          <w:p w14:paraId="00000591" w14:textId="6DDCF15A"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b/>
                <w:sz w:val="20"/>
                <w:szCs w:val="20"/>
                <w:lang w:eastAsia="en-GB"/>
              </w:rPr>
              <w:t>Sustainability</w:t>
            </w:r>
          </w:p>
        </w:tc>
        <w:tc>
          <w:tcPr>
            <w:tcW w:w="1024" w:type="dxa"/>
            <w:vAlign w:val="bottom"/>
          </w:tcPr>
          <w:p w14:paraId="36C30371" w14:textId="5023F2BE" w:rsidR="00F77087" w:rsidRPr="00A61669" w:rsidRDefault="00F77087" w:rsidP="00F77087">
            <w:pPr>
              <w:pStyle w:val="TableInfo"/>
              <w:jc w:val="center"/>
              <w:rPr>
                <w:rFonts w:asciiTheme="majorHAnsi" w:eastAsia="Times New Roman" w:hAnsiTheme="majorHAnsi" w:cstheme="majorHAnsi"/>
                <w:color w:val="000000"/>
                <w:lang w:eastAsia="en-GB"/>
              </w:rPr>
            </w:pPr>
            <w:r w:rsidRPr="00A61669">
              <w:rPr>
                <w:rFonts w:asciiTheme="majorHAnsi" w:eastAsia="Times New Roman" w:hAnsiTheme="majorHAnsi" w:cstheme="majorHAnsi"/>
                <w:color w:val="000000"/>
                <w:lang w:eastAsia="en-GB"/>
              </w:rPr>
              <w:t>Low</w:t>
            </w:r>
          </w:p>
        </w:tc>
        <w:tc>
          <w:tcPr>
            <w:tcW w:w="1024" w:type="dxa"/>
            <w:tcMar>
              <w:top w:w="100" w:type="dxa"/>
              <w:left w:w="100" w:type="dxa"/>
              <w:bottom w:w="100" w:type="dxa"/>
              <w:right w:w="100" w:type="dxa"/>
            </w:tcMar>
            <w:vAlign w:val="bottom"/>
          </w:tcPr>
          <w:p w14:paraId="00000593" w14:textId="0E245657"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3.3</w:t>
            </w:r>
          </w:p>
        </w:tc>
        <w:tc>
          <w:tcPr>
            <w:tcW w:w="962" w:type="dxa"/>
            <w:tcMar>
              <w:top w:w="100" w:type="dxa"/>
              <w:left w:w="100" w:type="dxa"/>
              <w:bottom w:w="100" w:type="dxa"/>
              <w:right w:w="100" w:type="dxa"/>
            </w:tcMar>
            <w:vAlign w:val="bottom"/>
          </w:tcPr>
          <w:p w14:paraId="00000595" w14:textId="23110FFD"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4.0</w:t>
            </w:r>
          </w:p>
        </w:tc>
        <w:tc>
          <w:tcPr>
            <w:tcW w:w="1078" w:type="dxa"/>
            <w:tcMar>
              <w:top w:w="100" w:type="dxa"/>
              <w:left w:w="100" w:type="dxa"/>
              <w:bottom w:w="100" w:type="dxa"/>
              <w:right w:w="100" w:type="dxa"/>
            </w:tcMar>
            <w:vAlign w:val="bottom"/>
          </w:tcPr>
          <w:p w14:paraId="00000597" w14:textId="609F2238" w:rsidR="00F77087" w:rsidRPr="00A61669" w:rsidRDefault="00F77087" w:rsidP="00F77087">
            <w:pPr>
              <w:pStyle w:val="TableInfo"/>
              <w:jc w:val="center"/>
              <w:rPr>
                <w:rFonts w:asciiTheme="majorHAnsi" w:hAnsiTheme="majorHAnsi" w:cstheme="majorHAnsi"/>
                <w:b/>
              </w:rPr>
            </w:pPr>
            <w:r w:rsidRPr="00A61669">
              <w:rPr>
                <w:rFonts w:asciiTheme="majorHAnsi" w:eastAsia="Times New Roman" w:hAnsiTheme="majorHAnsi" w:cstheme="majorHAnsi"/>
                <w:color w:val="000000"/>
                <w:lang w:eastAsia="en-GB"/>
              </w:rPr>
              <w:t>5.0</w:t>
            </w:r>
          </w:p>
        </w:tc>
        <w:tc>
          <w:tcPr>
            <w:tcW w:w="1450" w:type="dxa"/>
            <w:tcMar>
              <w:top w:w="100" w:type="dxa"/>
              <w:left w:w="100" w:type="dxa"/>
              <w:bottom w:w="100" w:type="dxa"/>
              <w:right w:w="100" w:type="dxa"/>
            </w:tcMar>
            <w:vAlign w:val="center"/>
          </w:tcPr>
          <w:p w14:paraId="00000599" w14:textId="0000059A" w:rsidR="00F77087" w:rsidRPr="00A61669" w:rsidRDefault="00F77087" w:rsidP="00F77087">
            <w:pPr>
              <w:pStyle w:val="TableInfo"/>
              <w:jc w:val="center"/>
              <w:rPr>
                <w:rFonts w:asciiTheme="majorHAnsi" w:hAnsiTheme="majorHAnsi" w:cstheme="majorHAnsi"/>
              </w:rPr>
            </w:pPr>
            <w:r w:rsidRPr="00A61669">
              <w:rPr>
                <w:rFonts w:asciiTheme="majorHAnsi" w:hAnsiTheme="majorHAnsi" w:cstheme="majorHAnsi"/>
              </w:rPr>
              <w:t>GCP</w:t>
            </w:r>
          </w:p>
        </w:tc>
        <w:tc>
          <w:tcPr>
            <w:tcW w:w="2844" w:type="dxa"/>
            <w:tcMar>
              <w:top w:w="100" w:type="dxa"/>
              <w:left w:w="100" w:type="dxa"/>
              <w:bottom w:w="100" w:type="dxa"/>
              <w:right w:w="100" w:type="dxa"/>
            </w:tcMar>
            <w:vAlign w:val="center"/>
          </w:tcPr>
          <w:p w14:paraId="0000059B" w14:textId="36A67CB0" w:rsidR="00F77087" w:rsidRPr="00A61669" w:rsidRDefault="00F77087" w:rsidP="00F77087">
            <w:pPr>
              <w:pStyle w:val="TableInfo"/>
              <w:rPr>
                <w:rFonts w:asciiTheme="majorHAnsi" w:hAnsiTheme="majorHAnsi" w:cstheme="majorHAnsi"/>
              </w:rPr>
            </w:pPr>
            <w:r w:rsidRPr="00A61669">
              <w:rPr>
                <w:rFonts w:asciiTheme="majorHAnsi" w:hAnsiTheme="majorHAnsi" w:cstheme="majorHAnsi"/>
                <w:lang w:val="en-GB"/>
              </w:rPr>
              <w:t>Genuine differentiator but low</w:t>
            </w:r>
            <w:r w:rsidR="00D86F6A" w:rsidRPr="00A61669">
              <w:rPr>
                <w:rFonts w:asciiTheme="majorHAnsi" w:hAnsiTheme="majorHAnsi" w:cstheme="majorHAnsi"/>
                <w:lang w:val="en-GB"/>
              </w:rPr>
              <w:t xml:space="preserve"> </w:t>
            </w:r>
            <w:r w:rsidRPr="00A61669">
              <w:rPr>
                <w:rFonts w:asciiTheme="majorHAnsi" w:hAnsiTheme="majorHAnsi" w:cstheme="majorHAnsi"/>
                <w:lang w:val="en-GB"/>
              </w:rPr>
              <w:t>weight</w:t>
            </w:r>
          </w:p>
        </w:tc>
      </w:tr>
      <w:tr w:rsidR="00F77087" w14:paraId="22F7D6DA" w14:textId="77777777" w:rsidTr="00626181">
        <w:tc>
          <w:tcPr>
            <w:tcW w:w="1358" w:type="dxa"/>
            <w:tcMar>
              <w:top w:w="100" w:type="dxa"/>
              <w:left w:w="100" w:type="dxa"/>
              <w:bottom w:w="100" w:type="dxa"/>
              <w:right w:w="100" w:type="dxa"/>
            </w:tcMar>
            <w:vAlign w:val="bottom"/>
          </w:tcPr>
          <w:p w14:paraId="0000059D" w14:textId="53F098DB"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b/>
                <w:sz w:val="20"/>
                <w:szCs w:val="20"/>
                <w:lang w:eastAsia="en-GB"/>
              </w:rPr>
              <w:t>Licensing</w:t>
            </w:r>
          </w:p>
        </w:tc>
        <w:tc>
          <w:tcPr>
            <w:tcW w:w="1024" w:type="dxa"/>
            <w:vAlign w:val="bottom"/>
          </w:tcPr>
          <w:p w14:paraId="29ACCF00" w14:textId="5024F395" w:rsidR="00F77087" w:rsidRPr="00A61669" w:rsidRDefault="00F77087" w:rsidP="00F77087">
            <w:pPr>
              <w:pStyle w:val="TableInfo"/>
              <w:jc w:val="center"/>
              <w:rPr>
                <w:rFonts w:asciiTheme="majorHAnsi" w:eastAsia="Times New Roman" w:hAnsiTheme="majorHAnsi" w:cstheme="majorHAnsi"/>
                <w:color w:val="000000"/>
                <w:lang w:eastAsia="en-GB"/>
              </w:rPr>
            </w:pPr>
            <w:r w:rsidRPr="00A61669">
              <w:rPr>
                <w:rFonts w:asciiTheme="majorHAnsi" w:eastAsia="Times New Roman" w:hAnsiTheme="majorHAnsi" w:cstheme="majorHAnsi"/>
                <w:color w:val="000000"/>
                <w:lang w:eastAsia="en-GB"/>
              </w:rPr>
              <w:t>High</w:t>
            </w:r>
          </w:p>
        </w:tc>
        <w:tc>
          <w:tcPr>
            <w:tcW w:w="1024" w:type="dxa"/>
            <w:tcMar>
              <w:top w:w="100" w:type="dxa"/>
              <w:left w:w="100" w:type="dxa"/>
              <w:bottom w:w="100" w:type="dxa"/>
              <w:right w:w="100" w:type="dxa"/>
            </w:tcMar>
            <w:vAlign w:val="bottom"/>
          </w:tcPr>
          <w:p w14:paraId="0000059F" w14:textId="34A175CB"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3.5</w:t>
            </w:r>
          </w:p>
        </w:tc>
        <w:tc>
          <w:tcPr>
            <w:tcW w:w="962" w:type="dxa"/>
            <w:tcMar>
              <w:top w:w="100" w:type="dxa"/>
              <w:left w:w="100" w:type="dxa"/>
              <w:bottom w:w="100" w:type="dxa"/>
              <w:right w:w="100" w:type="dxa"/>
            </w:tcMar>
            <w:vAlign w:val="bottom"/>
          </w:tcPr>
          <w:p w14:paraId="000005A1" w14:textId="3130BE58" w:rsidR="00F77087" w:rsidRPr="00A61669" w:rsidRDefault="00F77087" w:rsidP="00F77087">
            <w:pPr>
              <w:pStyle w:val="TableInfo"/>
              <w:jc w:val="center"/>
              <w:rPr>
                <w:rFonts w:asciiTheme="majorHAnsi" w:hAnsiTheme="majorHAnsi" w:cstheme="majorHAnsi"/>
                <w:b/>
              </w:rPr>
            </w:pPr>
            <w:r w:rsidRPr="00A61669">
              <w:rPr>
                <w:rFonts w:asciiTheme="majorHAnsi" w:eastAsia="Times New Roman" w:hAnsiTheme="majorHAnsi" w:cstheme="majorHAnsi"/>
                <w:color w:val="000000"/>
                <w:lang w:eastAsia="en-GB"/>
              </w:rPr>
              <w:t>4.3</w:t>
            </w:r>
          </w:p>
        </w:tc>
        <w:tc>
          <w:tcPr>
            <w:tcW w:w="1078" w:type="dxa"/>
            <w:tcMar>
              <w:top w:w="100" w:type="dxa"/>
              <w:left w:w="100" w:type="dxa"/>
              <w:bottom w:w="100" w:type="dxa"/>
              <w:right w:w="100" w:type="dxa"/>
            </w:tcMar>
            <w:vAlign w:val="bottom"/>
          </w:tcPr>
          <w:p w14:paraId="000005A3" w14:textId="36030864"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3.3</w:t>
            </w:r>
          </w:p>
        </w:tc>
        <w:tc>
          <w:tcPr>
            <w:tcW w:w="1450" w:type="dxa"/>
            <w:tcMar>
              <w:top w:w="100" w:type="dxa"/>
              <w:left w:w="100" w:type="dxa"/>
              <w:bottom w:w="100" w:type="dxa"/>
              <w:right w:w="100" w:type="dxa"/>
            </w:tcMar>
            <w:vAlign w:val="center"/>
          </w:tcPr>
          <w:p w14:paraId="000005A5" w14:textId="000005A6" w:rsidR="00F77087" w:rsidRPr="00A61669" w:rsidRDefault="00F77087" w:rsidP="00F77087">
            <w:pPr>
              <w:pStyle w:val="TableInfo"/>
              <w:jc w:val="center"/>
              <w:rPr>
                <w:rFonts w:asciiTheme="majorHAnsi" w:hAnsiTheme="majorHAnsi" w:cstheme="majorHAnsi"/>
              </w:rPr>
            </w:pPr>
            <w:r w:rsidRPr="00A61669">
              <w:rPr>
                <w:rFonts w:asciiTheme="majorHAnsi" w:hAnsiTheme="majorHAnsi" w:cstheme="majorHAnsi"/>
              </w:rPr>
              <w:t>Azure</w:t>
            </w:r>
          </w:p>
        </w:tc>
        <w:tc>
          <w:tcPr>
            <w:tcW w:w="2844" w:type="dxa"/>
            <w:tcMar>
              <w:top w:w="100" w:type="dxa"/>
              <w:left w:w="100" w:type="dxa"/>
              <w:bottom w:w="100" w:type="dxa"/>
              <w:right w:w="100" w:type="dxa"/>
            </w:tcMar>
            <w:vAlign w:val="center"/>
          </w:tcPr>
          <w:p w14:paraId="000005A7" w14:textId="2CFA1E5D" w:rsidR="00F77087" w:rsidRPr="00A61669" w:rsidRDefault="00F47298" w:rsidP="00F77087">
            <w:pPr>
              <w:pStyle w:val="TableInfo"/>
              <w:rPr>
                <w:rFonts w:asciiTheme="majorHAnsi" w:hAnsiTheme="majorHAnsi" w:cstheme="majorHAnsi"/>
              </w:rPr>
            </w:pPr>
            <w:r w:rsidRPr="00A61669">
              <w:rPr>
                <w:rFonts w:asciiTheme="majorHAnsi" w:hAnsiTheme="majorHAnsi" w:cstheme="majorHAnsi"/>
                <w:lang w:val="en-GB"/>
              </w:rPr>
              <w:t>Microsoft licensing ecosystem advantage</w:t>
            </w:r>
          </w:p>
        </w:tc>
      </w:tr>
      <w:tr w:rsidR="00F77087" w14:paraId="286781FA" w14:textId="77777777" w:rsidTr="00626181">
        <w:tc>
          <w:tcPr>
            <w:tcW w:w="1358" w:type="dxa"/>
            <w:tcMar>
              <w:top w:w="100" w:type="dxa"/>
              <w:left w:w="100" w:type="dxa"/>
              <w:bottom w:w="100" w:type="dxa"/>
              <w:right w:w="100" w:type="dxa"/>
            </w:tcMar>
            <w:vAlign w:val="bottom"/>
          </w:tcPr>
          <w:p w14:paraId="000005A9" w14:textId="2D65B6AD"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b/>
                <w:sz w:val="20"/>
                <w:szCs w:val="20"/>
                <w:lang w:eastAsia="en-GB"/>
              </w:rPr>
              <w:lastRenderedPageBreak/>
              <w:t>Velocity</w:t>
            </w:r>
          </w:p>
        </w:tc>
        <w:tc>
          <w:tcPr>
            <w:tcW w:w="1024" w:type="dxa"/>
            <w:vAlign w:val="bottom"/>
          </w:tcPr>
          <w:p w14:paraId="7C1F8587" w14:textId="321DD63A" w:rsidR="00F77087" w:rsidRPr="00A61669" w:rsidRDefault="00F77087" w:rsidP="00F77087">
            <w:pPr>
              <w:pStyle w:val="TableInfo"/>
              <w:jc w:val="center"/>
              <w:rPr>
                <w:rFonts w:asciiTheme="majorHAnsi" w:eastAsia="Times New Roman" w:hAnsiTheme="majorHAnsi" w:cstheme="majorHAnsi"/>
                <w:color w:val="000000"/>
                <w:lang w:eastAsia="en-GB"/>
              </w:rPr>
            </w:pPr>
            <w:r w:rsidRPr="00A61669">
              <w:rPr>
                <w:rFonts w:asciiTheme="majorHAnsi" w:eastAsia="Times New Roman" w:hAnsiTheme="majorHAnsi" w:cstheme="majorHAnsi"/>
                <w:color w:val="000000"/>
                <w:lang w:eastAsia="en-GB"/>
              </w:rPr>
              <w:t>High</w:t>
            </w:r>
          </w:p>
        </w:tc>
        <w:tc>
          <w:tcPr>
            <w:tcW w:w="1024" w:type="dxa"/>
            <w:tcMar>
              <w:top w:w="100" w:type="dxa"/>
              <w:left w:w="100" w:type="dxa"/>
              <w:bottom w:w="100" w:type="dxa"/>
              <w:right w:w="100" w:type="dxa"/>
            </w:tcMar>
            <w:vAlign w:val="bottom"/>
          </w:tcPr>
          <w:p w14:paraId="000005AB" w14:textId="3DB03E92" w:rsidR="00F77087" w:rsidRPr="00A61669" w:rsidRDefault="00F77087" w:rsidP="00F77087">
            <w:pPr>
              <w:pStyle w:val="TableInfo"/>
              <w:jc w:val="center"/>
              <w:rPr>
                <w:rFonts w:asciiTheme="majorHAnsi" w:hAnsiTheme="majorHAnsi" w:cstheme="majorHAnsi"/>
              </w:rPr>
            </w:pPr>
            <w:r w:rsidRPr="00A61669">
              <w:rPr>
                <w:rFonts w:asciiTheme="majorHAnsi" w:eastAsia="Times New Roman" w:hAnsiTheme="majorHAnsi" w:cstheme="majorHAnsi"/>
                <w:color w:val="000000"/>
                <w:lang w:eastAsia="en-GB"/>
              </w:rPr>
              <w:t>4.6</w:t>
            </w:r>
          </w:p>
        </w:tc>
        <w:tc>
          <w:tcPr>
            <w:tcW w:w="962" w:type="dxa"/>
            <w:tcMar>
              <w:top w:w="100" w:type="dxa"/>
              <w:left w:w="100" w:type="dxa"/>
              <w:bottom w:w="100" w:type="dxa"/>
              <w:right w:w="100" w:type="dxa"/>
            </w:tcMar>
            <w:vAlign w:val="bottom"/>
          </w:tcPr>
          <w:p w14:paraId="000005AD" w14:textId="2D5D362A" w:rsidR="00F77087" w:rsidRPr="00A61669" w:rsidRDefault="00F77087" w:rsidP="00F77087">
            <w:pPr>
              <w:pStyle w:val="TableInfo"/>
              <w:jc w:val="center"/>
              <w:rPr>
                <w:rFonts w:asciiTheme="majorHAnsi" w:hAnsiTheme="majorHAnsi" w:cstheme="majorHAnsi"/>
                <w:b/>
              </w:rPr>
            </w:pPr>
            <w:r w:rsidRPr="00A61669">
              <w:rPr>
                <w:rFonts w:asciiTheme="majorHAnsi" w:eastAsia="Times New Roman" w:hAnsiTheme="majorHAnsi" w:cstheme="majorHAnsi"/>
                <w:color w:val="000000"/>
                <w:lang w:eastAsia="en-GB"/>
              </w:rPr>
              <w:t>4.6</w:t>
            </w:r>
          </w:p>
        </w:tc>
        <w:tc>
          <w:tcPr>
            <w:tcW w:w="1078" w:type="dxa"/>
            <w:tcMar>
              <w:top w:w="100" w:type="dxa"/>
              <w:left w:w="100" w:type="dxa"/>
              <w:bottom w:w="100" w:type="dxa"/>
              <w:right w:w="100" w:type="dxa"/>
            </w:tcMar>
            <w:vAlign w:val="bottom"/>
          </w:tcPr>
          <w:p w14:paraId="000005AF" w14:textId="6BF3BBE7" w:rsidR="00F77087" w:rsidRPr="00A61669" w:rsidRDefault="00F77087" w:rsidP="00F77087">
            <w:pPr>
              <w:pStyle w:val="TableInfo"/>
              <w:jc w:val="center"/>
              <w:rPr>
                <w:rFonts w:asciiTheme="majorHAnsi" w:hAnsiTheme="majorHAnsi" w:cstheme="majorHAnsi"/>
                <w:b/>
              </w:rPr>
            </w:pPr>
            <w:r w:rsidRPr="00A61669">
              <w:rPr>
                <w:rFonts w:asciiTheme="majorHAnsi" w:eastAsia="Times New Roman" w:hAnsiTheme="majorHAnsi" w:cstheme="majorHAnsi"/>
                <w:color w:val="000000"/>
                <w:lang w:eastAsia="en-GB"/>
              </w:rPr>
              <w:t>4.6</w:t>
            </w:r>
          </w:p>
        </w:tc>
        <w:tc>
          <w:tcPr>
            <w:tcW w:w="1450" w:type="dxa"/>
            <w:tcMar>
              <w:top w:w="100" w:type="dxa"/>
              <w:left w:w="100" w:type="dxa"/>
              <w:bottom w:w="100" w:type="dxa"/>
              <w:right w:w="100" w:type="dxa"/>
            </w:tcMar>
            <w:vAlign w:val="center"/>
          </w:tcPr>
          <w:p w14:paraId="000005B1" w14:textId="296CD442" w:rsidR="00F77087" w:rsidRPr="00A61669" w:rsidRDefault="008E1D47" w:rsidP="00F77087">
            <w:pPr>
              <w:pStyle w:val="TableInfo"/>
              <w:jc w:val="center"/>
              <w:rPr>
                <w:rFonts w:asciiTheme="majorHAnsi" w:hAnsiTheme="majorHAnsi" w:cstheme="majorHAnsi"/>
              </w:rPr>
            </w:pPr>
            <w:r w:rsidRPr="00A61669">
              <w:rPr>
                <w:rFonts w:asciiTheme="majorHAnsi" w:hAnsiTheme="majorHAnsi" w:cstheme="majorHAnsi"/>
              </w:rPr>
              <w:t>Tied</w:t>
            </w:r>
          </w:p>
        </w:tc>
        <w:tc>
          <w:tcPr>
            <w:tcW w:w="2844" w:type="dxa"/>
            <w:tcMar>
              <w:top w:w="100" w:type="dxa"/>
              <w:left w:w="100" w:type="dxa"/>
              <w:bottom w:w="100" w:type="dxa"/>
              <w:right w:w="100" w:type="dxa"/>
            </w:tcMar>
            <w:vAlign w:val="center"/>
          </w:tcPr>
          <w:p w14:paraId="000005B3" w14:textId="27685658" w:rsidR="00F77087" w:rsidRPr="00A61669" w:rsidRDefault="008E1D47" w:rsidP="00F77087">
            <w:pPr>
              <w:pStyle w:val="TableInfo"/>
              <w:rPr>
                <w:rFonts w:asciiTheme="majorHAnsi" w:hAnsiTheme="majorHAnsi" w:cstheme="majorHAnsi"/>
              </w:rPr>
            </w:pPr>
            <w:r w:rsidRPr="00A61669">
              <w:rPr>
                <w:rFonts w:asciiTheme="majorHAnsi" w:hAnsiTheme="majorHAnsi" w:cstheme="majorHAnsi"/>
                <w:lang w:val="en-GB"/>
              </w:rPr>
              <w:t>All three closely matched across DevOps, IaC, and managed services</w:t>
            </w:r>
          </w:p>
        </w:tc>
      </w:tr>
      <w:tr w:rsidR="00F77087" w14:paraId="1D6941DE" w14:textId="77777777" w:rsidTr="00626181">
        <w:tc>
          <w:tcPr>
            <w:tcW w:w="1358" w:type="dxa"/>
            <w:tcMar>
              <w:top w:w="100" w:type="dxa"/>
              <w:left w:w="100" w:type="dxa"/>
              <w:bottom w:w="100" w:type="dxa"/>
              <w:right w:w="100" w:type="dxa"/>
            </w:tcMar>
            <w:vAlign w:val="bottom"/>
          </w:tcPr>
          <w:p w14:paraId="4EDE3C0C" w14:textId="4E5E88E0" w:rsidR="00F77087" w:rsidRPr="00A61669" w:rsidRDefault="00F77087" w:rsidP="00F77087">
            <w:pPr>
              <w:pStyle w:val="TableInfo"/>
              <w:jc w:val="center"/>
              <w:rPr>
                <w:rFonts w:asciiTheme="majorHAnsi" w:eastAsia="Times New Roman" w:hAnsiTheme="majorHAnsi" w:cstheme="majorHAnsi"/>
                <w:b/>
                <w:sz w:val="20"/>
                <w:szCs w:val="20"/>
                <w:lang w:eastAsia="en-GB"/>
              </w:rPr>
            </w:pPr>
            <w:r w:rsidRPr="00A61669">
              <w:rPr>
                <w:rFonts w:asciiTheme="majorHAnsi" w:eastAsia="Times New Roman" w:hAnsiTheme="majorHAnsi" w:cstheme="majorHAnsi"/>
                <w:b/>
                <w:lang w:eastAsia="en-GB"/>
              </w:rPr>
              <w:t>ABSOLUTE SCORE</w:t>
            </w:r>
          </w:p>
        </w:tc>
        <w:tc>
          <w:tcPr>
            <w:tcW w:w="1024" w:type="dxa"/>
            <w:vAlign w:val="bottom"/>
          </w:tcPr>
          <w:p w14:paraId="3EB267EF" w14:textId="1BB5CD99" w:rsidR="00F77087" w:rsidRPr="00A61669" w:rsidRDefault="00F77087" w:rsidP="00F77087">
            <w:pPr>
              <w:pStyle w:val="TableInfo"/>
              <w:jc w:val="center"/>
              <w:rPr>
                <w:rFonts w:asciiTheme="majorHAnsi" w:eastAsia="Times New Roman" w:hAnsiTheme="majorHAnsi" w:cstheme="majorHAnsi"/>
                <w:color w:val="000000"/>
                <w:lang w:eastAsia="en-GB"/>
              </w:rPr>
            </w:pPr>
            <w:r w:rsidRPr="00A61669">
              <w:rPr>
                <w:rFonts w:asciiTheme="majorHAnsi" w:eastAsia="Times New Roman" w:hAnsiTheme="majorHAnsi" w:cstheme="majorHAnsi"/>
                <w:color w:val="000000"/>
                <w:lang w:eastAsia="en-GB"/>
              </w:rPr>
              <w:t> </w:t>
            </w:r>
          </w:p>
        </w:tc>
        <w:tc>
          <w:tcPr>
            <w:tcW w:w="1024" w:type="dxa"/>
            <w:tcMar>
              <w:top w:w="100" w:type="dxa"/>
              <w:left w:w="100" w:type="dxa"/>
              <w:bottom w:w="100" w:type="dxa"/>
              <w:right w:w="100" w:type="dxa"/>
            </w:tcMar>
            <w:vAlign w:val="bottom"/>
          </w:tcPr>
          <w:p w14:paraId="5D4A204D" w14:textId="289D205A" w:rsidR="00F77087" w:rsidRPr="00A61669" w:rsidRDefault="00F77087" w:rsidP="00F77087">
            <w:pPr>
              <w:pStyle w:val="TableInfo"/>
              <w:jc w:val="center"/>
              <w:rPr>
                <w:rFonts w:asciiTheme="majorHAnsi" w:eastAsia="Times New Roman" w:hAnsiTheme="majorHAnsi" w:cstheme="majorHAnsi"/>
                <w:color w:val="000000"/>
                <w:lang w:eastAsia="en-GB"/>
              </w:rPr>
            </w:pPr>
            <w:r w:rsidRPr="00A61669">
              <w:rPr>
                <w:rFonts w:asciiTheme="majorHAnsi" w:eastAsia="Times New Roman" w:hAnsiTheme="majorHAnsi" w:cstheme="majorHAnsi"/>
                <w:b/>
                <w:lang w:eastAsia="en-GB"/>
              </w:rPr>
              <w:t>912.0</w:t>
            </w:r>
          </w:p>
        </w:tc>
        <w:tc>
          <w:tcPr>
            <w:tcW w:w="962" w:type="dxa"/>
            <w:tcMar>
              <w:top w:w="100" w:type="dxa"/>
              <w:left w:w="100" w:type="dxa"/>
              <w:bottom w:w="100" w:type="dxa"/>
              <w:right w:w="100" w:type="dxa"/>
            </w:tcMar>
            <w:vAlign w:val="bottom"/>
          </w:tcPr>
          <w:p w14:paraId="7FC61A10" w14:textId="2EEEF842" w:rsidR="00F77087" w:rsidRPr="00A61669" w:rsidRDefault="00F77087" w:rsidP="00F77087">
            <w:pPr>
              <w:pStyle w:val="TableInfo"/>
              <w:jc w:val="center"/>
              <w:rPr>
                <w:rFonts w:asciiTheme="majorHAnsi" w:eastAsia="Times New Roman" w:hAnsiTheme="majorHAnsi" w:cstheme="majorHAnsi"/>
                <w:color w:val="000000"/>
                <w:lang w:eastAsia="en-GB"/>
              </w:rPr>
            </w:pPr>
            <w:r w:rsidRPr="00A61669">
              <w:rPr>
                <w:rFonts w:asciiTheme="majorHAnsi" w:eastAsia="Times New Roman" w:hAnsiTheme="majorHAnsi" w:cstheme="majorHAnsi"/>
                <w:b/>
                <w:lang w:eastAsia="en-GB"/>
              </w:rPr>
              <w:t>880.0</w:t>
            </w:r>
          </w:p>
        </w:tc>
        <w:tc>
          <w:tcPr>
            <w:tcW w:w="1078" w:type="dxa"/>
            <w:tcMar>
              <w:top w:w="100" w:type="dxa"/>
              <w:left w:w="100" w:type="dxa"/>
              <w:bottom w:w="100" w:type="dxa"/>
              <w:right w:w="100" w:type="dxa"/>
            </w:tcMar>
            <w:vAlign w:val="bottom"/>
          </w:tcPr>
          <w:p w14:paraId="6DE2CDD2" w14:textId="20B6D478" w:rsidR="00F77087" w:rsidRPr="00A61669" w:rsidRDefault="00F77087" w:rsidP="00F77087">
            <w:pPr>
              <w:pStyle w:val="TableInfo"/>
              <w:jc w:val="center"/>
              <w:rPr>
                <w:rFonts w:asciiTheme="majorHAnsi" w:eastAsia="Times New Roman" w:hAnsiTheme="majorHAnsi" w:cstheme="majorHAnsi"/>
                <w:color w:val="000000"/>
                <w:lang w:eastAsia="en-GB"/>
              </w:rPr>
            </w:pPr>
            <w:r w:rsidRPr="00A61669">
              <w:rPr>
                <w:rFonts w:asciiTheme="majorHAnsi" w:eastAsia="Times New Roman" w:hAnsiTheme="majorHAnsi" w:cstheme="majorHAnsi"/>
                <w:b/>
                <w:lang w:eastAsia="en-GB"/>
              </w:rPr>
              <w:t>884.0</w:t>
            </w:r>
          </w:p>
        </w:tc>
        <w:tc>
          <w:tcPr>
            <w:tcW w:w="1450" w:type="dxa"/>
            <w:tcMar>
              <w:top w:w="100" w:type="dxa"/>
              <w:left w:w="100" w:type="dxa"/>
              <w:bottom w:w="100" w:type="dxa"/>
              <w:right w:w="100" w:type="dxa"/>
            </w:tcMar>
            <w:vAlign w:val="center"/>
          </w:tcPr>
          <w:p w14:paraId="30FEF4CA" w14:textId="77777777" w:rsidR="00F77087" w:rsidRPr="00A61669" w:rsidRDefault="00F77087" w:rsidP="00F77087">
            <w:pPr>
              <w:pStyle w:val="TableInfo"/>
              <w:jc w:val="center"/>
              <w:rPr>
                <w:rFonts w:asciiTheme="majorHAnsi" w:hAnsiTheme="majorHAnsi" w:cstheme="majorHAnsi"/>
              </w:rPr>
            </w:pPr>
          </w:p>
        </w:tc>
        <w:tc>
          <w:tcPr>
            <w:tcW w:w="2844" w:type="dxa"/>
            <w:tcMar>
              <w:top w:w="100" w:type="dxa"/>
              <w:left w:w="100" w:type="dxa"/>
              <w:bottom w:w="100" w:type="dxa"/>
              <w:right w:w="100" w:type="dxa"/>
            </w:tcMar>
            <w:vAlign w:val="center"/>
          </w:tcPr>
          <w:p w14:paraId="4001BAD5" w14:textId="77777777" w:rsidR="00F77087" w:rsidRPr="00A61669" w:rsidRDefault="00F77087" w:rsidP="00F77087">
            <w:pPr>
              <w:pStyle w:val="TableInfo"/>
              <w:rPr>
                <w:rFonts w:asciiTheme="majorHAnsi" w:hAnsiTheme="majorHAnsi" w:cstheme="majorHAnsi"/>
                <w:lang w:val="en-GB"/>
              </w:rPr>
            </w:pPr>
          </w:p>
        </w:tc>
      </w:tr>
      <w:tr w:rsidR="00F77087" w14:paraId="3217FC5D" w14:textId="77777777" w:rsidTr="00626181">
        <w:tc>
          <w:tcPr>
            <w:tcW w:w="1358" w:type="dxa"/>
            <w:tcMar>
              <w:top w:w="100" w:type="dxa"/>
              <w:left w:w="100" w:type="dxa"/>
              <w:bottom w:w="100" w:type="dxa"/>
              <w:right w:w="100" w:type="dxa"/>
            </w:tcMar>
            <w:vAlign w:val="bottom"/>
          </w:tcPr>
          <w:p w14:paraId="000005B5" w14:textId="2101C6ED" w:rsidR="00F77087" w:rsidRPr="00A61669" w:rsidRDefault="00F77087" w:rsidP="00F77087">
            <w:pPr>
              <w:pStyle w:val="TableInfo"/>
              <w:jc w:val="center"/>
              <w:rPr>
                <w:rFonts w:asciiTheme="majorHAnsi" w:hAnsiTheme="majorHAnsi" w:cstheme="majorHAnsi"/>
                <w:b/>
              </w:rPr>
            </w:pPr>
            <w:r w:rsidRPr="00A61669">
              <w:rPr>
                <w:rFonts w:asciiTheme="majorHAnsi" w:eastAsia="Times New Roman" w:hAnsiTheme="majorHAnsi" w:cstheme="majorHAnsi"/>
                <w:b/>
                <w:lang w:eastAsia="en-GB"/>
              </w:rPr>
              <w:t>PLACING</w:t>
            </w:r>
          </w:p>
        </w:tc>
        <w:tc>
          <w:tcPr>
            <w:tcW w:w="1024" w:type="dxa"/>
            <w:vAlign w:val="bottom"/>
          </w:tcPr>
          <w:p w14:paraId="2649E206" w14:textId="5C3948F0" w:rsidR="00F77087" w:rsidRPr="00A61669" w:rsidRDefault="00F77087" w:rsidP="00F77087">
            <w:pPr>
              <w:pStyle w:val="TableInfo"/>
              <w:jc w:val="center"/>
              <w:rPr>
                <w:rFonts w:asciiTheme="majorHAnsi" w:eastAsia="Times New Roman" w:hAnsiTheme="majorHAnsi" w:cstheme="majorHAnsi"/>
                <w:color w:val="000000"/>
                <w:lang w:eastAsia="en-GB"/>
              </w:rPr>
            </w:pPr>
            <w:r w:rsidRPr="00A61669">
              <w:rPr>
                <w:rFonts w:asciiTheme="majorHAnsi" w:eastAsia="Times New Roman" w:hAnsiTheme="majorHAnsi" w:cstheme="majorHAnsi"/>
                <w:color w:val="000000"/>
                <w:lang w:eastAsia="en-GB"/>
              </w:rPr>
              <w:t> </w:t>
            </w:r>
          </w:p>
        </w:tc>
        <w:tc>
          <w:tcPr>
            <w:tcW w:w="1024" w:type="dxa"/>
            <w:tcMar>
              <w:top w:w="100" w:type="dxa"/>
              <w:left w:w="100" w:type="dxa"/>
              <w:bottom w:w="100" w:type="dxa"/>
              <w:right w:w="100" w:type="dxa"/>
            </w:tcMar>
            <w:vAlign w:val="bottom"/>
          </w:tcPr>
          <w:p w14:paraId="000005B7" w14:textId="1CB00D09" w:rsidR="00F77087" w:rsidRPr="00A61669" w:rsidRDefault="00F77087" w:rsidP="00F77087">
            <w:pPr>
              <w:pStyle w:val="TableInfo"/>
              <w:jc w:val="center"/>
              <w:rPr>
                <w:rFonts w:asciiTheme="majorHAnsi" w:hAnsiTheme="majorHAnsi" w:cstheme="majorHAnsi"/>
                <w:b/>
              </w:rPr>
            </w:pPr>
            <w:r w:rsidRPr="00A61669">
              <w:rPr>
                <w:rFonts w:asciiTheme="majorHAnsi" w:eastAsia="Times New Roman" w:hAnsiTheme="majorHAnsi" w:cstheme="majorHAnsi"/>
                <w:b/>
                <w:lang w:eastAsia="en-GB"/>
              </w:rPr>
              <w:t>1st</w:t>
            </w:r>
          </w:p>
        </w:tc>
        <w:tc>
          <w:tcPr>
            <w:tcW w:w="962" w:type="dxa"/>
            <w:tcMar>
              <w:top w:w="100" w:type="dxa"/>
              <w:left w:w="100" w:type="dxa"/>
              <w:bottom w:w="100" w:type="dxa"/>
              <w:right w:w="100" w:type="dxa"/>
            </w:tcMar>
            <w:vAlign w:val="bottom"/>
          </w:tcPr>
          <w:p w14:paraId="000005B9" w14:textId="28F0D0B0" w:rsidR="00F77087" w:rsidRPr="00A61669" w:rsidRDefault="00F77087" w:rsidP="00F77087">
            <w:pPr>
              <w:pStyle w:val="TableInfo"/>
              <w:jc w:val="center"/>
              <w:rPr>
                <w:rFonts w:asciiTheme="majorHAnsi" w:hAnsiTheme="majorHAnsi" w:cstheme="majorHAnsi"/>
                <w:b/>
              </w:rPr>
            </w:pPr>
            <w:r w:rsidRPr="00A61669">
              <w:rPr>
                <w:rFonts w:asciiTheme="majorHAnsi" w:eastAsia="Times New Roman" w:hAnsiTheme="majorHAnsi" w:cstheme="majorHAnsi"/>
                <w:b/>
                <w:lang w:eastAsia="en-GB"/>
              </w:rPr>
              <w:t>3rd</w:t>
            </w:r>
          </w:p>
        </w:tc>
        <w:tc>
          <w:tcPr>
            <w:tcW w:w="1078" w:type="dxa"/>
            <w:tcMar>
              <w:top w:w="100" w:type="dxa"/>
              <w:left w:w="100" w:type="dxa"/>
              <w:bottom w:w="100" w:type="dxa"/>
              <w:right w:w="100" w:type="dxa"/>
            </w:tcMar>
            <w:vAlign w:val="bottom"/>
          </w:tcPr>
          <w:p w14:paraId="000005BB" w14:textId="3B7BC77B" w:rsidR="00F77087" w:rsidRPr="00A61669" w:rsidRDefault="00F77087" w:rsidP="00F77087">
            <w:pPr>
              <w:pStyle w:val="TableInfo"/>
              <w:jc w:val="center"/>
              <w:rPr>
                <w:rFonts w:asciiTheme="majorHAnsi" w:eastAsia="Times New Roman" w:hAnsiTheme="majorHAnsi" w:cstheme="majorHAnsi"/>
                <w:b/>
                <w:lang w:eastAsia="en-GB"/>
              </w:rPr>
            </w:pPr>
            <w:r w:rsidRPr="00A61669">
              <w:rPr>
                <w:rFonts w:asciiTheme="majorHAnsi" w:eastAsia="Times New Roman" w:hAnsiTheme="majorHAnsi" w:cstheme="majorHAnsi"/>
                <w:b/>
                <w:lang w:eastAsia="en-GB"/>
              </w:rPr>
              <w:t>2</w:t>
            </w:r>
            <w:r w:rsidRPr="00A61669">
              <w:rPr>
                <w:rFonts w:asciiTheme="majorHAnsi" w:eastAsia="Times New Roman" w:hAnsiTheme="majorHAnsi" w:cstheme="majorHAnsi"/>
                <w:b/>
                <w:vertAlign w:val="superscript"/>
                <w:lang w:eastAsia="en-GB"/>
              </w:rPr>
              <w:t>nd</w:t>
            </w:r>
          </w:p>
        </w:tc>
        <w:tc>
          <w:tcPr>
            <w:tcW w:w="1450" w:type="dxa"/>
            <w:tcMar>
              <w:top w:w="100" w:type="dxa"/>
              <w:left w:w="100" w:type="dxa"/>
              <w:bottom w:w="100" w:type="dxa"/>
              <w:right w:w="100" w:type="dxa"/>
            </w:tcMar>
            <w:vAlign w:val="center"/>
          </w:tcPr>
          <w:p w14:paraId="000005BD" w14:textId="000005BE" w:rsidR="00F77087" w:rsidRPr="00A61669" w:rsidRDefault="00F77087" w:rsidP="00F77087">
            <w:pPr>
              <w:pStyle w:val="TableInfo"/>
              <w:jc w:val="center"/>
              <w:rPr>
                <w:rFonts w:asciiTheme="majorHAnsi" w:hAnsiTheme="majorHAnsi" w:cstheme="majorHAnsi"/>
                <w:b/>
              </w:rPr>
            </w:pPr>
          </w:p>
        </w:tc>
        <w:tc>
          <w:tcPr>
            <w:tcW w:w="2844" w:type="dxa"/>
            <w:tcMar>
              <w:top w:w="100" w:type="dxa"/>
              <w:left w:w="100" w:type="dxa"/>
              <w:bottom w:w="100" w:type="dxa"/>
              <w:right w:w="100" w:type="dxa"/>
            </w:tcMar>
            <w:vAlign w:val="center"/>
          </w:tcPr>
          <w:p w14:paraId="000005BF" w14:textId="000005C0" w:rsidR="00F77087" w:rsidRPr="00A61669" w:rsidRDefault="00F77087" w:rsidP="00F77087">
            <w:pPr>
              <w:pStyle w:val="TableInfo"/>
              <w:jc w:val="center"/>
              <w:rPr>
                <w:rFonts w:asciiTheme="majorHAnsi" w:hAnsiTheme="majorHAnsi" w:cstheme="majorHAnsi"/>
                <w:b/>
              </w:rPr>
            </w:pPr>
          </w:p>
        </w:tc>
      </w:tr>
    </w:tbl>
    <w:p w14:paraId="1D8685A9" w14:textId="77777777" w:rsidR="00C21248" w:rsidRPr="00A61669" w:rsidRDefault="00C21248" w:rsidP="00E40261">
      <w:pPr>
        <w:jc w:val="both"/>
        <w:rPr>
          <w:rFonts w:asciiTheme="majorHAnsi" w:hAnsiTheme="majorHAnsi" w:cstheme="majorHAnsi"/>
          <w:b/>
        </w:rPr>
      </w:pPr>
    </w:p>
    <w:p w14:paraId="000005C1" w14:textId="202EE599"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Overall fit against DMG Media's weightings</w:t>
      </w:r>
      <w:r w:rsidRPr="00A61669">
        <w:rPr>
          <w:rFonts w:asciiTheme="majorHAnsi" w:hAnsiTheme="majorHAnsi" w:cstheme="majorHAnsi"/>
        </w:rPr>
        <w:t xml:space="preserve"> (% of maximum possible</w:t>
      </w:r>
      <w:r w:rsidR="00B36F03" w:rsidRPr="00A61669">
        <w:rPr>
          <w:rFonts w:asciiTheme="majorHAnsi" w:hAnsiTheme="majorHAnsi" w:cstheme="majorHAnsi"/>
        </w:rPr>
        <w:t xml:space="preserve"> AWS 88%, Azure 85%, GCP 8</w:t>
      </w:r>
      <w:r w:rsidR="00FE42A9" w:rsidRPr="00A61669">
        <w:rPr>
          <w:rFonts w:asciiTheme="majorHAnsi" w:hAnsiTheme="majorHAnsi" w:cstheme="majorHAnsi"/>
        </w:rPr>
        <w:t>5</w:t>
      </w:r>
      <w:r w:rsidR="00B36F03" w:rsidRPr="00A61669">
        <w:rPr>
          <w:rFonts w:asciiTheme="majorHAnsi" w:hAnsiTheme="majorHAnsi" w:cstheme="majorHAnsi"/>
        </w:rPr>
        <w:t>%. AWS leads by 3 percentage points over Azure</w:t>
      </w:r>
      <w:r w:rsidR="00502A2A" w:rsidRPr="00A61669">
        <w:rPr>
          <w:rFonts w:asciiTheme="majorHAnsi" w:hAnsiTheme="majorHAnsi" w:cstheme="majorHAnsi"/>
        </w:rPr>
        <w:t xml:space="preserve"> and GCP</w:t>
      </w:r>
      <w:r w:rsidR="00B36F03" w:rsidRPr="00A61669">
        <w:rPr>
          <w:rFonts w:asciiTheme="majorHAnsi" w:hAnsiTheme="majorHAnsi" w:cstheme="majorHAnsi"/>
        </w:rPr>
        <w:t>.</w:t>
      </w:r>
    </w:p>
    <w:p w14:paraId="000005C3" w14:textId="000005C4" w:rsidR="000B0F63" w:rsidRPr="00A61669" w:rsidRDefault="00C05D22" w:rsidP="00E40261">
      <w:pPr>
        <w:jc w:val="both"/>
        <w:rPr>
          <w:rFonts w:asciiTheme="majorHAnsi" w:hAnsiTheme="majorHAnsi" w:cstheme="majorHAnsi"/>
        </w:rPr>
      </w:pPr>
      <w:r w:rsidRPr="00A61669">
        <w:rPr>
          <w:rFonts w:asciiTheme="majorHAnsi" w:hAnsiTheme="majorHAnsi" w:cstheme="majorHAnsi"/>
        </w:rPr>
        <w:t>Three observations on the matrix:</w:t>
      </w:r>
    </w:p>
    <w:p w14:paraId="2FE65874" w14:textId="18C0FE25" w:rsidR="008B7C8F" w:rsidRPr="00A61669" w:rsidRDefault="008B7C8F" w:rsidP="00F57DAB">
      <w:pPr>
        <w:pStyle w:val="ListBullet"/>
        <w:numPr>
          <w:ilvl w:val="0"/>
          <w:numId w:val="21"/>
        </w:numPr>
        <w:jc w:val="both"/>
        <w:rPr>
          <w:rFonts w:asciiTheme="majorHAnsi" w:hAnsiTheme="majorHAnsi" w:cstheme="majorHAnsi"/>
        </w:rPr>
      </w:pPr>
      <w:r w:rsidRPr="00A61669">
        <w:rPr>
          <w:rFonts w:asciiTheme="majorHAnsi" w:hAnsiTheme="majorHAnsi" w:cstheme="majorHAnsi"/>
        </w:rPr>
        <w:t>AWS leads the weighted scoring at 88% (</w:t>
      </w:r>
      <w:r w:rsidR="009750FF" w:rsidRPr="00A61669">
        <w:rPr>
          <w:rFonts w:asciiTheme="majorHAnsi" w:hAnsiTheme="majorHAnsi" w:cstheme="majorHAnsi"/>
        </w:rPr>
        <w:t>912</w:t>
      </w:r>
      <w:r w:rsidRPr="00A61669">
        <w:rPr>
          <w:rFonts w:asciiTheme="majorHAnsi" w:hAnsiTheme="majorHAnsi" w:cstheme="majorHAnsi"/>
        </w:rPr>
        <w:t xml:space="preserve"> points), ahead of Azure at 85% (</w:t>
      </w:r>
      <w:r w:rsidR="009750FF" w:rsidRPr="00A61669">
        <w:rPr>
          <w:rFonts w:asciiTheme="majorHAnsi" w:hAnsiTheme="majorHAnsi" w:cstheme="majorHAnsi"/>
        </w:rPr>
        <w:t>880</w:t>
      </w:r>
      <w:r w:rsidRPr="00A61669">
        <w:rPr>
          <w:rFonts w:asciiTheme="majorHAnsi" w:hAnsiTheme="majorHAnsi" w:cstheme="majorHAnsi"/>
        </w:rPr>
        <w:t xml:space="preserve"> points) and GCP at 8</w:t>
      </w:r>
      <w:r w:rsidR="009750FF" w:rsidRPr="00A61669">
        <w:rPr>
          <w:rFonts w:asciiTheme="majorHAnsi" w:hAnsiTheme="majorHAnsi" w:cstheme="majorHAnsi"/>
        </w:rPr>
        <w:t>5</w:t>
      </w:r>
      <w:r w:rsidRPr="00A61669">
        <w:rPr>
          <w:rFonts w:asciiTheme="majorHAnsi" w:hAnsiTheme="majorHAnsi" w:cstheme="majorHAnsi"/>
        </w:rPr>
        <w:t>% (</w:t>
      </w:r>
      <w:r w:rsidR="009750FF" w:rsidRPr="00A61669">
        <w:rPr>
          <w:rFonts w:asciiTheme="majorHAnsi" w:hAnsiTheme="majorHAnsi" w:cstheme="majorHAnsi"/>
        </w:rPr>
        <w:t>884</w:t>
      </w:r>
      <w:r w:rsidRPr="00A61669">
        <w:rPr>
          <w:rFonts w:asciiTheme="majorHAnsi" w:hAnsiTheme="majorHAnsi" w:cstheme="majorHAnsi"/>
        </w:rPr>
        <w:t xml:space="preserve"> points). AWS holds a consistent edge across the categories that carry the most weight for DMG Media.</w:t>
      </w:r>
    </w:p>
    <w:p w14:paraId="000005C7" w14:textId="4DD99999" w:rsidR="000B0F63" w:rsidRPr="00A61669" w:rsidRDefault="00C05D22" w:rsidP="00F57DAB">
      <w:pPr>
        <w:pStyle w:val="ListBullet"/>
        <w:numPr>
          <w:ilvl w:val="0"/>
          <w:numId w:val="21"/>
        </w:numPr>
        <w:jc w:val="both"/>
        <w:rPr>
          <w:rFonts w:asciiTheme="majorHAnsi" w:hAnsiTheme="majorHAnsi" w:cstheme="majorHAnsi"/>
        </w:rPr>
      </w:pPr>
      <w:r w:rsidRPr="00A61669">
        <w:rPr>
          <w:rFonts w:asciiTheme="majorHAnsi" w:hAnsiTheme="majorHAnsi" w:cstheme="majorHAnsi"/>
        </w:rPr>
        <w:t xml:space="preserve">Scoring refinements applied during </w:t>
      </w:r>
      <w:r w:rsidR="00100959" w:rsidRPr="00A61669">
        <w:rPr>
          <w:rFonts w:asciiTheme="majorHAnsi" w:hAnsiTheme="majorHAnsi" w:cstheme="majorHAnsi"/>
        </w:rPr>
        <w:t>Part 1</w:t>
      </w:r>
      <w:r w:rsidRPr="00A61669">
        <w:rPr>
          <w:rFonts w:asciiTheme="majorHAnsi" w:hAnsiTheme="majorHAnsi" w:cstheme="majorHAnsi"/>
        </w:rPr>
        <w:t xml:space="preserve"> include: Uptime parity confirmed across all three, TCO dial updated to reflect actual Complete View numbers, Windows Server 2022 BYOL restrictions on AWS and GCP captured in BYOL Flexibility, AHB practical benefit to DMG Media's use case scored as low in Hybrid Licensing Benefits (Azure Migrate's own recommended SKUs are almost all below the AHB 8-core minimum, with only 9 of 234 Windows servers at 8 vCPU or above).</w:t>
      </w:r>
    </w:p>
    <w:p w14:paraId="000005C9" w14:textId="000005CA" w:rsidR="000B0F63" w:rsidRPr="00A61669" w:rsidRDefault="00C05D22" w:rsidP="00F57DAB">
      <w:pPr>
        <w:pStyle w:val="ListBullet"/>
        <w:numPr>
          <w:ilvl w:val="0"/>
          <w:numId w:val="21"/>
        </w:numPr>
        <w:jc w:val="both"/>
        <w:rPr>
          <w:rFonts w:asciiTheme="majorHAnsi" w:hAnsiTheme="majorHAnsi" w:cstheme="majorHAnsi"/>
        </w:rPr>
      </w:pPr>
      <w:r w:rsidRPr="00A61669">
        <w:rPr>
          <w:rFonts w:asciiTheme="majorHAnsi" w:hAnsiTheme="majorHAnsi" w:cstheme="majorHAnsi"/>
        </w:rPr>
        <w:t>Each cloud has genuine strengths: Azure on Security and Licensing mechanism, AWS on Reliability, Performance, Cost, and Business Fit, GCP on Business Analytics, Transparency, and Sustainability.</w:t>
      </w:r>
    </w:p>
    <w:p w14:paraId="000005CB" w14:textId="608CFC74" w:rsidR="000B0F63" w:rsidRPr="00A61669" w:rsidRDefault="00A1527B" w:rsidP="00E40261">
      <w:pPr>
        <w:jc w:val="both"/>
        <w:rPr>
          <w:rFonts w:asciiTheme="majorHAnsi" w:hAnsiTheme="majorHAnsi" w:cstheme="majorHAnsi"/>
        </w:rPr>
      </w:pPr>
      <w:r w:rsidRPr="00A61669">
        <w:rPr>
          <w:rFonts w:asciiTheme="majorHAnsi" w:hAnsiTheme="majorHAnsi" w:cstheme="majorHAnsi"/>
        </w:rPr>
        <w:t>The matrix tells DMG Media that all three clouds are technically capable of hosting this environment. Three factors outside the weighted scoring tip the recommendation</w:t>
      </w:r>
      <w:r w:rsidR="00C05D22" w:rsidRPr="00A61669">
        <w:rPr>
          <w:rFonts w:asciiTheme="majorHAnsi" w:hAnsiTheme="majorHAnsi" w:cstheme="majorHAnsi"/>
        </w:rPr>
        <w:t>.</w:t>
      </w:r>
    </w:p>
    <w:p w14:paraId="000005CD" w14:textId="000005CE" w:rsidR="000B0F63" w:rsidRPr="00A61669" w:rsidRDefault="1BAB210A" w:rsidP="00E40261">
      <w:pPr>
        <w:pStyle w:val="Heading2"/>
        <w:jc w:val="both"/>
        <w:rPr>
          <w:rFonts w:asciiTheme="majorHAnsi" w:hAnsiTheme="majorHAnsi" w:cstheme="majorHAnsi"/>
        </w:rPr>
      </w:pPr>
      <w:bookmarkStart w:id="142" w:name="_Toc175"/>
      <w:bookmarkStart w:id="143" w:name="_Toc227770958"/>
      <w:r w:rsidRPr="00A61669">
        <w:rPr>
          <w:rFonts w:asciiTheme="majorHAnsi" w:hAnsiTheme="majorHAnsi" w:cstheme="majorHAnsi"/>
        </w:rPr>
        <w:t>The Recommendation</w:t>
      </w:r>
      <w:bookmarkEnd w:id="142"/>
      <w:bookmarkEnd w:id="143"/>
    </w:p>
    <w:p w14:paraId="4645BC88" w14:textId="77777777" w:rsidR="007C024F" w:rsidRPr="00A61669" w:rsidRDefault="007C024F" w:rsidP="007C024F">
      <w:pPr>
        <w:pStyle w:val="Heading2"/>
        <w:jc w:val="both"/>
        <w:rPr>
          <w:rFonts w:asciiTheme="majorHAnsi" w:hAnsiTheme="majorHAnsi" w:cstheme="majorHAnsi"/>
          <w:b/>
          <w:sz w:val="28"/>
          <w:szCs w:val="28"/>
        </w:rPr>
      </w:pPr>
      <w:bookmarkStart w:id="144" w:name="_Toc177"/>
      <w:bookmarkStart w:id="145" w:name="_Toc227770960"/>
      <w:r w:rsidRPr="00A61669">
        <w:rPr>
          <w:rFonts w:asciiTheme="majorHAnsi" w:hAnsiTheme="majorHAnsi" w:cstheme="majorHAnsi"/>
          <w:b/>
          <w:sz w:val="28"/>
          <w:szCs w:val="28"/>
        </w:rPr>
        <w:t>Primary platform: AWS.</w:t>
      </w:r>
    </w:p>
    <w:p w14:paraId="16B650AB" w14:textId="1CD292A5" w:rsidR="00C84E08" w:rsidRPr="00A61669" w:rsidRDefault="00C84E08" w:rsidP="007C024F">
      <w:pPr>
        <w:pStyle w:val="ListBullet"/>
        <w:jc w:val="both"/>
        <w:rPr>
          <w:rFonts w:asciiTheme="majorHAnsi" w:hAnsiTheme="majorHAnsi" w:cstheme="majorHAnsi"/>
        </w:rPr>
      </w:pPr>
      <w:r w:rsidRPr="00A61669">
        <w:rPr>
          <w:rFonts w:asciiTheme="majorHAnsi" w:hAnsiTheme="majorHAnsi" w:cstheme="majorHAnsi"/>
        </w:rPr>
        <w:t xml:space="preserve">The recommendation rests on four reinforcing factors: scoring, cost, technical constraints, and ecosystem fit. In most assessments, these factors pull in different directions and the recommendation involves trade-offs. In </w:t>
      </w:r>
      <w:r w:rsidR="004E0C88" w:rsidRPr="00A61669">
        <w:rPr>
          <w:rFonts w:asciiTheme="majorHAnsi" w:hAnsiTheme="majorHAnsi" w:cstheme="majorHAnsi"/>
        </w:rPr>
        <w:t>DMG Media</w:t>
      </w:r>
      <w:r w:rsidRPr="00A61669">
        <w:rPr>
          <w:rFonts w:asciiTheme="majorHAnsi" w:hAnsiTheme="majorHAnsi" w:cstheme="majorHAnsi"/>
        </w:rPr>
        <w:t xml:space="preserve">'s case, they converge. AWS leads the weighted scoring, is within 2% of the cheapest cloud on cost, is the only platform that handles </w:t>
      </w:r>
      <w:r w:rsidR="004E0C88" w:rsidRPr="00A61669">
        <w:rPr>
          <w:rFonts w:asciiTheme="majorHAnsi" w:hAnsiTheme="majorHAnsi" w:cstheme="majorHAnsi"/>
        </w:rPr>
        <w:t>DMG Media</w:t>
      </w:r>
      <w:r w:rsidRPr="00A61669">
        <w:rPr>
          <w:rFonts w:asciiTheme="majorHAnsi" w:hAnsiTheme="majorHAnsi" w:cstheme="majorHAnsi"/>
        </w:rPr>
        <w:t>'s hardest technical constraint natively</w:t>
      </w:r>
      <w:r w:rsidR="004E0C88" w:rsidRPr="00A61669">
        <w:rPr>
          <w:rFonts w:asciiTheme="majorHAnsi" w:hAnsiTheme="majorHAnsi" w:cstheme="majorHAnsi"/>
        </w:rPr>
        <w:t xml:space="preserve"> </w:t>
      </w:r>
      <w:r w:rsidRPr="00A61669">
        <w:rPr>
          <w:rFonts w:asciiTheme="majorHAnsi" w:hAnsiTheme="majorHAnsi" w:cstheme="majorHAnsi"/>
        </w:rPr>
        <w:t xml:space="preserve">and has the deepest partner ecosystem for the operating model </w:t>
      </w:r>
      <w:r w:rsidR="004E0C88" w:rsidRPr="00A61669">
        <w:rPr>
          <w:rFonts w:asciiTheme="majorHAnsi" w:hAnsiTheme="majorHAnsi" w:cstheme="majorHAnsi"/>
        </w:rPr>
        <w:t>DMG Media</w:t>
      </w:r>
      <w:r w:rsidRPr="00A61669">
        <w:rPr>
          <w:rFonts w:asciiTheme="majorHAnsi" w:hAnsiTheme="majorHAnsi" w:cstheme="majorHAnsi"/>
        </w:rPr>
        <w:t xml:space="preserve"> intends to adopt. That alignment is what gives the recommendation its confidence.</w:t>
      </w:r>
    </w:p>
    <w:p w14:paraId="2A2B9161" w14:textId="60114C67" w:rsidR="007C024F" w:rsidRPr="00A61669" w:rsidRDefault="007C024F" w:rsidP="007C024F">
      <w:pPr>
        <w:pStyle w:val="ListBullet"/>
        <w:jc w:val="both"/>
        <w:rPr>
          <w:rFonts w:asciiTheme="majorHAnsi" w:hAnsiTheme="majorHAnsi" w:cstheme="majorHAnsi"/>
        </w:rPr>
      </w:pPr>
      <w:r w:rsidRPr="00A61669">
        <w:rPr>
          <w:rFonts w:asciiTheme="majorHAnsi" w:hAnsiTheme="majorHAnsi" w:cstheme="majorHAnsi"/>
        </w:rPr>
        <w:t>AWS leads the weighted scoring at 88% (</w:t>
      </w:r>
      <w:r w:rsidR="00EC1554" w:rsidRPr="00A61669">
        <w:rPr>
          <w:rFonts w:asciiTheme="majorHAnsi" w:hAnsiTheme="majorHAnsi" w:cstheme="majorHAnsi"/>
        </w:rPr>
        <w:t>912</w:t>
      </w:r>
      <w:r w:rsidRPr="00A61669">
        <w:rPr>
          <w:rFonts w:asciiTheme="majorHAnsi" w:hAnsiTheme="majorHAnsi" w:cstheme="majorHAnsi"/>
        </w:rPr>
        <w:t xml:space="preserve"> points) against Azure at 85% (</w:t>
      </w:r>
      <w:r w:rsidR="00104B5A" w:rsidRPr="00A61669">
        <w:rPr>
          <w:rFonts w:asciiTheme="majorHAnsi" w:hAnsiTheme="majorHAnsi" w:cstheme="majorHAnsi"/>
        </w:rPr>
        <w:t>880</w:t>
      </w:r>
      <w:r w:rsidRPr="00A61669">
        <w:rPr>
          <w:rFonts w:asciiTheme="majorHAnsi" w:hAnsiTheme="majorHAnsi" w:cstheme="majorHAnsi"/>
        </w:rPr>
        <w:t>) and GCP at 8</w:t>
      </w:r>
      <w:r w:rsidR="00220E2B" w:rsidRPr="00A61669">
        <w:rPr>
          <w:rFonts w:asciiTheme="majorHAnsi" w:hAnsiTheme="majorHAnsi" w:cstheme="majorHAnsi"/>
        </w:rPr>
        <w:t>5</w:t>
      </w:r>
      <w:r w:rsidRPr="00A61669">
        <w:rPr>
          <w:rFonts w:asciiTheme="majorHAnsi" w:hAnsiTheme="majorHAnsi" w:cstheme="majorHAnsi"/>
        </w:rPr>
        <w:t>% (</w:t>
      </w:r>
      <w:r w:rsidR="00104B5A" w:rsidRPr="00A61669">
        <w:rPr>
          <w:rFonts w:asciiTheme="majorHAnsi" w:hAnsiTheme="majorHAnsi" w:cstheme="majorHAnsi"/>
        </w:rPr>
        <w:t>884</w:t>
      </w:r>
      <w:r w:rsidRPr="00A61669">
        <w:rPr>
          <w:rFonts w:asciiTheme="majorHAnsi" w:hAnsiTheme="majorHAnsi" w:cstheme="majorHAnsi"/>
        </w:rPr>
        <w:t xml:space="preserve">). AWS is first or joint-first on the categories that carry the most weight for </w:t>
      </w:r>
      <w:r w:rsidR="00E447D6" w:rsidRPr="00A61669">
        <w:rPr>
          <w:rFonts w:asciiTheme="majorHAnsi" w:hAnsiTheme="majorHAnsi" w:cstheme="majorHAnsi"/>
        </w:rPr>
        <w:t>DMG Media</w:t>
      </w:r>
      <w:r w:rsidRPr="00A61669">
        <w:rPr>
          <w:rFonts w:asciiTheme="majorHAnsi" w:hAnsiTheme="majorHAnsi" w:cstheme="majorHAnsi"/>
        </w:rPr>
        <w:t>: Cost (Very High priority), Performance (High), Reliability (Moderate), and Business Fit (Moderate). Azure's strengths in Security and Licensing are genuine but sit in moderate-priority categories and do not close the gap. GCP's standout on Sustainability carries low priority weight.</w:t>
      </w:r>
    </w:p>
    <w:p w14:paraId="4F246E5B" w14:textId="754E5608" w:rsidR="002E5F50" w:rsidRPr="00A61669" w:rsidRDefault="002E5F50" w:rsidP="00F057EB">
      <w:pPr>
        <w:rPr>
          <w:rFonts w:asciiTheme="majorHAnsi" w:hAnsiTheme="majorHAnsi" w:cstheme="majorHAnsi"/>
        </w:rPr>
      </w:pPr>
      <w:r w:rsidRPr="00A61669">
        <w:rPr>
          <w:rFonts w:asciiTheme="majorHAnsi" w:hAnsiTheme="majorHAnsi" w:cstheme="majorHAnsi"/>
        </w:rPr>
        <w:lastRenderedPageBreak/>
        <w:t xml:space="preserve">On cost, GCP is the cheapest cloud on list pricing at </w:t>
      </w:r>
      <w:r w:rsidRPr="00F057EB">
        <w:rPr>
          <w:rFonts w:asciiTheme="majorHAnsi" w:eastAsiaTheme="minorHAnsi" w:hAnsiTheme="majorHAnsi" w:cstheme="majorHAnsi"/>
          <w:szCs w:val="24"/>
          <w:lang w:val="en-US"/>
        </w:rPr>
        <w:t>£</w:t>
      </w:r>
      <w:r w:rsidR="00F057EB" w:rsidRPr="00F057EB">
        <w:rPr>
          <w:rFonts w:asciiTheme="majorHAnsi" w:eastAsiaTheme="minorHAnsi" w:hAnsiTheme="majorHAnsi" w:cstheme="majorHAnsi"/>
          <w:szCs w:val="24"/>
          <w:lang w:val="en-US"/>
        </w:rPr>
        <w:t>4,594,427</w:t>
      </w:r>
      <w:r w:rsidR="00F057EB">
        <w:rPr>
          <w:rFonts w:asciiTheme="majorHAnsi" w:eastAsiaTheme="minorHAnsi" w:hAnsiTheme="majorHAnsi" w:cstheme="majorHAnsi"/>
          <w:szCs w:val="24"/>
          <w:lang w:val="en-US"/>
        </w:rPr>
        <w:t xml:space="preserve"> annually,</w:t>
      </w:r>
      <w:r w:rsidRPr="00A61669">
        <w:rPr>
          <w:rFonts w:asciiTheme="majorHAnsi" w:hAnsiTheme="majorHAnsi" w:cstheme="majorHAnsi"/>
        </w:rPr>
        <w:t xml:space="preserve"> AWS is within 2.1% at </w:t>
      </w:r>
      <w:r w:rsidRPr="00F057EB">
        <w:rPr>
          <w:rFonts w:asciiTheme="majorHAnsi" w:hAnsiTheme="majorHAnsi" w:cstheme="majorHAnsi"/>
        </w:rPr>
        <w:t>£</w:t>
      </w:r>
      <w:r w:rsidR="00F057EB" w:rsidRPr="00F057EB">
        <w:rPr>
          <w:rFonts w:asciiTheme="majorHAnsi" w:hAnsiTheme="majorHAnsi" w:cstheme="majorHAnsi"/>
        </w:rPr>
        <w:t>4,695,661</w:t>
      </w:r>
      <w:r w:rsidRPr="00A61669">
        <w:rPr>
          <w:rFonts w:asciiTheme="majorHAnsi" w:hAnsiTheme="majorHAnsi" w:cstheme="majorHAnsi"/>
        </w:rPr>
        <w:t xml:space="preserve">. Azure sits 24% higher at </w:t>
      </w:r>
      <w:r w:rsidRPr="00F057EB">
        <w:rPr>
          <w:rFonts w:asciiTheme="majorHAnsi" w:hAnsiTheme="majorHAnsi" w:cstheme="majorHAnsi"/>
        </w:rPr>
        <w:t>£</w:t>
      </w:r>
      <w:r w:rsidR="00F057EB" w:rsidRPr="00F057EB">
        <w:rPr>
          <w:rFonts w:asciiTheme="majorHAnsi" w:hAnsiTheme="majorHAnsi" w:cstheme="majorHAnsi"/>
        </w:rPr>
        <w:t>5,671,241</w:t>
      </w:r>
      <w:r w:rsidRPr="00A61669">
        <w:rPr>
          <w:rFonts w:asciiTheme="majorHAnsi" w:hAnsiTheme="majorHAnsi" w:cstheme="majorHAnsi"/>
        </w:rPr>
        <w:t>. The difference between GCP and AWS is approximately £</w:t>
      </w:r>
      <w:r w:rsidR="00CE6B30">
        <w:rPr>
          <w:rFonts w:asciiTheme="majorHAnsi" w:hAnsiTheme="majorHAnsi" w:cstheme="majorHAnsi"/>
        </w:rPr>
        <w:t>101</w:t>
      </w:r>
      <w:r w:rsidRPr="00A61669">
        <w:rPr>
          <w:rFonts w:asciiTheme="majorHAnsi" w:hAnsiTheme="majorHAnsi" w:cstheme="majorHAnsi"/>
        </w:rPr>
        <w:t>K per year at list price. In practice, that gap is expected to narrow or close once commercial terms are applied: AWS operates the most mature discount and migration funding program</w:t>
      </w:r>
      <w:r w:rsidR="009011E7" w:rsidRPr="00A61669">
        <w:rPr>
          <w:rFonts w:asciiTheme="majorHAnsi" w:hAnsiTheme="majorHAnsi" w:cstheme="majorHAnsi"/>
        </w:rPr>
        <w:t>s</w:t>
      </w:r>
      <w:r w:rsidRPr="00A61669">
        <w:rPr>
          <w:rFonts w:asciiTheme="majorHAnsi" w:hAnsiTheme="majorHAnsi" w:cstheme="majorHAnsi"/>
        </w:rPr>
        <w:t xml:space="preserve"> in the market (MAP credits, Enterprise Discount Program, partner-funded resources), and the scale of </w:t>
      </w:r>
      <w:r w:rsidR="00E5142A" w:rsidRPr="00A61669">
        <w:rPr>
          <w:rFonts w:asciiTheme="majorHAnsi" w:hAnsiTheme="majorHAnsi" w:cstheme="majorHAnsi"/>
        </w:rPr>
        <w:t>DMG Media’s</w:t>
      </w:r>
      <w:r w:rsidRPr="00A61669">
        <w:rPr>
          <w:rFonts w:asciiTheme="majorHAnsi" w:hAnsiTheme="majorHAnsi" w:cstheme="majorHAnsi"/>
        </w:rPr>
        <w:t xml:space="preserve"> commitment gives meaningful negotiation leverage. Azure's cost premium of approximately £1M per year over AWS is structural, driven by its sizing methodology and premium storage pricing, and its near-identical scoring does not justify that gap. Oracle is identical on all three clouds (Exadata@Cloud, same OCI pricing) and is not a differentiator.</w:t>
      </w:r>
    </w:p>
    <w:p w14:paraId="6B876CCE" w14:textId="6C3FD378" w:rsidR="00C95E6A" w:rsidRPr="00A61669" w:rsidRDefault="00AF2C04" w:rsidP="00C95E6A">
      <w:pPr>
        <w:pStyle w:val="ListBullet"/>
        <w:jc w:val="both"/>
        <w:rPr>
          <w:rFonts w:asciiTheme="majorHAnsi" w:hAnsiTheme="majorHAnsi" w:cstheme="majorHAnsi"/>
        </w:rPr>
      </w:pPr>
      <w:r w:rsidRPr="00A61669">
        <w:rPr>
          <w:rFonts w:asciiTheme="majorHAnsi" w:hAnsiTheme="majorHAnsi" w:cstheme="majorHAnsi"/>
        </w:rPr>
        <w:t>DMG Media</w:t>
      </w:r>
      <w:r w:rsidR="00C95E6A" w:rsidRPr="00A61669">
        <w:rPr>
          <w:rFonts w:asciiTheme="majorHAnsi" w:hAnsiTheme="majorHAnsi" w:cstheme="majorHAnsi"/>
        </w:rPr>
        <w:t>'s estate is characterised by tightly coupled, infrastructure-dependent applications with hard dependencies on networking, storage, and compute patterns that each cloud platform handles differently. AWS provides the broadest technical flexibility across these patterns, minimising rework for the widest range of workloads.</w:t>
      </w:r>
    </w:p>
    <w:p w14:paraId="7705F8F3" w14:textId="16E77E82" w:rsidR="00C95E6A" w:rsidRPr="00A61669" w:rsidRDefault="00C95E6A" w:rsidP="00C95E6A">
      <w:pPr>
        <w:pStyle w:val="ListBullet"/>
        <w:jc w:val="both"/>
        <w:rPr>
          <w:rFonts w:asciiTheme="majorHAnsi" w:hAnsiTheme="majorHAnsi" w:cstheme="majorHAnsi"/>
        </w:rPr>
      </w:pPr>
      <w:r w:rsidRPr="00A61669">
        <w:rPr>
          <w:rFonts w:asciiTheme="majorHAnsi" w:hAnsiTheme="majorHAnsi" w:cstheme="majorHAnsi"/>
        </w:rPr>
        <w:t xml:space="preserve">The most visible constraint is Atex, which requires multicast networking. AWS is the only platform that supports multicast natively (via Transit Gateway). GCP and Azure do not. The workaround (VMware-on-cloud overlays: GCVE on GCP, AVS on Azure) contradicts </w:t>
      </w:r>
      <w:r w:rsidR="00626181" w:rsidRPr="00A61669">
        <w:rPr>
          <w:rFonts w:asciiTheme="majorHAnsi" w:hAnsiTheme="majorHAnsi" w:cstheme="majorHAnsi"/>
        </w:rPr>
        <w:t>DMG Media's</w:t>
      </w:r>
      <w:r w:rsidRPr="00A61669">
        <w:rPr>
          <w:rFonts w:asciiTheme="majorHAnsi" w:hAnsiTheme="majorHAnsi" w:cstheme="majorHAnsi"/>
        </w:rPr>
        <w:t xml:space="preserve"> VMware exit strategy. That leaves GCP and Azure with two options for Atex: a vendor-dependent unicast refactor, or accept Atex cannot migrate as-is. AWS sidesteps this entirely. Atex represents 3.6% of the in-scope estate, but the constraint is binary: it either works or it does not.</w:t>
      </w:r>
    </w:p>
    <w:p w14:paraId="332C7629" w14:textId="77777777" w:rsidR="00C95E6A" w:rsidRPr="00A61669" w:rsidRDefault="00C95E6A" w:rsidP="00C95E6A">
      <w:pPr>
        <w:pStyle w:val="ListBullet"/>
        <w:jc w:val="both"/>
        <w:rPr>
          <w:rFonts w:asciiTheme="majorHAnsi" w:hAnsiTheme="majorHAnsi" w:cstheme="majorHAnsi"/>
        </w:rPr>
      </w:pPr>
      <w:r w:rsidRPr="00A61669">
        <w:rPr>
          <w:rFonts w:asciiTheme="majorHAnsi" w:hAnsiTheme="majorHAnsi" w:cstheme="majorHAnsi"/>
        </w:rPr>
        <w:t>Atex is not an isolated case. Across the estate, tightly coupled applications with infrastructure-level dependencies are common, and AWS consistently accommodates more of these patterns without architectural compromise. AWS also provides the strongest application modernisation pathway, giving Customer a clear route from lift-and-shift through to containerisation, managed services, and serverless as the estate matures.</w:t>
      </w:r>
    </w:p>
    <w:p w14:paraId="70C01CE2" w14:textId="77777777" w:rsidR="00AF2C04" w:rsidRPr="00A61669" w:rsidRDefault="00C95E6A" w:rsidP="00C95E6A">
      <w:pPr>
        <w:pStyle w:val="ListBullet"/>
        <w:jc w:val="both"/>
        <w:rPr>
          <w:rFonts w:asciiTheme="majorHAnsi" w:hAnsiTheme="majorHAnsi" w:cstheme="majorHAnsi"/>
        </w:rPr>
      </w:pPr>
      <w:r w:rsidRPr="00A61669">
        <w:rPr>
          <w:rFonts w:asciiTheme="majorHAnsi" w:hAnsiTheme="majorHAnsi" w:cstheme="majorHAnsi"/>
        </w:rPr>
        <w:t>The estate is predominantly Linux, which runs well on all three clouds but gains no advantage from Azure's Windows-centric licensing model. Azure Hybrid Benefit applies to only 234 of 3,038 in-scope servers (7.7%).</w:t>
      </w:r>
    </w:p>
    <w:p w14:paraId="62FDD43A" w14:textId="458A9698" w:rsidR="007C024F" w:rsidRPr="00A61669" w:rsidRDefault="007C024F" w:rsidP="00C95E6A">
      <w:pPr>
        <w:pStyle w:val="ListBullet"/>
        <w:jc w:val="both"/>
        <w:rPr>
          <w:rFonts w:asciiTheme="majorHAnsi" w:hAnsiTheme="majorHAnsi" w:cstheme="majorHAnsi"/>
        </w:rPr>
      </w:pPr>
      <w:r w:rsidRPr="00A61669">
        <w:rPr>
          <w:rFonts w:asciiTheme="majorHAnsi" w:hAnsiTheme="majorHAnsi" w:cstheme="majorHAnsi"/>
        </w:rPr>
        <w:t>Video streaming already runs on AWS Elemental in live production. Moving it creates cost and risk without benefit.</w:t>
      </w:r>
    </w:p>
    <w:p w14:paraId="743679CC" w14:textId="704EEB65" w:rsidR="007C024F" w:rsidRPr="00A61669" w:rsidRDefault="007C024F" w:rsidP="007C024F">
      <w:pPr>
        <w:pStyle w:val="ListBullet"/>
        <w:jc w:val="both"/>
        <w:rPr>
          <w:rFonts w:asciiTheme="majorHAnsi" w:hAnsiTheme="majorHAnsi" w:cstheme="majorHAnsi"/>
        </w:rPr>
      </w:pPr>
      <w:r w:rsidRPr="00A61669">
        <w:rPr>
          <w:rFonts w:asciiTheme="majorHAnsi" w:hAnsiTheme="majorHAnsi" w:cstheme="majorHAnsi"/>
        </w:rPr>
        <w:t xml:space="preserve">AWS has the largest partner and skills market across all segments, including media. This matters because </w:t>
      </w:r>
      <w:r w:rsidR="008E3C4F" w:rsidRPr="00A61669">
        <w:rPr>
          <w:rFonts w:asciiTheme="majorHAnsi" w:hAnsiTheme="majorHAnsi" w:cstheme="majorHAnsi"/>
        </w:rPr>
        <w:t>DMG Media’</w:t>
      </w:r>
      <w:r w:rsidRPr="00A61669">
        <w:rPr>
          <w:rFonts w:asciiTheme="majorHAnsi" w:hAnsiTheme="majorHAnsi" w:cstheme="majorHAnsi"/>
        </w:rPr>
        <w:t>s indicated operating model is partner-assisted with upskilling, not a fully self-managed build. AWS direct-connect is already configured to the on-premises estate. Several teams already have working knowledge of AWS services.</w:t>
      </w:r>
    </w:p>
    <w:p w14:paraId="2EF4F6E9" w14:textId="67A32973" w:rsidR="007C024F" w:rsidRPr="00A61669" w:rsidRDefault="007C024F" w:rsidP="007C024F">
      <w:pPr>
        <w:pStyle w:val="ListBullet"/>
        <w:jc w:val="both"/>
        <w:rPr>
          <w:rFonts w:asciiTheme="majorHAnsi" w:hAnsiTheme="majorHAnsi" w:cstheme="majorHAnsi"/>
        </w:rPr>
      </w:pPr>
      <w:r w:rsidRPr="00A61669">
        <w:rPr>
          <w:rFonts w:asciiTheme="majorHAnsi" w:hAnsiTheme="majorHAnsi" w:cstheme="majorHAnsi"/>
        </w:rPr>
        <w:t xml:space="preserve">The Windows Server 2022 BYOL trade-off is manageable. Microsoft's Listed Provider rules block Server 2022 BYOL on AWS and GCP. Azure AHB accepts Server 2022, but Azure Migrate's own recommended SKUs for </w:t>
      </w:r>
      <w:r w:rsidR="00972856" w:rsidRPr="00A61669">
        <w:rPr>
          <w:rFonts w:asciiTheme="majorHAnsi" w:hAnsiTheme="majorHAnsi" w:cstheme="majorHAnsi"/>
        </w:rPr>
        <w:t>DMG Media’</w:t>
      </w:r>
      <w:r w:rsidRPr="00A61669">
        <w:rPr>
          <w:rFonts w:asciiTheme="majorHAnsi" w:hAnsiTheme="majorHAnsi" w:cstheme="majorHAnsi"/>
        </w:rPr>
        <w:t xml:space="preserve">s Windows estate are almost all 2 vCPU. Only 9 of 234 Windows servers have Azure-recommended SKUs at 8 vCPU or above. Under AHB's eight-core minimum rule, the other 225 servers would consume eight </w:t>
      </w:r>
      <w:r w:rsidR="00E44D04" w:rsidRPr="00A61669">
        <w:rPr>
          <w:rFonts w:asciiTheme="majorHAnsi" w:hAnsiTheme="majorHAnsi" w:cstheme="majorHAnsi"/>
        </w:rPr>
        <w:t>license</w:t>
      </w:r>
      <w:r w:rsidRPr="00A61669">
        <w:rPr>
          <w:rFonts w:asciiTheme="majorHAnsi" w:hAnsiTheme="majorHAnsi" w:cstheme="majorHAnsi"/>
        </w:rPr>
        <w:t xml:space="preserve"> cores each to cover a one or two vCPU workload, wasting </w:t>
      </w:r>
      <w:r w:rsidR="00E44D04" w:rsidRPr="00A61669">
        <w:rPr>
          <w:rFonts w:asciiTheme="majorHAnsi" w:hAnsiTheme="majorHAnsi" w:cstheme="majorHAnsi"/>
        </w:rPr>
        <w:t>license</w:t>
      </w:r>
      <w:r w:rsidRPr="00A61669">
        <w:rPr>
          <w:rFonts w:asciiTheme="majorHAnsi" w:hAnsiTheme="majorHAnsi" w:cstheme="majorHAnsi"/>
        </w:rPr>
        <w:t xml:space="preserve"> capacity. Azure's AHB advantage at </w:t>
      </w:r>
      <w:r w:rsidR="005D31C0" w:rsidRPr="00A61669">
        <w:rPr>
          <w:rFonts w:asciiTheme="majorHAnsi" w:hAnsiTheme="majorHAnsi" w:cstheme="majorHAnsi"/>
        </w:rPr>
        <w:t>DMG Media’</w:t>
      </w:r>
      <w:r w:rsidRPr="00A61669">
        <w:rPr>
          <w:rFonts w:asciiTheme="majorHAnsi" w:hAnsiTheme="majorHAnsi" w:cstheme="majorHAnsi"/>
        </w:rPr>
        <w:t>s actual sizing is close to nil in practice.</w:t>
      </w:r>
    </w:p>
    <w:p w14:paraId="4AF45E0A" w14:textId="77777777" w:rsidR="007C024F" w:rsidRPr="00A61669" w:rsidRDefault="007C024F" w:rsidP="007C024F">
      <w:pPr>
        <w:pStyle w:val="ListBullet"/>
        <w:jc w:val="both"/>
        <w:rPr>
          <w:rFonts w:asciiTheme="majorHAnsi" w:hAnsiTheme="majorHAnsi" w:cstheme="majorHAnsi"/>
        </w:rPr>
      </w:pPr>
      <w:r w:rsidRPr="00A61669">
        <w:rPr>
          <w:rFonts w:asciiTheme="majorHAnsi" w:hAnsiTheme="majorHAnsi" w:cstheme="majorHAnsi"/>
        </w:rPr>
        <w:lastRenderedPageBreak/>
        <w:t>The trade-offs are managed. Analytics stays on GCP (validated exception). Azure's security advantage is addressable through cloud-native security tooling on AWS without paying Azure's cost premium. First on scoring, second on cost, first on constraints: AWS is the strongest overall position.</w:t>
      </w:r>
    </w:p>
    <w:p w14:paraId="000005DF" w14:textId="294804FE" w:rsidR="000B0F63" w:rsidRPr="00A61669" w:rsidRDefault="1BAB210A" w:rsidP="007C024F">
      <w:pPr>
        <w:pStyle w:val="Heading2"/>
        <w:rPr>
          <w:rFonts w:asciiTheme="majorHAnsi" w:hAnsiTheme="majorHAnsi" w:cstheme="majorHAnsi"/>
        </w:rPr>
      </w:pPr>
      <w:r w:rsidRPr="00A61669">
        <w:rPr>
          <w:rFonts w:asciiTheme="majorHAnsi" w:hAnsiTheme="majorHAnsi" w:cstheme="majorHAnsi"/>
        </w:rPr>
        <w:t>Exceptions and Retained Placements</w:t>
      </w:r>
      <w:bookmarkEnd w:id="144"/>
      <w:bookmarkEnd w:id="145"/>
    </w:p>
    <w:p w14:paraId="000005E1" w14:textId="000005E2" w:rsidR="000B0F63" w:rsidRPr="00A61669" w:rsidRDefault="00C05D22" w:rsidP="00E40261">
      <w:pPr>
        <w:jc w:val="both"/>
        <w:rPr>
          <w:rFonts w:asciiTheme="majorHAnsi" w:hAnsiTheme="majorHAnsi" w:cstheme="majorHAnsi"/>
        </w:rPr>
      </w:pPr>
      <w:r w:rsidRPr="00A61669">
        <w:rPr>
          <w:rFonts w:asciiTheme="majorHAnsi" w:hAnsiTheme="majorHAnsi" w:cstheme="majorHAnsi"/>
        </w:rPr>
        <w:t>A single-platform recommendation does not mean a single-platform estate. Two specific exceptions are validated by evidence:</w:t>
      </w:r>
    </w:p>
    <w:p w14:paraId="000005E3" w14:textId="6E40CFEF" w:rsidR="000B0F63" w:rsidRPr="00A61669" w:rsidRDefault="00C05D22" w:rsidP="00F57DAB">
      <w:pPr>
        <w:pStyle w:val="ListBullet"/>
        <w:numPr>
          <w:ilvl w:val="0"/>
          <w:numId w:val="22"/>
        </w:numPr>
        <w:jc w:val="both"/>
        <w:rPr>
          <w:rFonts w:asciiTheme="majorHAnsi" w:hAnsiTheme="majorHAnsi" w:cstheme="majorHAnsi"/>
        </w:rPr>
      </w:pPr>
      <w:r w:rsidRPr="00A61669">
        <w:rPr>
          <w:rFonts w:asciiTheme="majorHAnsi" w:hAnsiTheme="majorHAnsi" w:cstheme="majorHAnsi"/>
          <w:b/>
        </w:rPr>
        <w:t>Commercial data analytics stays on GCP.</w:t>
      </w:r>
      <w:r w:rsidRPr="00A61669">
        <w:rPr>
          <w:rFonts w:asciiTheme="majorHAnsi" w:hAnsiTheme="majorHAnsi" w:cstheme="majorHAnsi"/>
        </w:rPr>
        <w:t xml:space="preserve"> </w:t>
      </w:r>
      <w:r w:rsidR="007415CD" w:rsidRPr="00A61669">
        <w:rPr>
          <w:rFonts w:asciiTheme="majorHAnsi" w:hAnsiTheme="majorHAnsi" w:cstheme="majorHAnsi"/>
        </w:rPr>
        <w:t>DMG Media</w:t>
      </w:r>
      <w:r w:rsidRPr="00A61669">
        <w:rPr>
          <w:rFonts w:asciiTheme="majorHAnsi" w:hAnsiTheme="majorHAnsi" w:cstheme="majorHAnsi"/>
        </w:rPr>
        <w:t xml:space="preserve"> already run this on GCP. BigQuery's serverless analytics, tight integration with </w:t>
      </w:r>
      <w:r w:rsidR="007415CD" w:rsidRPr="00A61669">
        <w:rPr>
          <w:rFonts w:asciiTheme="majorHAnsi" w:hAnsiTheme="majorHAnsi" w:cstheme="majorHAnsi"/>
        </w:rPr>
        <w:t>DMG Media’s</w:t>
      </w:r>
      <w:r w:rsidRPr="00A61669">
        <w:rPr>
          <w:rFonts w:asciiTheme="majorHAnsi" w:hAnsiTheme="majorHAnsi" w:cstheme="majorHAnsi"/>
        </w:rPr>
        <w:t xml:space="preserve"> existing data pipelines, and the operational knowledge </w:t>
      </w:r>
      <w:r w:rsidR="007415CD" w:rsidRPr="00A61669">
        <w:rPr>
          <w:rFonts w:asciiTheme="majorHAnsi" w:hAnsiTheme="majorHAnsi" w:cstheme="majorHAnsi"/>
        </w:rPr>
        <w:t>DMG Media’s</w:t>
      </w:r>
      <w:r w:rsidRPr="00A61669">
        <w:rPr>
          <w:rFonts w:asciiTheme="majorHAnsi" w:hAnsiTheme="majorHAnsi" w:cstheme="majorHAnsi"/>
        </w:rPr>
        <w:t xml:space="preserve"> team has built are genuine assets. Moving this to AWS creates cost and disruption for no benefit. Retain.</w:t>
      </w:r>
    </w:p>
    <w:p w14:paraId="000005E5" w14:textId="3EB49073" w:rsidR="000B0F63" w:rsidRPr="00A61669" w:rsidRDefault="00C05D22" w:rsidP="00F57DAB">
      <w:pPr>
        <w:pStyle w:val="ListBullet"/>
        <w:numPr>
          <w:ilvl w:val="0"/>
          <w:numId w:val="22"/>
        </w:numPr>
        <w:jc w:val="both"/>
        <w:rPr>
          <w:rFonts w:asciiTheme="majorHAnsi" w:hAnsiTheme="majorHAnsi" w:cstheme="majorHAnsi"/>
        </w:rPr>
      </w:pPr>
      <w:r w:rsidRPr="00A61669">
        <w:rPr>
          <w:rFonts w:asciiTheme="majorHAnsi" w:hAnsiTheme="majorHAnsi" w:cstheme="majorHAnsi"/>
          <w:b/>
        </w:rPr>
        <w:t>Video streaming stays on AWS.</w:t>
      </w:r>
      <w:r w:rsidRPr="00A61669">
        <w:rPr>
          <w:rFonts w:asciiTheme="majorHAnsi" w:hAnsiTheme="majorHAnsi" w:cstheme="majorHAnsi"/>
        </w:rPr>
        <w:t xml:space="preserve"> </w:t>
      </w:r>
      <w:r w:rsidR="0088745F" w:rsidRPr="00A61669">
        <w:rPr>
          <w:rFonts w:asciiTheme="majorHAnsi" w:hAnsiTheme="majorHAnsi" w:cstheme="majorHAnsi"/>
        </w:rPr>
        <w:t>Mail Online</w:t>
      </w:r>
      <w:r w:rsidRPr="00A61669">
        <w:rPr>
          <w:rFonts w:asciiTheme="majorHAnsi" w:hAnsiTheme="majorHAnsi" w:cstheme="majorHAnsi"/>
        </w:rPr>
        <w:t>'s video workflows use AWS Elemental today. This is a working service, not a future decision. Retain.</w:t>
      </w:r>
    </w:p>
    <w:p w14:paraId="05449719" w14:textId="78DBB24B" w:rsidR="0093223A" w:rsidRPr="00A61669" w:rsidRDefault="0093223A" w:rsidP="00F57DAB">
      <w:pPr>
        <w:pStyle w:val="ListBullet"/>
        <w:numPr>
          <w:ilvl w:val="0"/>
          <w:numId w:val="22"/>
        </w:numPr>
        <w:jc w:val="both"/>
        <w:rPr>
          <w:rFonts w:asciiTheme="majorHAnsi" w:hAnsiTheme="majorHAnsi" w:cstheme="majorHAnsi"/>
        </w:rPr>
      </w:pPr>
      <w:r w:rsidRPr="00A61669">
        <w:rPr>
          <w:rFonts w:asciiTheme="majorHAnsi" w:hAnsiTheme="majorHAnsi" w:cstheme="majorHAnsi"/>
          <w:b/>
        </w:rPr>
        <w:t>Azure workloads remain.</w:t>
      </w:r>
      <w:r w:rsidRPr="00A61669">
        <w:rPr>
          <w:rFonts w:asciiTheme="majorHAnsi" w:hAnsiTheme="majorHAnsi" w:cstheme="majorHAnsi"/>
        </w:rPr>
        <w:t xml:space="preserve"> </w:t>
      </w:r>
      <w:r w:rsidR="005333D6" w:rsidRPr="00A61669">
        <w:rPr>
          <w:rFonts w:asciiTheme="majorHAnsi" w:hAnsiTheme="majorHAnsi" w:cstheme="majorHAnsi"/>
        </w:rPr>
        <w:t>None identified at this stage</w:t>
      </w:r>
      <w:r w:rsidRPr="00A61669">
        <w:rPr>
          <w:rFonts w:asciiTheme="majorHAnsi" w:hAnsiTheme="majorHAnsi" w:cstheme="majorHAnsi"/>
        </w:rPr>
        <w:t>.</w:t>
      </w:r>
    </w:p>
    <w:p w14:paraId="000005E7" w14:textId="66010838"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This is 'primary platform with validated exceptions', not </w:t>
      </w:r>
      <w:r w:rsidR="00414EED">
        <w:rPr>
          <w:rFonts w:asciiTheme="majorHAnsi" w:hAnsiTheme="majorHAnsi" w:cstheme="majorHAnsi"/>
        </w:rPr>
        <w:t xml:space="preserve">full </w:t>
      </w:r>
      <w:r w:rsidRPr="00A61669">
        <w:rPr>
          <w:rFonts w:asciiTheme="majorHAnsi" w:hAnsiTheme="majorHAnsi" w:cstheme="majorHAnsi"/>
        </w:rPr>
        <w:t xml:space="preserve">multi-cloud strategy. The test for an exception is: does a specific workload have a material technical or operational advantage on another cloud, and is that advantage persistent? </w:t>
      </w:r>
    </w:p>
    <w:p w14:paraId="000005E9" w14:textId="000005EA" w:rsidR="000B0F63" w:rsidRPr="00A61669" w:rsidRDefault="1BAB210A" w:rsidP="00E40261">
      <w:pPr>
        <w:pStyle w:val="Heading2"/>
        <w:jc w:val="both"/>
        <w:rPr>
          <w:rFonts w:asciiTheme="majorHAnsi" w:hAnsiTheme="majorHAnsi" w:cstheme="majorHAnsi"/>
        </w:rPr>
      </w:pPr>
      <w:bookmarkStart w:id="146" w:name="_Toc178"/>
      <w:bookmarkStart w:id="147" w:name="_Toc227770961"/>
      <w:r w:rsidRPr="00A61669">
        <w:rPr>
          <w:rFonts w:asciiTheme="majorHAnsi" w:hAnsiTheme="majorHAnsi" w:cstheme="majorHAnsi"/>
        </w:rPr>
        <w:t>What The Recommendation Means In Practice</w:t>
      </w:r>
      <w:bookmarkEnd w:id="146"/>
      <w:bookmarkEnd w:id="147"/>
    </w:p>
    <w:p w14:paraId="000005EB" w14:textId="000005EC" w:rsidR="000B0F63" w:rsidRPr="00A61669" w:rsidRDefault="00C05D22" w:rsidP="00F57DAB">
      <w:pPr>
        <w:pStyle w:val="ListBullet"/>
        <w:numPr>
          <w:ilvl w:val="0"/>
          <w:numId w:val="23"/>
        </w:numPr>
        <w:jc w:val="both"/>
        <w:rPr>
          <w:rFonts w:asciiTheme="majorHAnsi" w:hAnsiTheme="majorHAnsi" w:cstheme="majorHAnsi"/>
        </w:rPr>
      </w:pPr>
      <w:r w:rsidRPr="00A61669">
        <w:rPr>
          <w:rFonts w:asciiTheme="majorHAnsi" w:hAnsiTheme="majorHAnsi" w:cstheme="majorHAnsi"/>
        </w:rPr>
        <w:t>Primary cloud for new workloads: AWS</w:t>
      </w:r>
    </w:p>
    <w:p w14:paraId="000005ED" w14:textId="000005EE" w:rsidR="000B0F63" w:rsidRPr="00A61669" w:rsidRDefault="00C05D22" w:rsidP="00F57DAB">
      <w:pPr>
        <w:pStyle w:val="ListBullet"/>
        <w:numPr>
          <w:ilvl w:val="0"/>
          <w:numId w:val="23"/>
        </w:numPr>
        <w:jc w:val="both"/>
        <w:rPr>
          <w:rFonts w:asciiTheme="majorHAnsi" w:hAnsiTheme="majorHAnsi" w:cstheme="majorHAnsi"/>
        </w:rPr>
      </w:pPr>
      <w:r w:rsidRPr="00A61669">
        <w:rPr>
          <w:rFonts w:asciiTheme="majorHAnsi" w:hAnsiTheme="majorHAnsi" w:cstheme="majorHAnsi"/>
        </w:rPr>
        <w:t>Target for migration of the 3,038 in-scope servers: AWS (except retained items)</w:t>
      </w:r>
    </w:p>
    <w:p w14:paraId="000005EF" w14:textId="000005F0" w:rsidR="000B0F63" w:rsidRPr="00A61669" w:rsidRDefault="00C05D22" w:rsidP="00F57DAB">
      <w:pPr>
        <w:pStyle w:val="ListBullet"/>
        <w:numPr>
          <w:ilvl w:val="0"/>
          <w:numId w:val="23"/>
        </w:numPr>
        <w:jc w:val="both"/>
        <w:rPr>
          <w:rFonts w:asciiTheme="majorHAnsi" w:hAnsiTheme="majorHAnsi" w:cstheme="majorHAnsi"/>
        </w:rPr>
      </w:pPr>
      <w:r w:rsidRPr="00A61669">
        <w:rPr>
          <w:rFonts w:asciiTheme="majorHAnsi" w:hAnsiTheme="majorHAnsi" w:cstheme="majorHAnsi"/>
        </w:rPr>
        <w:t>Commercial data analytics: continues on GCP</w:t>
      </w:r>
    </w:p>
    <w:p w14:paraId="000005F1" w14:textId="000005F2" w:rsidR="000B0F63" w:rsidRPr="00A61669" w:rsidRDefault="00C05D22" w:rsidP="00F57DAB">
      <w:pPr>
        <w:pStyle w:val="ListBullet"/>
        <w:numPr>
          <w:ilvl w:val="0"/>
          <w:numId w:val="23"/>
        </w:numPr>
        <w:jc w:val="both"/>
        <w:rPr>
          <w:rFonts w:asciiTheme="majorHAnsi" w:hAnsiTheme="majorHAnsi" w:cstheme="majorHAnsi"/>
        </w:rPr>
      </w:pPr>
      <w:r w:rsidRPr="00A61669">
        <w:rPr>
          <w:rFonts w:asciiTheme="majorHAnsi" w:hAnsiTheme="majorHAnsi" w:cstheme="majorHAnsi"/>
        </w:rPr>
        <w:t>Video streaming: continues on AWS (already there)</w:t>
      </w:r>
    </w:p>
    <w:p w14:paraId="000005F3" w14:textId="000005F4" w:rsidR="000B0F63" w:rsidRPr="00A61669" w:rsidRDefault="00C05D22" w:rsidP="00F57DAB">
      <w:pPr>
        <w:pStyle w:val="ListBullet"/>
        <w:numPr>
          <w:ilvl w:val="0"/>
          <w:numId w:val="23"/>
        </w:numPr>
        <w:jc w:val="both"/>
        <w:rPr>
          <w:rFonts w:asciiTheme="majorHAnsi" w:hAnsiTheme="majorHAnsi" w:cstheme="majorHAnsi"/>
        </w:rPr>
      </w:pPr>
      <w:r w:rsidRPr="00A61669">
        <w:rPr>
          <w:rFonts w:asciiTheme="majorHAnsi" w:hAnsiTheme="majorHAnsi" w:cstheme="majorHAnsi"/>
        </w:rPr>
        <w:t>No wholesale multi-cloud operation. The Cloud Platform Team builds one landing zone (AWS), operates one primary cloud, and manages the GCP analytics environment as a secondary estate.</w:t>
      </w:r>
    </w:p>
    <w:p w14:paraId="000005F5" w14:textId="62E3F6FF" w:rsidR="000B0F63" w:rsidRPr="00A61669" w:rsidRDefault="0088745F" w:rsidP="00E40261">
      <w:pPr>
        <w:pStyle w:val="Heading2"/>
        <w:jc w:val="both"/>
        <w:rPr>
          <w:rFonts w:asciiTheme="majorHAnsi" w:hAnsiTheme="majorHAnsi" w:cstheme="majorHAnsi"/>
        </w:rPr>
      </w:pPr>
      <w:bookmarkStart w:id="148" w:name="_Toc179"/>
      <w:bookmarkStart w:id="149" w:name="_Toc227770962"/>
      <w:r w:rsidRPr="00A61669">
        <w:rPr>
          <w:rFonts w:asciiTheme="majorHAnsi" w:hAnsiTheme="majorHAnsi" w:cstheme="majorHAnsi"/>
        </w:rPr>
        <w:t>Mail Online</w:t>
      </w:r>
      <w:r w:rsidR="1BAB210A" w:rsidRPr="00A61669">
        <w:rPr>
          <w:rFonts w:asciiTheme="majorHAnsi" w:hAnsiTheme="majorHAnsi" w:cstheme="majorHAnsi"/>
        </w:rPr>
        <w:t xml:space="preserve"> Needs Joint CPO and CTO Sponsorship</w:t>
      </w:r>
      <w:bookmarkEnd w:id="148"/>
      <w:bookmarkEnd w:id="149"/>
    </w:p>
    <w:p w14:paraId="000005F7" w14:textId="398F32A3" w:rsidR="000B0F63" w:rsidRPr="00A61669" w:rsidRDefault="0088745F" w:rsidP="00E40261">
      <w:pPr>
        <w:jc w:val="both"/>
        <w:rPr>
          <w:rFonts w:asciiTheme="majorHAnsi" w:hAnsiTheme="majorHAnsi" w:cstheme="majorHAnsi"/>
        </w:rPr>
      </w:pPr>
      <w:r w:rsidRPr="00A61669">
        <w:rPr>
          <w:rFonts w:asciiTheme="majorHAnsi" w:hAnsiTheme="majorHAnsi" w:cstheme="majorHAnsi"/>
        </w:rPr>
        <w:t>Mail Online</w:t>
      </w:r>
      <w:r w:rsidR="00C05D22" w:rsidRPr="00A61669">
        <w:rPr>
          <w:rFonts w:asciiTheme="majorHAnsi" w:hAnsiTheme="majorHAnsi" w:cstheme="majorHAnsi"/>
        </w:rPr>
        <w:t xml:space="preserve"> is the largest application in scope and the commercial centrepiece. Because its product decisions sit with the CPO and its infrastructure sits with the CTO, the </w:t>
      </w:r>
      <w:r w:rsidR="00490323" w:rsidRPr="00A61669">
        <w:rPr>
          <w:rFonts w:asciiTheme="majorHAnsi" w:hAnsiTheme="majorHAnsi" w:cstheme="majorHAnsi"/>
        </w:rPr>
        <w:t>Mail Online</w:t>
      </w:r>
      <w:r w:rsidR="00C05D22" w:rsidRPr="00A61669">
        <w:rPr>
          <w:rFonts w:asciiTheme="majorHAnsi" w:hAnsiTheme="majorHAnsi" w:cstheme="majorHAnsi"/>
        </w:rPr>
        <w:t xml:space="preserve"> migration path touches both executive domains. Specific decisions that benefit from dual endorsement: the Oracle modernisation path, sub-component sequencing, and any re-architecture choices.</w:t>
      </w:r>
    </w:p>
    <w:p w14:paraId="000005F9" w14:textId="000005FA" w:rsidR="000B0F63" w:rsidRPr="00A61669" w:rsidRDefault="00C05D22" w:rsidP="00E40261">
      <w:pPr>
        <w:jc w:val="both"/>
        <w:rPr>
          <w:rFonts w:asciiTheme="majorHAnsi" w:hAnsiTheme="majorHAnsi" w:cstheme="majorHAnsi"/>
        </w:rPr>
      </w:pPr>
      <w:r w:rsidRPr="00A61669">
        <w:rPr>
          <w:rFonts w:asciiTheme="majorHAnsi" w:hAnsiTheme="majorHAnsi" w:cstheme="majorHAnsi"/>
        </w:rPr>
        <w:t>Structuring programme governance with both sponsors visible from the start reduces the risk of mid-programme misalignment.</w:t>
      </w:r>
    </w:p>
    <w:p w14:paraId="000005FB" w14:textId="78D6DA00" w:rsidR="000B0F63" w:rsidRPr="00A61669" w:rsidRDefault="1BAB210A" w:rsidP="00E40261">
      <w:pPr>
        <w:pStyle w:val="Heading2"/>
        <w:jc w:val="both"/>
        <w:rPr>
          <w:rFonts w:asciiTheme="majorHAnsi" w:hAnsiTheme="majorHAnsi" w:cstheme="majorHAnsi"/>
        </w:rPr>
      </w:pPr>
      <w:bookmarkStart w:id="150" w:name="_Toc180"/>
      <w:bookmarkStart w:id="151" w:name="_Toc227770963"/>
      <w:r w:rsidRPr="00A61669">
        <w:rPr>
          <w:rFonts w:asciiTheme="majorHAnsi" w:hAnsiTheme="majorHAnsi" w:cstheme="majorHAnsi"/>
        </w:rPr>
        <w:t xml:space="preserve">A Note </w:t>
      </w:r>
      <w:r w:rsidR="00683596" w:rsidRPr="00A61669">
        <w:rPr>
          <w:rFonts w:asciiTheme="majorHAnsi" w:hAnsiTheme="majorHAnsi" w:cstheme="majorHAnsi"/>
        </w:rPr>
        <w:t>on</w:t>
      </w:r>
      <w:r w:rsidRPr="00A61669">
        <w:rPr>
          <w:rFonts w:asciiTheme="majorHAnsi" w:hAnsiTheme="majorHAnsi" w:cstheme="majorHAnsi"/>
        </w:rPr>
        <w:t xml:space="preserve"> Confidence Level</w:t>
      </w:r>
      <w:bookmarkEnd w:id="150"/>
      <w:bookmarkEnd w:id="151"/>
    </w:p>
    <w:p w14:paraId="2833D7BE" w14:textId="77777777" w:rsidR="00163C36" w:rsidRPr="00A61669" w:rsidRDefault="00C05D22" w:rsidP="00E40261">
      <w:pPr>
        <w:jc w:val="both"/>
        <w:rPr>
          <w:rFonts w:asciiTheme="majorHAnsi" w:hAnsiTheme="majorHAnsi" w:cstheme="majorHAnsi"/>
        </w:rPr>
      </w:pPr>
      <w:r w:rsidRPr="00A61669">
        <w:rPr>
          <w:rFonts w:asciiTheme="majorHAnsi" w:hAnsiTheme="majorHAnsi" w:cstheme="majorHAnsi"/>
        </w:rPr>
        <w:t xml:space="preserve">The scoring spread is very narrow. </w:t>
      </w:r>
    </w:p>
    <w:p w14:paraId="7173935D" w14:textId="77777777" w:rsidR="00163C36" w:rsidRPr="00A61669" w:rsidRDefault="00C05D22" w:rsidP="00163C36">
      <w:pPr>
        <w:spacing w:after="0"/>
        <w:jc w:val="both"/>
        <w:rPr>
          <w:rFonts w:asciiTheme="majorHAnsi" w:hAnsiTheme="majorHAnsi" w:cstheme="majorHAnsi"/>
        </w:rPr>
      </w:pPr>
      <w:r w:rsidRPr="00A61669">
        <w:rPr>
          <w:rFonts w:asciiTheme="majorHAnsi" w:hAnsiTheme="majorHAnsi" w:cstheme="majorHAnsi"/>
        </w:rPr>
        <w:t xml:space="preserve">Expressed as fit against DMG Media's weightings: </w:t>
      </w:r>
    </w:p>
    <w:p w14:paraId="03FD6A85" w14:textId="30073B52" w:rsidR="00163C36" w:rsidRPr="00A61669" w:rsidRDefault="00FA1858" w:rsidP="00F57DAB">
      <w:pPr>
        <w:pStyle w:val="ListParagraph"/>
        <w:numPr>
          <w:ilvl w:val="0"/>
          <w:numId w:val="35"/>
        </w:numPr>
        <w:spacing w:after="0"/>
        <w:jc w:val="both"/>
        <w:rPr>
          <w:rFonts w:asciiTheme="majorHAnsi" w:hAnsiTheme="majorHAnsi" w:cstheme="majorHAnsi"/>
        </w:rPr>
      </w:pPr>
      <w:r w:rsidRPr="00A61669">
        <w:rPr>
          <w:rFonts w:asciiTheme="majorHAnsi" w:hAnsiTheme="majorHAnsi" w:cstheme="majorHAnsi"/>
        </w:rPr>
        <w:t>AWS</w:t>
      </w:r>
      <w:r w:rsidR="00C05D22" w:rsidRPr="00A61669">
        <w:rPr>
          <w:rFonts w:asciiTheme="majorHAnsi" w:hAnsiTheme="majorHAnsi" w:cstheme="majorHAnsi"/>
        </w:rPr>
        <w:t xml:space="preserve"> 8</w:t>
      </w:r>
      <w:r w:rsidR="00744293" w:rsidRPr="00A61669">
        <w:rPr>
          <w:rFonts w:asciiTheme="majorHAnsi" w:hAnsiTheme="majorHAnsi" w:cstheme="majorHAnsi"/>
        </w:rPr>
        <w:t>8</w:t>
      </w:r>
      <w:r w:rsidR="00C05D22" w:rsidRPr="00A61669">
        <w:rPr>
          <w:rFonts w:asciiTheme="majorHAnsi" w:hAnsiTheme="majorHAnsi" w:cstheme="majorHAnsi"/>
        </w:rPr>
        <w:t>%</w:t>
      </w:r>
    </w:p>
    <w:p w14:paraId="503557A2" w14:textId="6BE37C0D" w:rsidR="00163C36" w:rsidRPr="00A61669" w:rsidRDefault="00C05D22" w:rsidP="00F57DAB">
      <w:pPr>
        <w:pStyle w:val="ListParagraph"/>
        <w:numPr>
          <w:ilvl w:val="0"/>
          <w:numId w:val="35"/>
        </w:numPr>
        <w:jc w:val="both"/>
        <w:rPr>
          <w:rFonts w:asciiTheme="majorHAnsi" w:hAnsiTheme="majorHAnsi" w:cstheme="majorHAnsi"/>
        </w:rPr>
      </w:pPr>
      <w:r w:rsidRPr="00A61669">
        <w:rPr>
          <w:rFonts w:asciiTheme="majorHAnsi" w:hAnsiTheme="majorHAnsi" w:cstheme="majorHAnsi"/>
        </w:rPr>
        <w:t>A</w:t>
      </w:r>
      <w:r w:rsidR="00FA1858" w:rsidRPr="00A61669">
        <w:rPr>
          <w:rFonts w:asciiTheme="majorHAnsi" w:hAnsiTheme="majorHAnsi" w:cstheme="majorHAnsi"/>
        </w:rPr>
        <w:t>zure</w:t>
      </w:r>
      <w:r w:rsidRPr="00A61669">
        <w:rPr>
          <w:rFonts w:asciiTheme="majorHAnsi" w:hAnsiTheme="majorHAnsi" w:cstheme="majorHAnsi"/>
        </w:rPr>
        <w:t xml:space="preserve"> 85%</w:t>
      </w:r>
    </w:p>
    <w:p w14:paraId="086A51B2" w14:textId="46DB04E0" w:rsidR="00163C36" w:rsidRPr="00A61669" w:rsidRDefault="00C05D22" w:rsidP="00F57DAB">
      <w:pPr>
        <w:pStyle w:val="ListParagraph"/>
        <w:numPr>
          <w:ilvl w:val="0"/>
          <w:numId w:val="35"/>
        </w:numPr>
        <w:jc w:val="both"/>
        <w:rPr>
          <w:rFonts w:asciiTheme="majorHAnsi" w:hAnsiTheme="majorHAnsi" w:cstheme="majorHAnsi"/>
        </w:rPr>
      </w:pPr>
      <w:r w:rsidRPr="00A61669">
        <w:rPr>
          <w:rFonts w:asciiTheme="majorHAnsi" w:hAnsiTheme="majorHAnsi" w:cstheme="majorHAnsi"/>
        </w:rPr>
        <w:t>GCP 8</w:t>
      </w:r>
      <w:r w:rsidR="00217851" w:rsidRPr="00A61669">
        <w:rPr>
          <w:rFonts w:asciiTheme="majorHAnsi" w:hAnsiTheme="majorHAnsi" w:cstheme="majorHAnsi"/>
        </w:rPr>
        <w:t>5</w:t>
      </w:r>
      <w:r w:rsidRPr="00A61669">
        <w:rPr>
          <w:rFonts w:asciiTheme="majorHAnsi" w:hAnsiTheme="majorHAnsi" w:cstheme="majorHAnsi"/>
        </w:rPr>
        <w:t>%</w:t>
      </w:r>
    </w:p>
    <w:p w14:paraId="2999C6BD" w14:textId="4C948444" w:rsidR="00163C36" w:rsidRPr="00A61669" w:rsidRDefault="00C05D22" w:rsidP="00E40261">
      <w:pPr>
        <w:jc w:val="both"/>
        <w:rPr>
          <w:rFonts w:asciiTheme="majorHAnsi" w:hAnsiTheme="majorHAnsi" w:cstheme="majorHAnsi"/>
        </w:rPr>
      </w:pPr>
      <w:r w:rsidRPr="00A61669">
        <w:rPr>
          <w:rFonts w:asciiTheme="majorHAnsi" w:hAnsiTheme="majorHAnsi" w:cstheme="majorHAnsi"/>
        </w:rPr>
        <w:t xml:space="preserve">The total spread from highest to lowest is </w:t>
      </w:r>
      <w:r w:rsidR="00782CD2" w:rsidRPr="00A61669">
        <w:rPr>
          <w:rFonts w:asciiTheme="majorHAnsi" w:hAnsiTheme="majorHAnsi" w:cstheme="majorHAnsi"/>
        </w:rPr>
        <w:t>3</w:t>
      </w:r>
      <w:r w:rsidRPr="00A61669">
        <w:rPr>
          <w:rFonts w:asciiTheme="majorHAnsi" w:hAnsiTheme="majorHAnsi" w:cstheme="majorHAnsi"/>
        </w:rPr>
        <w:t xml:space="preserve"> percentage points. </w:t>
      </w:r>
    </w:p>
    <w:p w14:paraId="7BB369C7" w14:textId="77777777" w:rsidR="00163C36" w:rsidRPr="00A61669" w:rsidRDefault="00C05D22" w:rsidP="00E40261">
      <w:pPr>
        <w:jc w:val="both"/>
        <w:rPr>
          <w:rFonts w:asciiTheme="majorHAnsi" w:hAnsiTheme="majorHAnsi" w:cstheme="majorHAnsi"/>
        </w:rPr>
      </w:pPr>
      <w:r w:rsidRPr="00A61669">
        <w:rPr>
          <w:rFonts w:asciiTheme="majorHAnsi" w:hAnsiTheme="majorHAnsi" w:cstheme="majorHAnsi"/>
        </w:rPr>
        <w:t xml:space="preserve">Cost positions GCP cheapest, AWS close to GCP, Azure materially higher. </w:t>
      </w:r>
    </w:p>
    <w:p w14:paraId="414508FC" w14:textId="77777777" w:rsidR="00163C36" w:rsidRPr="00A61669" w:rsidRDefault="00C05D22" w:rsidP="00E40261">
      <w:pPr>
        <w:jc w:val="both"/>
        <w:rPr>
          <w:rFonts w:asciiTheme="majorHAnsi" w:hAnsiTheme="majorHAnsi" w:cstheme="majorHAnsi"/>
        </w:rPr>
      </w:pPr>
      <w:r w:rsidRPr="00A61669">
        <w:rPr>
          <w:rFonts w:asciiTheme="majorHAnsi" w:hAnsiTheme="majorHAnsi" w:cstheme="majorHAnsi"/>
        </w:rPr>
        <w:t xml:space="preserve">The hard constraints (Atex multicast, video streaming continuity) point to AWS, and the Windows Server 2022 BYOL trade-off on Azure is narrowed in practice by AHB's 8-core minimum against DMG Media's SKU profile. </w:t>
      </w:r>
    </w:p>
    <w:p w14:paraId="6AAA1489" w14:textId="77777777" w:rsidR="00881120" w:rsidRPr="00A61669" w:rsidRDefault="00881120" w:rsidP="00E40261">
      <w:pPr>
        <w:jc w:val="both"/>
        <w:rPr>
          <w:rFonts w:asciiTheme="majorHAnsi" w:hAnsiTheme="majorHAnsi" w:cstheme="majorHAnsi"/>
        </w:rPr>
      </w:pPr>
      <w:r w:rsidRPr="00A61669">
        <w:rPr>
          <w:rFonts w:asciiTheme="majorHAnsi" w:hAnsiTheme="majorHAnsi" w:cstheme="majorHAnsi"/>
        </w:rPr>
        <w:t>Rackspace is confident on AWS primary because the weighted scoring, the cost position, and the hard constraints all point in the same direction.</w:t>
      </w:r>
    </w:p>
    <w:p w14:paraId="000005FD" w14:textId="7B64F223" w:rsidR="000B0F63" w:rsidRPr="00A61669" w:rsidRDefault="00C05D22" w:rsidP="00E40261">
      <w:pPr>
        <w:jc w:val="both"/>
        <w:rPr>
          <w:rFonts w:asciiTheme="majorHAnsi" w:hAnsiTheme="majorHAnsi" w:cstheme="majorHAnsi"/>
        </w:rPr>
      </w:pPr>
      <w:r w:rsidRPr="00A61669">
        <w:rPr>
          <w:rFonts w:asciiTheme="majorHAnsi" w:hAnsiTheme="majorHAnsi" w:cstheme="majorHAnsi"/>
        </w:rPr>
        <w:t>Even if Atex confirms unicast support for Prestige 6X, moving Atex to unicast is itself a workstream with its own configuration, testing, and cutover cost. On AWS, Atex migrates without that rework because multicast is supported natively. The recommendation is therefore resilient rather than fragile.</w:t>
      </w:r>
    </w:p>
    <w:p w14:paraId="000005FF" w14:textId="00000600" w:rsidR="000B0F63" w:rsidRPr="00A61669" w:rsidRDefault="00C05D22" w:rsidP="00E40261">
      <w:pPr>
        <w:jc w:val="both"/>
        <w:rPr>
          <w:rFonts w:asciiTheme="majorHAnsi" w:hAnsiTheme="majorHAnsi" w:cstheme="majorHAnsi"/>
        </w:rPr>
      </w:pPr>
      <w:r w:rsidRPr="00A61669">
        <w:rPr>
          <w:rFonts w:asciiTheme="majorHAnsi" w:hAnsiTheme="majorHAnsi" w:cstheme="majorHAnsi"/>
        </w:rPr>
        <w:br w:type="page"/>
      </w:r>
    </w:p>
    <w:p w14:paraId="00000601" w14:textId="00000602" w:rsidR="000B0F63" w:rsidRPr="00A61669" w:rsidRDefault="1BAB210A" w:rsidP="00E40261">
      <w:pPr>
        <w:pStyle w:val="Heading1"/>
        <w:jc w:val="both"/>
        <w:rPr>
          <w:rFonts w:asciiTheme="majorHAnsi" w:hAnsiTheme="majorHAnsi" w:cstheme="majorHAnsi"/>
        </w:rPr>
      </w:pPr>
      <w:bookmarkStart w:id="152" w:name="_Toc181"/>
      <w:bookmarkStart w:id="153" w:name="_Toc227770964"/>
      <w:bookmarkStart w:id="154" w:name="_Toc228549360"/>
      <w:r w:rsidRPr="00A61669">
        <w:rPr>
          <w:rFonts w:asciiTheme="majorHAnsi" w:hAnsiTheme="majorHAnsi" w:cstheme="majorHAnsi"/>
        </w:rPr>
        <w:t>Section 8: How Ready Is DMG Media</w:t>
      </w:r>
      <w:bookmarkEnd w:id="152"/>
      <w:bookmarkEnd w:id="153"/>
      <w:bookmarkEnd w:id="154"/>
    </w:p>
    <w:p w14:paraId="00000603" w14:textId="00000604" w:rsidR="000B0F63" w:rsidRPr="00A61669" w:rsidRDefault="1BAB210A" w:rsidP="00E40261">
      <w:pPr>
        <w:pStyle w:val="Heading2"/>
        <w:jc w:val="both"/>
        <w:rPr>
          <w:rFonts w:asciiTheme="majorHAnsi" w:hAnsiTheme="majorHAnsi" w:cstheme="majorHAnsi"/>
        </w:rPr>
      </w:pPr>
      <w:bookmarkStart w:id="155" w:name="_Toc182"/>
      <w:bookmarkStart w:id="156" w:name="_Toc227770965"/>
      <w:r w:rsidRPr="00A61669">
        <w:rPr>
          <w:rFonts w:asciiTheme="majorHAnsi" w:hAnsiTheme="majorHAnsi" w:cstheme="majorHAnsi"/>
        </w:rPr>
        <w:t>What This Section Does</w:t>
      </w:r>
      <w:bookmarkEnd w:id="155"/>
      <w:bookmarkEnd w:id="156"/>
    </w:p>
    <w:p w14:paraId="00000605" w14:textId="319C15CE"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Readiness is about </w:t>
      </w:r>
      <w:r w:rsidR="00EC3145" w:rsidRPr="00A61669">
        <w:rPr>
          <w:rFonts w:asciiTheme="majorHAnsi" w:hAnsiTheme="majorHAnsi" w:cstheme="majorHAnsi"/>
        </w:rPr>
        <w:t>where</w:t>
      </w:r>
      <w:r w:rsidRPr="00A61669">
        <w:rPr>
          <w:rFonts w:asciiTheme="majorHAnsi" w:hAnsiTheme="majorHAnsi" w:cstheme="majorHAnsi"/>
        </w:rPr>
        <w:t xml:space="preserve"> DMG Media </w:t>
      </w:r>
      <w:r w:rsidR="00EC3145" w:rsidRPr="00A61669">
        <w:rPr>
          <w:rFonts w:asciiTheme="majorHAnsi" w:hAnsiTheme="majorHAnsi" w:cstheme="majorHAnsi"/>
        </w:rPr>
        <w:t xml:space="preserve">is on the journey to </w:t>
      </w:r>
      <w:r w:rsidRPr="00A61669">
        <w:rPr>
          <w:rFonts w:asciiTheme="majorHAnsi" w:hAnsiTheme="majorHAnsi" w:cstheme="majorHAnsi"/>
        </w:rPr>
        <w:t xml:space="preserve">cloud </w:t>
      </w:r>
      <w:r w:rsidR="00EC3145" w:rsidRPr="00A61669">
        <w:rPr>
          <w:rFonts w:asciiTheme="majorHAnsi" w:hAnsiTheme="majorHAnsi" w:cstheme="majorHAnsi"/>
        </w:rPr>
        <w:t>maturity</w:t>
      </w:r>
      <w:r w:rsidRPr="00A61669">
        <w:rPr>
          <w:rFonts w:asciiTheme="majorHAnsi" w:hAnsiTheme="majorHAnsi" w:cstheme="majorHAnsi"/>
        </w:rPr>
        <w:t xml:space="preserve">, not whether cloud is the right choice. This section assesses </w:t>
      </w:r>
      <w:r w:rsidR="007415CD" w:rsidRPr="00A61669">
        <w:rPr>
          <w:rFonts w:asciiTheme="majorHAnsi" w:hAnsiTheme="majorHAnsi" w:cstheme="majorHAnsi"/>
        </w:rPr>
        <w:t>DMG Media’s</w:t>
      </w:r>
      <w:r w:rsidRPr="00A61669">
        <w:rPr>
          <w:rFonts w:asciiTheme="majorHAnsi" w:hAnsiTheme="majorHAnsi" w:cstheme="majorHAnsi"/>
        </w:rPr>
        <w:t xml:space="preserve"> current state across five dimensions, describes the target, and lists the gaps that </w:t>
      </w:r>
      <w:r w:rsidR="00100959" w:rsidRPr="00A61669">
        <w:rPr>
          <w:rFonts w:asciiTheme="majorHAnsi" w:hAnsiTheme="majorHAnsi" w:cstheme="majorHAnsi"/>
        </w:rPr>
        <w:t>Part 2</w:t>
      </w:r>
      <w:r w:rsidRPr="00A61669">
        <w:rPr>
          <w:rFonts w:asciiTheme="majorHAnsi" w:hAnsiTheme="majorHAnsi" w:cstheme="majorHAnsi"/>
        </w:rPr>
        <w:t xml:space="preserve"> and the early programme need to address.</w:t>
      </w:r>
    </w:p>
    <w:p w14:paraId="00000607" w14:textId="00000608" w:rsidR="000B0F63" w:rsidRPr="00A61669" w:rsidRDefault="1BAB210A" w:rsidP="00E40261">
      <w:pPr>
        <w:pStyle w:val="Heading2"/>
        <w:jc w:val="both"/>
        <w:rPr>
          <w:rFonts w:asciiTheme="majorHAnsi" w:hAnsiTheme="majorHAnsi" w:cstheme="majorHAnsi"/>
        </w:rPr>
      </w:pPr>
      <w:bookmarkStart w:id="157" w:name="_Toc183"/>
      <w:bookmarkStart w:id="158" w:name="_Toc227770966"/>
      <w:r w:rsidRPr="00A61669">
        <w:rPr>
          <w:rFonts w:asciiTheme="majorHAnsi" w:hAnsiTheme="majorHAnsi" w:cstheme="majorHAnsi"/>
        </w:rPr>
        <w:t>The Readiness Scale</w:t>
      </w:r>
      <w:bookmarkEnd w:id="157"/>
      <w:bookmarkEnd w:id="158"/>
    </w:p>
    <w:p w14:paraId="00000609" w14:textId="0000060A" w:rsidR="000B0F63" w:rsidRPr="00A61669" w:rsidRDefault="00C05D22" w:rsidP="00E40261">
      <w:pPr>
        <w:jc w:val="both"/>
        <w:rPr>
          <w:rFonts w:asciiTheme="majorHAnsi" w:hAnsiTheme="majorHAnsi" w:cstheme="majorHAnsi"/>
        </w:rPr>
      </w:pPr>
      <w:r w:rsidRPr="00A61669">
        <w:rPr>
          <w:rFonts w:asciiTheme="majorHAnsi" w:hAnsiTheme="majorHAnsi" w:cstheme="majorHAnsi"/>
        </w:rPr>
        <w:t>Each dimension is scored from 1 to 5:</w:t>
      </w:r>
    </w:p>
    <w:p w14:paraId="0000060B" w14:textId="322A5506" w:rsidR="000B0F63" w:rsidRPr="00A61669" w:rsidRDefault="00C05D22" w:rsidP="00E40261">
      <w:pPr>
        <w:pStyle w:val="ListBullet"/>
        <w:jc w:val="both"/>
        <w:rPr>
          <w:rFonts w:asciiTheme="majorHAnsi" w:hAnsiTheme="majorHAnsi" w:cstheme="majorHAnsi"/>
        </w:rPr>
      </w:pPr>
      <w:r w:rsidRPr="00A61669">
        <w:rPr>
          <w:rFonts w:asciiTheme="majorHAnsi" w:hAnsiTheme="majorHAnsi" w:cstheme="majorHAnsi"/>
        </w:rPr>
        <w:t xml:space="preserve">1: </w:t>
      </w:r>
      <w:r w:rsidR="00F16B50" w:rsidRPr="00A61669">
        <w:rPr>
          <w:rFonts w:asciiTheme="majorHAnsi" w:hAnsiTheme="majorHAnsi" w:cstheme="majorHAnsi"/>
        </w:rPr>
        <w:t>N</w:t>
      </w:r>
      <w:r w:rsidRPr="00A61669">
        <w:rPr>
          <w:rFonts w:asciiTheme="majorHAnsi" w:hAnsiTheme="majorHAnsi" w:cstheme="majorHAnsi"/>
        </w:rPr>
        <w:t>o activity or planning in place</w:t>
      </w:r>
    </w:p>
    <w:p w14:paraId="0000060D" w14:textId="07539C76" w:rsidR="000B0F63" w:rsidRPr="00A61669" w:rsidRDefault="00C05D22" w:rsidP="00E40261">
      <w:pPr>
        <w:pStyle w:val="ListBullet"/>
        <w:jc w:val="both"/>
        <w:rPr>
          <w:rFonts w:asciiTheme="majorHAnsi" w:hAnsiTheme="majorHAnsi" w:cstheme="majorHAnsi"/>
        </w:rPr>
      </w:pPr>
      <w:r w:rsidRPr="00A61669">
        <w:rPr>
          <w:rFonts w:asciiTheme="majorHAnsi" w:hAnsiTheme="majorHAnsi" w:cstheme="majorHAnsi"/>
        </w:rPr>
        <w:t xml:space="preserve">2: </w:t>
      </w:r>
      <w:r w:rsidR="00F16B50" w:rsidRPr="00A61669">
        <w:rPr>
          <w:rFonts w:asciiTheme="majorHAnsi" w:hAnsiTheme="majorHAnsi" w:cstheme="majorHAnsi"/>
        </w:rPr>
        <w:t>E</w:t>
      </w:r>
      <w:r w:rsidRPr="00A61669">
        <w:rPr>
          <w:rFonts w:asciiTheme="majorHAnsi" w:hAnsiTheme="majorHAnsi" w:cstheme="majorHAnsi"/>
        </w:rPr>
        <w:t>arly awareness, some informal activity</w:t>
      </w:r>
    </w:p>
    <w:p w14:paraId="0000060F" w14:textId="542572CC" w:rsidR="000B0F63" w:rsidRPr="00A61669" w:rsidRDefault="00C05D22" w:rsidP="00E40261">
      <w:pPr>
        <w:pStyle w:val="ListBullet"/>
        <w:jc w:val="both"/>
        <w:rPr>
          <w:rFonts w:asciiTheme="majorHAnsi" w:hAnsiTheme="majorHAnsi" w:cstheme="majorHAnsi"/>
        </w:rPr>
      </w:pPr>
      <w:r w:rsidRPr="00A61669">
        <w:rPr>
          <w:rFonts w:asciiTheme="majorHAnsi" w:hAnsiTheme="majorHAnsi" w:cstheme="majorHAnsi"/>
        </w:rPr>
        <w:t xml:space="preserve">3: </w:t>
      </w:r>
      <w:r w:rsidR="00F16B50" w:rsidRPr="00A61669">
        <w:rPr>
          <w:rFonts w:asciiTheme="majorHAnsi" w:hAnsiTheme="majorHAnsi" w:cstheme="majorHAnsi"/>
        </w:rPr>
        <w:t>D</w:t>
      </w:r>
      <w:r w:rsidRPr="00A61669">
        <w:rPr>
          <w:rFonts w:asciiTheme="majorHAnsi" w:hAnsiTheme="majorHAnsi" w:cstheme="majorHAnsi"/>
        </w:rPr>
        <w:t>ocumented approach, not consistently applied</w:t>
      </w:r>
    </w:p>
    <w:p w14:paraId="00000611" w14:textId="338E78BD" w:rsidR="000B0F63" w:rsidRPr="00A61669" w:rsidRDefault="00C05D22" w:rsidP="00E40261">
      <w:pPr>
        <w:pStyle w:val="ListBullet"/>
        <w:jc w:val="both"/>
        <w:rPr>
          <w:rFonts w:asciiTheme="majorHAnsi" w:hAnsiTheme="majorHAnsi" w:cstheme="majorHAnsi"/>
        </w:rPr>
      </w:pPr>
      <w:r w:rsidRPr="00A61669">
        <w:rPr>
          <w:rFonts w:asciiTheme="majorHAnsi" w:hAnsiTheme="majorHAnsi" w:cstheme="majorHAnsi"/>
        </w:rPr>
        <w:t xml:space="preserve">4: </w:t>
      </w:r>
      <w:r w:rsidR="00F16B50" w:rsidRPr="00A61669">
        <w:rPr>
          <w:rFonts w:asciiTheme="majorHAnsi" w:hAnsiTheme="majorHAnsi" w:cstheme="majorHAnsi"/>
        </w:rPr>
        <w:t>C</w:t>
      </w:r>
      <w:r w:rsidRPr="00A61669">
        <w:rPr>
          <w:rFonts w:asciiTheme="majorHAnsi" w:hAnsiTheme="majorHAnsi" w:cstheme="majorHAnsi"/>
        </w:rPr>
        <w:t>onsistent practice, actively managed</w:t>
      </w:r>
    </w:p>
    <w:p w14:paraId="00000613" w14:textId="468CFA1F" w:rsidR="000B0F63" w:rsidRPr="00A61669" w:rsidRDefault="00C05D22" w:rsidP="00E40261">
      <w:pPr>
        <w:pStyle w:val="ListBullet"/>
        <w:jc w:val="both"/>
        <w:rPr>
          <w:rFonts w:asciiTheme="majorHAnsi" w:hAnsiTheme="majorHAnsi" w:cstheme="majorHAnsi"/>
        </w:rPr>
      </w:pPr>
      <w:r w:rsidRPr="00A61669">
        <w:rPr>
          <w:rFonts w:asciiTheme="majorHAnsi" w:hAnsiTheme="majorHAnsi" w:cstheme="majorHAnsi"/>
        </w:rPr>
        <w:t xml:space="preserve">5: </w:t>
      </w:r>
      <w:r w:rsidR="00F16B50" w:rsidRPr="00A61669">
        <w:rPr>
          <w:rFonts w:asciiTheme="majorHAnsi" w:hAnsiTheme="majorHAnsi" w:cstheme="majorHAnsi"/>
        </w:rPr>
        <w:t>O</w:t>
      </w:r>
      <w:r w:rsidRPr="00A61669">
        <w:rPr>
          <w:rFonts w:asciiTheme="majorHAnsi" w:hAnsiTheme="majorHAnsi" w:cstheme="majorHAnsi"/>
        </w:rPr>
        <w:t>ptimised, measured, continuously improved</w:t>
      </w:r>
    </w:p>
    <w:p w14:paraId="00000615" w14:textId="00000616" w:rsidR="000B0F63" w:rsidRPr="00A61669" w:rsidRDefault="00C05D22" w:rsidP="00E40261">
      <w:pPr>
        <w:jc w:val="both"/>
        <w:rPr>
          <w:rFonts w:asciiTheme="majorHAnsi" w:hAnsiTheme="majorHAnsi" w:cstheme="majorHAnsi"/>
        </w:rPr>
      </w:pPr>
      <w:r w:rsidRPr="00A61669">
        <w:rPr>
          <w:rFonts w:asciiTheme="majorHAnsi" w:hAnsiTheme="majorHAnsi" w:cstheme="majorHAnsi"/>
        </w:rPr>
        <w:t>The scale measures cloud-adoption readiness specifically. It does not capture overall team capability or enterprise domain expertise. DMG Media's infrastructure organisation has deep experience in VMware, Oracle, physical networking, F5 load balancing, and on-premises Windows/Linux operations. Those strengths are not what this assessment scores.</w:t>
      </w:r>
    </w:p>
    <w:p w14:paraId="00000617" w14:textId="00000618" w:rsidR="000B0F63" w:rsidRPr="00A61669" w:rsidRDefault="00C05D22" w:rsidP="00E40261">
      <w:pPr>
        <w:jc w:val="both"/>
        <w:rPr>
          <w:rFonts w:asciiTheme="majorHAnsi" w:hAnsiTheme="majorHAnsi" w:cstheme="majorHAnsi"/>
        </w:rPr>
      </w:pPr>
      <w:r w:rsidRPr="00A61669">
        <w:rPr>
          <w:rFonts w:asciiTheme="majorHAnsi" w:hAnsiTheme="majorHAnsi" w:cstheme="majorHAnsi"/>
        </w:rPr>
        <w:t>The scale is a maturity indicator, not a grade. Organisations running on-premises enterprise estates typically sit between 1 and 3 on this scale before a cloud transformation. Getting to 4 across the board is the outcome of the first phase of transformation, not a precondition.</w:t>
      </w:r>
    </w:p>
    <w:p w14:paraId="4034F79D" w14:textId="18D3B48D" w:rsidR="00B4618C" w:rsidRPr="00A61669" w:rsidRDefault="00B4618C" w:rsidP="00E40261">
      <w:pPr>
        <w:jc w:val="both"/>
        <w:rPr>
          <w:rFonts w:asciiTheme="majorHAnsi" w:hAnsiTheme="majorHAnsi" w:cstheme="majorHAnsi"/>
        </w:rPr>
      </w:pPr>
      <w:r w:rsidRPr="00A61669">
        <w:rPr>
          <w:rFonts w:asciiTheme="majorHAnsi" w:hAnsiTheme="majorHAnsi" w:cstheme="majorHAnsi"/>
        </w:rPr>
        <w:t>Scores were produced from a structured cloud-readiness questionnaire completed during workshops with DMG Media's technology leadership and validated against discovery findings</w:t>
      </w:r>
    </w:p>
    <w:p w14:paraId="00000619" w14:textId="0000061A" w:rsidR="000B0F63" w:rsidRPr="00A61669" w:rsidRDefault="1BAB210A" w:rsidP="00E40261">
      <w:pPr>
        <w:pStyle w:val="Heading2"/>
        <w:jc w:val="both"/>
        <w:rPr>
          <w:rFonts w:asciiTheme="majorHAnsi" w:hAnsiTheme="majorHAnsi" w:cstheme="majorHAnsi"/>
        </w:rPr>
      </w:pPr>
      <w:bookmarkStart w:id="159" w:name="_Toc184"/>
      <w:bookmarkStart w:id="160" w:name="_Toc227770967"/>
      <w:r w:rsidRPr="00A61669">
        <w:rPr>
          <w:rFonts w:asciiTheme="majorHAnsi" w:hAnsiTheme="majorHAnsi" w:cstheme="majorHAnsi"/>
        </w:rPr>
        <w:t>Current State</w:t>
      </w:r>
      <w:bookmarkEnd w:id="159"/>
      <w:bookmarkEnd w:id="160"/>
    </w:p>
    <w:tbl>
      <w:tblPr>
        <w:tblW w:w="9720" w:type="dxa"/>
        <w:tblCellMar>
          <w:top w:w="100" w:type="dxa"/>
          <w:left w:w="100" w:type="dxa"/>
          <w:bottom w:w="100" w:type="dxa"/>
          <w:right w:w="100" w:type="dxa"/>
        </w:tblCellMar>
        <w:tblLook w:val="04A0" w:firstRow="1" w:lastRow="0" w:firstColumn="1" w:lastColumn="0" w:noHBand="0" w:noVBand="1"/>
      </w:tblPr>
      <w:tblGrid>
        <w:gridCol w:w="1843"/>
        <w:gridCol w:w="1843"/>
        <w:gridCol w:w="1843"/>
        <w:gridCol w:w="4191"/>
      </w:tblGrid>
      <w:tr w:rsidR="007E4C3F" w14:paraId="2E6F3BD4" w14:textId="77777777" w:rsidTr="1524DEBB">
        <w:tc>
          <w:tcPr>
            <w:tcW w:w="1843" w:type="dxa"/>
            <w:shd w:val="clear" w:color="auto" w:fill="D9D9D9" w:themeFill="background1" w:themeFillShade="D9"/>
            <w:tcMar>
              <w:top w:w="100" w:type="dxa"/>
              <w:left w:w="100" w:type="dxa"/>
              <w:bottom w:w="100" w:type="dxa"/>
              <w:right w:w="100" w:type="dxa"/>
            </w:tcMar>
            <w:vAlign w:val="center"/>
          </w:tcPr>
          <w:p w14:paraId="0000061B" w14:textId="0000061C" w:rsidR="000B0F63" w:rsidRPr="00A61669" w:rsidRDefault="00C05D22" w:rsidP="00F16B50">
            <w:pPr>
              <w:pStyle w:val="TableHeader"/>
              <w:jc w:val="center"/>
              <w:rPr>
                <w:rFonts w:asciiTheme="majorHAnsi" w:hAnsiTheme="majorHAnsi" w:cstheme="majorHAnsi"/>
              </w:rPr>
            </w:pPr>
            <w:r w:rsidRPr="00A61669">
              <w:rPr>
                <w:rFonts w:asciiTheme="majorHAnsi" w:hAnsiTheme="majorHAnsi" w:cstheme="majorHAnsi"/>
              </w:rPr>
              <w:t>Dimension</w:t>
            </w:r>
          </w:p>
        </w:tc>
        <w:tc>
          <w:tcPr>
            <w:tcW w:w="1843" w:type="dxa"/>
            <w:shd w:val="clear" w:color="auto" w:fill="D9D9D9" w:themeFill="background1" w:themeFillShade="D9"/>
            <w:tcMar>
              <w:top w:w="100" w:type="dxa"/>
              <w:left w:w="100" w:type="dxa"/>
              <w:bottom w:w="100" w:type="dxa"/>
              <w:right w:w="100" w:type="dxa"/>
            </w:tcMar>
            <w:vAlign w:val="center"/>
          </w:tcPr>
          <w:p w14:paraId="0000061D" w14:textId="0000061E" w:rsidR="000B0F63" w:rsidRPr="00A61669" w:rsidRDefault="00C05D22" w:rsidP="00F16B50">
            <w:pPr>
              <w:pStyle w:val="TableHeader"/>
              <w:jc w:val="center"/>
              <w:rPr>
                <w:rFonts w:asciiTheme="majorHAnsi" w:hAnsiTheme="majorHAnsi" w:cstheme="majorHAnsi"/>
              </w:rPr>
            </w:pPr>
            <w:r w:rsidRPr="00A61669">
              <w:rPr>
                <w:rFonts w:asciiTheme="majorHAnsi" w:hAnsiTheme="majorHAnsi" w:cstheme="majorHAnsi"/>
              </w:rPr>
              <w:t>Areas assessed</w:t>
            </w:r>
          </w:p>
        </w:tc>
        <w:tc>
          <w:tcPr>
            <w:tcW w:w="1843" w:type="dxa"/>
            <w:shd w:val="clear" w:color="auto" w:fill="D9D9D9" w:themeFill="background1" w:themeFillShade="D9"/>
            <w:tcMar>
              <w:top w:w="100" w:type="dxa"/>
              <w:left w:w="100" w:type="dxa"/>
              <w:bottom w:w="100" w:type="dxa"/>
              <w:right w:w="100" w:type="dxa"/>
            </w:tcMar>
            <w:vAlign w:val="center"/>
          </w:tcPr>
          <w:p w14:paraId="0000061F" w14:textId="00000620" w:rsidR="000B0F63" w:rsidRPr="00A61669" w:rsidRDefault="00C05D22" w:rsidP="00F16B50">
            <w:pPr>
              <w:pStyle w:val="TableHeader"/>
              <w:jc w:val="center"/>
              <w:rPr>
                <w:rFonts w:asciiTheme="majorHAnsi" w:hAnsiTheme="majorHAnsi" w:cstheme="majorHAnsi"/>
              </w:rPr>
            </w:pPr>
            <w:r w:rsidRPr="00A61669">
              <w:rPr>
                <w:rFonts w:asciiTheme="majorHAnsi" w:hAnsiTheme="majorHAnsi" w:cstheme="majorHAnsi"/>
              </w:rPr>
              <w:t>Average score</w:t>
            </w:r>
          </w:p>
        </w:tc>
        <w:tc>
          <w:tcPr>
            <w:tcW w:w="4191" w:type="dxa"/>
            <w:shd w:val="clear" w:color="auto" w:fill="D9D9D9" w:themeFill="background1" w:themeFillShade="D9"/>
            <w:tcMar>
              <w:top w:w="100" w:type="dxa"/>
              <w:left w:w="100" w:type="dxa"/>
              <w:bottom w:w="100" w:type="dxa"/>
              <w:right w:w="100" w:type="dxa"/>
            </w:tcMar>
            <w:vAlign w:val="center"/>
          </w:tcPr>
          <w:p w14:paraId="00000621" w14:textId="00000622" w:rsidR="000B0F63" w:rsidRPr="00A61669" w:rsidRDefault="00C05D22" w:rsidP="00F16B50">
            <w:pPr>
              <w:pStyle w:val="TableHeader"/>
              <w:jc w:val="center"/>
              <w:rPr>
                <w:rFonts w:asciiTheme="majorHAnsi" w:hAnsiTheme="majorHAnsi" w:cstheme="majorHAnsi"/>
              </w:rPr>
            </w:pPr>
            <w:r w:rsidRPr="00A61669">
              <w:rPr>
                <w:rFonts w:asciiTheme="majorHAnsi" w:hAnsiTheme="majorHAnsi" w:cstheme="majorHAnsi"/>
              </w:rPr>
              <w:t>Current state summary</w:t>
            </w:r>
          </w:p>
        </w:tc>
      </w:tr>
      <w:tr w:rsidR="00194173" w14:paraId="0F99E0C6" w14:textId="77777777" w:rsidTr="1524DEBB">
        <w:tc>
          <w:tcPr>
            <w:tcW w:w="1843" w:type="dxa"/>
            <w:tcMar>
              <w:top w:w="100" w:type="dxa"/>
              <w:left w:w="100" w:type="dxa"/>
              <w:bottom w:w="100" w:type="dxa"/>
              <w:right w:w="100" w:type="dxa"/>
            </w:tcMar>
            <w:vAlign w:val="center"/>
          </w:tcPr>
          <w:p w14:paraId="00000623" w14:textId="00000624" w:rsidR="000B0F63" w:rsidRPr="00A61669" w:rsidRDefault="00C05D22" w:rsidP="00F16B50">
            <w:pPr>
              <w:pStyle w:val="TableInfo"/>
              <w:jc w:val="center"/>
              <w:rPr>
                <w:rFonts w:asciiTheme="majorHAnsi" w:hAnsiTheme="majorHAnsi" w:cstheme="majorHAnsi"/>
              </w:rPr>
            </w:pPr>
            <w:r w:rsidRPr="00A61669">
              <w:rPr>
                <w:rFonts w:asciiTheme="majorHAnsi" w:hAnsiTheme="majorHAnsi" w:cstheme="majorHAnsi"/>
              </w:rPr>
              <w:t>Business</w:t>
            </w:r>
          </w:p>
        </w:tc>
        <w:tc>
          <w:tcPr>
            <w:tcW w:w="1843" w:type="dxa"/>
            <w:tcMar>
              <w:top w:w="100" w:type="dxa"/>
              <w:left w:w="100" w:type="dxa"/>
              <w:bottom w:w="100" w:type="dxa"/>
              <w:right w:w="100" w:type="dxa"/>
            </w:tcMar>
            <w:vAlign w:val="center"/>
          </w:tcPr>
          <w:p w14:paraId="00000625" w14:textId="00000626" w:rsidR="000B0F63" w:rsidRPr="00A61669" w:rsidRDefault="00C05D22" w:rsidP="00F16B50">
            <w:pPr>
              <w:pStyle w:val="TableInfo"/>
              <w:jc w:val="center"/>
              <w:rPr>
                <w:rFonts w:asciiTheme="majorHAnsi" w:hAnsiTheme="majorHAnsi" w:cstheme="majorHAnsi"/>
              </w:rPr>
            </w:pPr>
            <w:r w:rsidRPr="00A61669">
              <w:rPr>
                <w:rFonts w:asciiTheme="majorHAnsi" w:hAnsiTheme="majorHAnsi" w:cstheme="majorHAnsi"/>
              </w:rPr>
              <w:t>10</w:t>
            </w:r>
          </w:p>
        </w:tc>
        <w:tc>
          <w:tcPr>
            <w:tcW w:w="1843" w:type="dxa"/>
            <w:tcMar>
              <w:top w:w="100" w:type="dxa"/>
              <w:left w:w="100" w:type="dxa"/>
              <w:bottom w:w="100" w:type="dxa"/>
              <w:right w:w="100" w:type="dxa"/>
            </w:tcMar>
            <w:vAlign w:val="center"/>
          </w:tcPr>
          <w:p w14:paraId="00000627" w14:textId="00000628" w:rsidR="000B0F63" w:rsidRPr="00A61669" w:rsidRDefault="00C05D22" w:rsidP="00F16B50">
            <w:pPr>
              <w:pStyle w:val="TableInfo"/>
              <w:jc w:val="center"/>
              <w:rPr>
                <w:rFonts w:asciiTheme="majorHAnsi" w:hAnsiTheme="majorHAnsi" w:cstheme="majorHAnsi"/>
              </w:rPr>
            </w:pPr>
            <w:r w:rsidRPr="00A61669">
              <w:rPr>
                <w:rFonts w:asciiTheme="majorHAnsi" w:hAnsiTheme="majorHAnsi" w:cstheme="majorHAnsi"/>
              </w:rPr>
              <w:t>2.5</w:t>
            </w:r>
          </w:p>
        </w:tc>
        <w:tc>
          <w:tcPr>
            <w:tcW w:w="4191" w:type="dxa"/>
            <w:tcMar>
              <w:top w:w="100" w:type="dxa"/>
              <w:left w:w="100" w:type="dxa"/>
              <w:bottom w:w="100" w:type="dxa"/>
              <w:right w:w="100" w:type="dxa"/>
            </w:tcMar>
            <w:vAlign w:val="center"/>
          </w:tcPr>
          <w:p w14:paraId="00000629" w14:textId="1FBC5C9A" w:rsidR="000B0F63" w:rsidRPr="00A61669" w:rsidRDefault="1BAB210A" w:rsidP="00F16B50">
            <w:pPr>
              <w:pStyle w:val="TableInfo"/>
              <w:rPr>
                <w:rFonts w:asciiTheme="majorHAnsi" w:hAnsiTheme="majorHAnsi" w:cstheme="majorHAnsi"/>
              </w:rPr>
            </w:pPr>
            <w:r w:rsidRPr="00A61669">
              <w:rPr>
                <w:rFonts w:asciiTheme="majorHAnsi" w:hAnsiTheme="majorHAnsi" w:cstheme="majorHAnsi"/>
                <w:lang w:val="en-GB"/>
              </w:rPr>
              <w:t>Business objectives clarity is strong</w:t>
            </w:r>
            <w:r w:rsidR="00A06777" w:rsidRPr="00A61669">
              <w:rPr>
                <w:rFonts w:asciiTheme="majorHAnsi" w:hAnsiTheme="majorHAnsi" w:cstheme="majorHAnsi"/>
                <w:lang w:val="en-GB"/>
              </w:rPr>
              <w:t>,</w:t>
            </w:r>
            <w:r w:rsidRPr="00A61669">
              <w:rPr>
                <w:rFonts w:asciiTheme="majorHAnsi" w:hAnsiTheme="majorHAnsi" w:cstheme="majorHAnsi"/>
                <w:lang w:val="en-GB"/>
              </w:rPr>
              <w:t xml:space="preserve"> and cloud/hypervisor strategy is in flight (this engagement). Weaker on operating model definition and value management.</w:t>
            </w:r>
          </w:p>
        </w:tc>
      </w:tr>
      <w:tr w:rsidR="00194173" w14:paraId="36F66513" w14:textId="77777777" w:rsidTr="1524DEBB">
        <w:tc>
          <w:tcPr>
            <w:tcW w:w="1843" w:type="dxa"/>
            <w:tcMar>
              <w:top w:w="100" w:type="dxa"/>
              <w:left w:w="100" w:type="dxa"/>
              <w:bottom w:w="100" w:type="dxa"/>
              <w:right w:w="100" w:type="dxa"/>
            </w:tcMar>
            <w:vAlign w:val="center"/>
          </w:tcPr>
          <w:p w14:paraId="0000062B" w14:textId="0000062C" w:rsidR="000B0F63" w:rsidRPr="00A61669" w:rsidRDefault="00C05D22" w:rsidP="00F16B50">
            <w:pPr>
              <w:pStyle w:val="TableInfo"/>
              <w:jc w:val="center"/>
              <w:rPr>
                <w:rFonts w:asciiTheme="majorHAnsi" w:hAnsiTheme="majorHAnsi" w:cstheme="majorHAnsi"/>
              </w:rPr>
            </w:pPr>
            <w:r w:rsidRPr="00A61669">
              <w:rPr>
                <w:rFonts w:asciiTheme="majorHAnsi" w:hAnsiTheme="majorHAnsi" w:cstheme="majorHAnsi"/>
              </w:rPr>
              <w:t>Governance</w:t>
            </w:r>
          </w:p>
        </w:tc>
        <w:tc>
          <w:tcPr>
            <w:tcW w:w="1843" w:type="dxa"/>
            <w:tcMar>
              <w:top w:w="100" w:type="dxa"/>
              <w:left w:w="100" w:type="dxa"/>
              <w:bottom w:w="100" w:type="dxa"/>
              <w:right w:w="100" w:type="dxa"/>
            </w:tcMar>
            <w:vAlign w:val="center"/>
          </w:tcPr>
          <w:p w14:paraId="0000062D" w14:textId="0000062E" w:rsidR="000B0F63" w:rsidRPr="00A61669" w:rsidRDefault="00C05D22" w:rsidP="00F16B50">
            <w:pPr>
              <w:pStyle w:val="TableInfo"/>
              <w:jc w:val="center"/>
              <w:rPr>
                <w:rFonts w:asciiTheme="majorHAnsi" w:hAnsiTheme="majorHAnsi" w:cstheme="majorHAnsi"/>
              </w:rPr>
            </w:pPr>
            <w:r w:rsidRPr="00A61669">
              <w:rPr>
                <w:rFonts w:asciiTheme="majorHAnsi" w:hAnsiTheme="majorHAnsi" w:cstheme="majorHAnsi"/>
              </w:rPr>
              <w:t>3</w:t>
            </w:r>
          </w:p>
        </w:tc>
        <w:tc>
          <w:tcPr>
            <w:tcW w:w="1843" w:type="dxa"/>
            <w:tcMar>
              <w:top w:w="100" w:type="dxa"/>
              <w:left w:w="100" w:type="dxa"/>
              <w:bottom w:w="100" w:type="dxa"/>
              <w:right w:w="100" w:type="dxa"/>
            </w:tcMar>
            <w:vAlign w:val="center"/>
          </w:tcPr>
          <w:p w14:paraId="0000062F" w14:textId="00000630" w:rsidR="000B0F63" w:rsidRPr="00A61669" w:rsidRDefault="00C05D22" w:rsidP="00F16B50">
            <w:pPr>
              <w:pStyle w:val="TableInfo"/>
              <w:jc w:val="center"/>
              <w:rPr>
                <w:rFonts w:asciiTheme="majorHAnsi" w:hAnsiTheme="majorHAnsi" w:cstheme="majorHAnsi"/>
              </w:rPr>
            </w:pPr>
            <w:r w:rsidRPr="00A61669">
              <w:rPr>
                <w:rFonts w:asciiTheme="majorHAnsi" w:hAnsiTheme="majorHAnsi" w:cstheme="majorHAnsi"/>
              </w:rPr>
              <w:t>3.0</w:t>
            </w:r>
          </w:p>
        </w:tc>
        <w:tc>
          <w:tcPr>
            <w:tcW w:w="4191" w:type="dxa"/>
            <w:tcMar>
              <w:top w:w="100" w:type="dxa"/>
              <w:left w:w="100" w:type="dxa"/>
              <w:bottom w:w="100" w:type="dxa"/>
              <w:right w:w="100" w:type="dxa"/>
            </w:tcMar>
            <w:vAlign w:val="center"/>
          </w:tcPr>
          <w:p w14:paraId="00000631" w14:textId="00000632" w:rsidR="000B0F63" w:rsidRPr="00A61669" w:rsidRDefault="1BAB210A" w:rsidP="00F16B50">
            <w:pPr>
              <w:pStyle w:val="TableInfo"/>
              <w:rPr>
                <w:rFonts w:asciiTheme="majorHAnsi" w:hAnsiTheme="majorHAnsi" w:cstheme="majorHAnsi"/>
              </w:rPr>
            </w:pPr>
            <w:r w:rsidRPr="00A61669">
              <w:rPr>
                <w:rFonts w:asciiTheme="majorHAnsi" w:hAnsiTheme="majorHAnsi" w:cstheme="majorHAnsi"/>
                <w:lang w:val="en-GB"/>
              </w:rPr>
              <w:t>CMDB is reasonably maintained; service delivery management is documented; supplier management is mature. Highest-scoring dimension.</w:t>
            </w:r>
          </w:p>
        </w:tc>
      </w:tr>
      <w:tr w:rsidR="00194173" w14:paraId="5463212E" w14:textId="77777777" w:rsidTr="1524DEBB">
        <w:tc>
          <w:tcPr>
            <w:tcW w:w="1843" w:type="dxa"/>
            <w:tcMar>
              <w:top w:w="100" w:type="dxa"/>
              <w:left w:w="100" w:type="dxa"/>
              <w:bottom w:w="100" w:type="dxa"/>
              <w:right w:w="100" w:type="dxa"/>
            </w:tcMar>
            <w:vAlign w:val="center"/>
          </w:tcPr>
          <w:p w14:paraId="00000633" w14:textId="00000634" w:rsidR="000B0F63" w:rsidRPr="00A61669" w:rsidRDefault="00C05D22" w:rsidP="00F16B50">
            <w:pPr>
              <w:pStyle w:val="TableInfo"/>
              <w:jc w:val="center"/>
              <w:rPr>
                <w:rFonts w:asciiTheme="majorHAnsi" w:hAnsiTheme="majorHAnsi" w:cstheme="majorHAnsi"/>
              </w:rPr>
            </w:pPr>
            <w:r w:rsidRPr="00A61669">
              <w:rPr>
                <w:rFonts w:asciiTheme="majorHAnsi" w:hAnsiTheme="majorHAnsi" w:cstheme="majorHAnsi"/>
              </w:rPr>
              <w:t>Operations</w:t>
            </w:r>
          </w:p>
        </w:tc>
        <w:tc>
          <w:tcPr>
            <w:tcW w:w="1843" w:type="dxa"/>
            <w:tcMar>
              <w:top w:w="100" w:type="dxa"/>
              <w:left w:w="100" w:type="dxa"/>
              <w:bottom w:w="100" w:type="dxa"/>
              <w:right w:w="100" w:type="dxa"/>
            </w:tcMar>
            <w:vAlign w:val="center"/>
          </w:tcPr>
          <w:p w14:paraId="00000635" w14:textId="00000636" w:rsidR="000B0F63" w:rsidRPr="00A61669" w:rsidRDefault="00C05D22" w:rsidP="00F16B50">
            <w:pPr>
              <w:pStyle w:val="TableInfo"/>
              <w:jc w:val="center"/>
              <w:rPr>
                <w:rFonts w:asciiTheme="majorHAnsi" w:hAnsiTheme="majorHAnsi" w:cstheme="majorHAnsi"/>
              </w:rPr>
            </w:pPr>
            <w:r w:rsidRPr="00A61669">
              <w:rPr>
                <w:rFonts w:asciiTheme="majorHAnsi" w:hAnsiTheme="majorHAnsi" w:cstheme="majorHAnsi"/>
              </w:rPr>
              <w:t>4</w:t>
            </w:r>
          </w:p>
        </w:tc>
        <w:tc>
          <w:tcPr>
            <w:tcW w:w="1843" w:type="dxa"/>
            <w:tcMar>
              <w:top w:w="100" w:type="dxa"/>
              <w:left w:w="100" w:type="dxa"/>
              <w:bottom w:w="100" w:type="dxa"/>
              <w:right w:w="100" w:type="dxa"/>
            </w:tcMar>
            <w:vAlign w:val="center"/>
          </w:tcPr>
          <w:p w14:paraId="00000637" w14:textId="00000638" w:rsidR="000B0F63" w:rsidRPr="00A61669" w:rsidRDefault="00C05D22" w:rsidP="00F16B50">
            <w:pPr>
              <w:pStyle w:val="TableInfo"/>
              <w:jc w:val="center"/>
              <w:rPr>
                <w:rFonts w:asciiTheme="majorHAnsi" w:hAnsiTheme="majorHAnsi" w:cstheme="majorHAnsi"/>
              </w:rPr>
            </w:pPr>
            <w:r w:rsidRPr="00A61669">
              <w:rPr>
                <w:rFonts w:asciiTheme="majorHAnsi" w:hAnsiTheme="majorHAnsi" w:cstheme="majorHAnsi"/>
              </w:rPr>
              <w:t>1.8</w:t>
            </w:r>
          </w:p>
        </w:tc>
        <w:tc>
          <w:tcPr>
            <w:tcW w:w="4191" w:type="dxa"/>
            <w:tcMar>
              <w:top w:w="100" w:type="dxa"/>
              <w:left w:w="100" w:type="dxa"/>
              <w:bottom w:w="100" w:type="dxa"/>
              <w:right w:w="100" w:type="dxa"/>
            </w:tcMar>
            <w:vAlign w:val="center"/>
          </w:tcPr>
          <w:p w14:paraId="00000639" w14:textId="0000063A" w:rsidR="000B0F63" w:rsidRPr="00A61669" w:rsidRDefault="00C05D22" w:rsidP="00F16B50">
            <w:pPr>
              <w:pStyle w:val="TableInfo"/>
              <w:rPr>
                <w:rFonts w:asciiTheme="majorHAnsi" w:hAnsiTheme="majorHAnsi" w:cstheme="majorHAnsi"/>
              </w:rPr>
            </w:pPr>
            <w:r w:rsidRPr="00A61669">
              <w:rPr>
                <w:rFonts w:asciiTheme="majorHAnsi" w:hAnsiTheme="majorHAnsi" w:cstheme="majorHAnsi"/>
              </w:rPr>
              <w:t>Disaster recovery planning and cross-brand monitoring consistency are the main gaps.</w:t>
            </w:r>
          </w:p>
        </w:tc>
      </w:tr>
      <w:tr w:rsidR="00194173" w14:paraId="1DD92865" w14:textId="77777777" w:rsidTr="1524DEBB">
        <w:tc>
          <w:tcPr>
            <w:tcW w:w="1843" w:type="dxa"/>
            <w:tcMar>
              <w:top w:w="100" w:type="dxa"/>
              <w:left w:w="100" w:type="dxa"/>
              <w:bottom w:w="100" w:type="dxa"/>
              <w:right w:w="100" w:type="dxa"/>
            </w:tcMar>
            <w:vAlign w:val="center"/>
          </w:tcPr>
          <w:p w14:paraId="0000063B" w14:textId="0000063C" w:rsidR="000B0F63" w:rsidRPr="00A61669" w:rsidRDefault="00C05D22" w:rsidP="00F16B50">
            <w:pPr>
              <w:pStyle w:val="TableInfo"/>
              <w:jc w:val="center"/>
              <w:rPr>
                <w:rFonts w:asciiTheme="majorHAnsi" w:hAnsiTheme="majorHAnsi" w:cstheme="majorHAnsi"/>
              </w:rPr>
            </w:pPr>
            <w:r w:rsidRPr="00A61669">
              <w:rPr>
                <w:rFonts w:asciiTheme="majorHAnsi" w:hAnsiTheme="majorHAnsi" w:cstheme="majorHAnsi"/>
              </w:rPr>
              <w:t>People</w:t>
            </w:r>
          </w:p>
        </w:tc>
        <w:tc>
          <w:tcPr>
            <w:tcW w:w="1843" w:type="dxa"/>
            <w:tcMar>
              <w:top w:w="100" w:type="dxa"/>
              <w:left w:w="100" w:type="dxa"/>
              <w:bottom w:w="100" w:type="dxa"/>
              <w:right w:w="100" w:type="dxa"/>
            </w:tcMar>
            <w:vAlign w:val="center"/>
          </w:tcPr>
          <w:p w14:paraId="0000063D" w14:textId="0000063E" w:rsidR="000B0F63" w:rsidRPr="00A61669" w:rsidRDefault="00C05D22" w:rsidP="00F16B50">
            <w:pPr>
              <w:pStyle w:val="TableInfo"/>
              <w:jc w:val="center"/>
              <w:rPr>
                <w:rFonts w:asciiTheme="majorHAnsi" w:hAnsiTheme="majorHAnsi" w:cstheme="majorHAnsi"/>
              </w:rPr>
            </w:pPr>
            <w:r w:rsidRPr="00A61669">
              <w:rPr>
                <w:rFonts w:asciiTheme="majorHAnsi" w:hAnsiTheme="majorHAnsi" w:cstheme="majorHAnsi"/>
              </w:rPr>
              <w:t>4</w:t>
            </w:r>
          </w:p>
        </w:tc>
        <w:tc>
          <w:tcPr>
            <w:tcW w:w="1843" w:type="dxa"/>
            <w:tcMar>
              <w:top w:w="100" w:type="dxa"/>
              <w:left w:w="100" w:type="dxa"/>
              <w:bottom w:w="100" w:type="dxa"/>
              <w:right w:w="100" w:type="dxa"/>
            </w:tcMar>
            <w:vAlign w:val="center"/>
          </w:tcPr>
          <w:p w14:paraId="0000063F" w14:textId="00000640" w:rsidR="000B0F63" w:rsidRPr="00A61669" w:rsidRDefault="00C05D22" w:rsidP="00F16B50">
            <w:pPr>
              <w:pStyle w:val="TableInfo"/>
              <w:jc w:val="center"/>
              <w:rPr>
                <w:rFonts w:asciiTheme="majorHAnsi" w:hAnsiTheme="majorHAnsi" w:cstheme="majorHAnsi"/>
              </w:rPr>
            </w:pPr>
            <w:r w:rsidRPr="00A61669">
              <w:rPr>
                <w:rFonts w:asciiTheme="majorHAnsi" w:hAnsiTheme="majorHAnsi" w:cstheme="majorHAnsi"/>
              </w:rPr>
              <w:t>1.2</w:t>
            </w:r>
          </w:p>
        </w:tc>
        <w:tc>
          <w:tcPr>
            <w:tcW w:w="4191" w:type="dxa"/>
            <w:tcMar>
              <w:top w:w="100" w:type="dxa"/>
              <w:left w:w="100" w:type="dxa"/>
              <w:bottom w:w="100" w:type="dxa"/>
              <w:right w:w="100" w:type="dxa"/>
            </w:tcMar>
            <w:vAlign w:val="center"/>
          </w:tcPr>
          <w:p w14:paraId="00000641" w14:textId="00000642" w:rsidR="000B0F63" w:rsidRPr="00A61669" w:rsidRDefault="00C05D22" w:rsidP="00F16B50">
            <w:pPr>
              <w:pStyle w:val="TableInfo"/>
              <w:rPr>
                <w:rFonts w:asciiTheme="majorHAnsi" w:hAnsiTheme="majorHAnsi" w:cstheme="majorHAnsi"/>
              </w:rPr>
            </w:pPr>
            <w:r w:rsidRPr="00A61669">
              <w:rPr>
                <w:rFonts w:asciiTheme="majorHAnsi" w:hAnsiTheme="majorHAnsi" w:cstheme="majorHAnsi"/>
              </w:rPr>
              <w:t>Cloud-specific skills and training are at the earliest stage: no formal cloud training plan yet, Cloud Centre of Excellence boundaries still forming.</w:t>
            </w:r>
          </w:p>
        </w:tc>
      </w:tr>
      <w:tr w:rsidR="00194173" w14:paraId="48FFFC41" w14:textId="77777777" w:rsidTr="1524DEBB">
        <w:tc>
          <w:tcPr>
            <w:tcW w:w="1843" w:type="dxa"/>
            <w:tcMar>
              <w:top w:w="100" w:type="dxa"/>
              <w:left w:w="100" w:type="dxa"/>
              <w:bottom w:w="100" w:type="dxa"/>
              <w:right w:w="100" w:type="dxa"/>
            </w:tcMar>
            <w:vAlign w:val="center"/>
          </w:tcPr>
          <w:p w14:paraId="00000643" w14:textId="00000644" w:rsidR="000B0F63" w:rsidRPr="00A61669" w:rsidRDefault="00C05D22" w:rsidP="00F16B50">
            <w:pPr>
              <w:pStyle w:val="TableInfo"/>
              <w:jc w:val="center"/>
              <w:rPr>
                <w:rFonts w:asciiTheme="majorHAnsi" w:hAnsiTheme="majorHAnsi" w:cstheme="majorHAnsi"/>
              </w:rPr>
            </w:pPr>
            <w:r w:rsidRPr="00A61669">
              <w:rPr>
                <w:rFonts w:asciiTheme="majorHAnsi" w:hAnsiTheme="majorHAnsi" w:cstheme="majorHAnsi"/>
              </w:rPr>
              <w:t>Security</w:t>
            </w:r>
          </w:p>
        </w:tc>
        <w:tc>
          <w:tcPr>
            <w:tcW w:w="1843" w:type="dxa"/>
            <w:tcMar>
              <w:top w:w="100" w:type="dxa"/>
              <w:left w:w="100" w:type="dxa"/>
              <w:bottom w:w="100" w:type="dxa"/>
              <w:right w:w="100" w:type="dxa"/>
            </w:tcMar>
            <w:vAlign w:val="center"/>
          </w:tcPr>
          <w:p w14:paraId="00000645" w14:textId="00000646" w:rsidR="000B0F63" w:rsidRPr="00A61669" w:rsidRDefault="00C05D22" w:rsidP="00F16B50">
            <w:pPr>
              <w:pStyle w:val="TableInfo"/>
              <w:jc w:val="center"/>
              <w:rPr>
                <w:rFonts w:asciiTheme="majorHAnsi" w:hAnsiTheme="majorHAnsi" w:cstheme="majorHAnsi"/>
              </w:rPr>
            </w:pPr>
            <w:r w:rsidRPr="00A61669">
              <w:rPr>
                <w:rFonts w:asciiTheme="majorHAnsi" w:hAnsiTheme="majorHAnsi" w:cstheme="majorHAnsi"/>
              </w:rPr>
              <w:t>3</w:t>
            </w:r>
          </w:p>
        </w:tc>
        <w:tc>
          <w:tcPr>
            <w:tcW w:w="1843" w:type="dxa"/>
            <w:tcMar>
              <w:top w:w="100" w:type="dxa"/>
              <w:left w:w="100" w:type="dxa"/>
              <w:bottom w:w="100" w:type="dxa"/>
              <w:right w:w="100" w:type="dxa"/>
            </w:tcMar>
            <w:vAlign w:val="center"/>
          </w:tcPr>
          <w:p w14:paraId="00000647" w14:textId="00000648" w:rsidR="000B0F63" w:rsidRPr="00A61669" w:rsidRDefault="00C05D22" w:rsidP="00F16B50">
            <w:pPr>
              <w:pStyle w:val="TableInfo"/>
              <w:jc w:val="center"/>
              <w:rPr>
                <w:rFonts w:asciiTheme="majorHAnsi" w:hAnsiTheme="majorHAnsi" w:cstheme="majorHAnsi"/>
              </w:rPr>
            </w:pPr>
            <w:r w:rsidRPr="00A61669">
              <w:rPr>
                <w:rFonts w:asciiTheme="majorHAnsi" w:hAnsiTheme="majorHAnsi" w:cstheme="majorHAnsi"/>
              </w:rPr>
              <w:t>2.0</w:t>
            </w:r>
          </w:p>
        </w:tc>
        <w:tc>
          <w:tcPr>
            <w:tcW w:w="4191" w:type="dxa"/>
            <w:tcMar>
              <w:top w:w="100" w:type="dxa"/>
              <w:left w:w="100" w:type="dxa"/>
              <w:bottom w:w="100" w:type="dxa"/>
              <w:right w:w="100" w:type="dxa"/>
            </w:tcMar>
            <w:vAlign w:val="center"/>
          </w:tcPr>
          <w:p w14:paraId="00000649" w14:textId="0000064A" w:rsidR="000B0F63" w:rsidRPr="00A61669" w:rsidRDefault="00C05D22" w:rsidP="00F16B50">
            <w:pPr>
              <w:pStyle w:val="TableInfo"/>
              <w:rPr>
                <w:rFonts w:asciiTheme="majorHAnsi" w:hAnsiTheme="majorHAnsi" w:cstheme="majorHAnsi"/>
              </w:rPr>
            </w:pPr>
            <w:r w:rsidRPr="00A61669">
              <w:rPr>
                <w:rFonts w:asciiTheme="majorHAnsi" w:hAnsiTheme="majorHAnsi" w:cstheme="majorHAnsi"/>
              </w:rPr>
              <w:t>CISO is engaged in cloud decisions. Shared responsibility model and cloud-native GRC practice are early-stage.</w:t>
            </w:r>
          </w:p>
        </w:tc>
      </w:tr>
    </w:tbl>
    <w:p w14:paraId="0000064B" w14:textId="5662BD95"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Overall readiness: 2.1 of 5. </w:t>
      </w:r>
      <w:r w:rsidRPr="00A61669">
        <w:rPr>
          <w:rFonts w:asciiTheme="majorHAnsi" w:hAnsiTheme="majorHAnsi" w:cstheme="majorHAnsi"/>
        </w:rPr>
        <w:t>Consistent with an organisation at the start of its cloud journey.</w:t>
      </w:r>
    </w:p>
    <w:p w14:paraId="0000064D" w14:textId="0000064E" w:rsidR="000B0F63" w:rsidRPr="00A61669" w:rsidRDefault="1BAB210A" w:rsidP="00E40261">
      <w:pPr>
        <w:pStyle w:val="Heading2"/>
        <w:jc w:val="both"/>
        <w:rPr>
          <w:rFonts w:asciiTheme="majorHAnsi" w:hAnsiTheme="majorHAnsi" w:cstheme="majorHAnsi"/>
        </w:rPr>
      </w:pPr>
      <w:bookmarkStart w:id="161" w:name="_Toc185"/>
      <w:bookmarkStart w:id="162" w:name="_Toc227770968"/>
      <w:r w:rsidRPr="00A61669">
        <w:rPr>
          <w:rFonts w:asciiTheme="majorHAnsi" w:hAnsiTheme="majorHAnsi" w:cstheme="majorHAnsi"/>
        </w:rPr>
        <w:t>What Each Dimension Means In Practice</w:t>
      </w:r>
      <w:bookmarkEnd w:id="161"/>
      <w:bookmarkEnd w:id="162"/>
    </w:p>
    <w:p w14:paraId="0000064F" w14:textId="00000650" w:rsidR="000B0F63" w:rsidRPr="00A61669" w:rsidRDefault="1BAB210A" w:rsidP="00E40261">
      <w:pPr>
        <w:pStyle w:val="Heading3"/>
        <w:jc w:val="both"/>
        <w:rPr>
          <w:rFonts w:asciiTheme="majorHAnsi" w:hAnsiTheme="majorHAnsi" w:cstheme="majorHAnsi"/>
        </w:rPr>
      </w:pPr>
      <w:bookmarkStart w:id="163" w:name="_Toc186"/>
      <w:bookmarkStart w:id="164" w:name="_Toc227770969"/>
      <w:r w:rsidRPr="00A61669">
        <w:rPr>
          <w:rFonts w:asciiTheme="majorHAnsi" w:hAnsiTheme="majorHAnsi" w:cstheme="majorHAnsi"/>
        </w:rPr>
        <w:t>Business (2.5)</w:t>
      </w:r>
      <w:bookmarkEnd w:id="163"/>
      <w:bookmarkEnd w:id="164"/>
    </w:p>
    <w:p w14:paraId="735C0E6C" w14:textId="33C48291" w:rsidR="000478E8" w:rsidRPr="00A61669" w:rsidRDefault="007415CD" w:rsidP="00E40261">
      <w:pPr>
        <w:jc w:val="both"/>
        <w:rPr>
          <w:rFonts w:asciiTheme="majorHAnsi" w:hAnsiTheme="majorHAnsi" w:cstheme="majorHAnsi"/>
        </w:rPr>
      </w:pPr>
      <w:r w:rsidRPr="00A61669">
        <w:rPr>
          <w:rFonts w:asciiTheme="majorHAnsi" w:hAnsiTheme="majorHAnsi" w:cstheme="majorHAnsi"/>
        </w:rPr>
        <w:t>DMG Media’s</w:t>
      </w:r>
      <w:r w:rsidR="00C05D22" w:rsidRPr="00A61669">
        <w:rPr>
          <w:rFonts w:asciiTheme="majorHAnsi" w:hAnsiTheme="majorHAnsi" w:cstheme="majorHAnsi"/>
        </w:rPr>
        <w:t xml:space="preserve"> business objectives are clear: one million </w:t>
      </w:r>
      <w:r w:rsidR="00490323" w:rsidRPr="00A61669">
        <w:rPr>
          <w:rFonts w:asciiTheme="majorHAnsi" w:hAnsiTheme="majorHAnsi" w:cstheme="majorHAnsi"/>
        </w:rPr>
        <w:t>Mail Online</w:t>
      </w:r>
      <w:r w:rsidR="00C05D22" w:rsidRPr="00A61669">
        <w:rPr>
          <w:rFonts w:asciiTheme="majorHAnsi" w:hAnsiTheme="majorHAnsi" w:cstheme="majorHAnsi"/>
        </w:rPr>
        <w:t xml:space="preserve"> subscribers, tech stack standardisation, operational refreshes, consolidation onto virtual platforms, flexibility for projects with partner support, CapEx to OpEx. </w:t>
      </w:r>
      <w:r w:rsidRPr="00A61669">
        <w:rPr>
          <w:rFonts w:asciiTheme="majorHAnsi" w:hAnsiTheme="majorHAnsi" w:cstheme="majorHAnsi"/>
        </w:rPr>
        <w:t>DMG Media</w:t>
      </w:r>
      <w:r w:rsidR="00C05D22" w:rsidRPr="00A61669">
        <w:rPr>
          <w:rFonts w:asciiTheme="majorHAnsi" w:hAnsiTheme="majorHAnsi" w:cstheme="majorHAnsi"/>
        </w:rPr>
        <w:t xml:space="preserve"> have hypervisor and cloud strategy assessment in flight (this engagement). </w:t>
      </w:r>
    </w:p>
    <w:p w14:paraId="00000651" w14:textId="16CDE1CC" w:rsidR="000B0F63" w:rsidRPr="00A61669" w:rsidRDefault="00C05D22" w:rsidP="00E40261">
      <w:pPr>
        <w:jc w:val="both"/>
        <w:rPr>
          <w:rFonts w:asciiTheme="majorHAnsi" w:hAnsiTheme="majorHAnsi" w:cstheme="majorHAnsi"/>
        </w:rPr>
      </w:pPr>
      <w:r w:rsidRPr="00A61669">
        <w:rPr>
          <w:rFonts w:asciiTheme="majorHAnsi" w:hAnsiTheme="majorHAnsi" w:cstheme="majorHAnsi"/>
        </w:rPr>
        <w:t>The gaps: cloud objectives commitment (specific workloads, committed timelines), value management (CFO, COO, CISO buy-in beyond the CTO), IT strategy explicitly linking cloud to business outcomes.</w:t>
      </w:r>
    </w:p>
    <w:p w14:paraId="00000653" w14:textId="00000654" w:rsidR="000B0F63" w:rsidRPr="00A61669" w:rsidRDefault="00C05D22" w:rsidP="00E40261">
      <w:pPr>
        <w:jc w:val="both"/>
        <w:rPr>
          <w:rFonts w:asciiTheme="majorHAnsi" w:hAnsiTheme="majorHAnsi" w:cstheme="majorHAnsi"/>
        </w:rPr>
      </w:pPr>
      <w:r w:rsidRPr="00A61669">
        <w:rPr>
          <w:rFonts w:asciiTheme="majorHAnsi" w:hAnsiTheme="majorHAnsi" w:cstheme="majorHAnsi"/>
        </w:rPr>
        <w:t>The CTO is making the case across the business. The gap is translating that into a documented IT strategy with signed-off investment and capability-building plan.</w:t>
      </w:r>
    </w:p>
    <w:p w14:paraId="00000655" w14:textId="00000656" w:rsidR="000B0F63" w:rsidRPr="00A61669" w:rsidRDefault="1BAB210A" w:rsidP="00E40261">
      <w:pPr>
        <w:pStyle w:val="Heading3"/>
        <w:jc w:val="both"/>
        <w:rPr>
          <w:rFonts w:asciiTheme="majorHAnsi" w:hAnsiTheme="majorHAnsi" w:cstheme="majorHAnsi"/>
        </w:rPr>
      </w:pPr>
      <w:bookmarkStart w:id="165" w:name="_Toc187"/>
      <w:bookmarkStart w:id="166" w:name="_Toc227770970"/>
      <w:r w:rsidRPr="00A61669">
        <w:rPr>
          <w:rFonts w:asciiTheme="majorHAnsi" w:hAnsiTheme="majorHAnsi" w:cstheme="majorHAnsi"/>
        </w:rPr>
        <w:t>Governance (3.0)</w:t>
      </w:r>
      <w:bookmarkEnd w:id="165"/>
      <w:bookmarkEnd w:id="166"/>
    </w:p>
    <w:p w14:paraId="00000657" w14:textId="05AEBB41" w:rsidR="000B0F63" w:rsidRPr="00A61669" w:rsidRDefault="007415CD" w:rsidP="00E40261">
      <w:pPr>
        <w:jc w:val="both"/>
        <w:rPr>
          <w:rFonts w:asciiTheme="majorHAnsi" w:hAnsiTheme="majorHAnsi" w:cstheme="majorHAnsi"/>
        </w:rPr>
      </w:pPr>
      <w:r w:rsidRPr="00A61669">
        <w:rPr>
          <w:rFonts w:asciiTheme="majorHAnsi" w:hAnsiTheme="majorHAnsi" w:cstheme="majorHAnsi"/>
        </w:rPr>
        <w:t>DMG Media’s</w:t>
      </w:r>
      <w:r w:rsidR="00C05D22" w:rsidRPr="00A61669">
        <w:rPr>
          <w:rFonts w:asciiTheme="majorHAnsi" w:hAnsiTheme="majorHAnsi" w:cstheme="majorHAnsi"/>
        </w:rPr>
        <w:t xml:space="preserve"> strongest area. </w:t>
      </w:r>
      <w:r w:rsidRPr="00A61669">
        <w:rPr>
          <w:rFonts w:asciiTheme="majorHAnsi" w:hAnsiTheme="majorHAnsi" w:cstheme="majorHAnsi"/>
        </w:rPr>
        <w:t>DMG Media</w:t>
      </w:r>
      <w:r w:rsidR="00C05D22" w:rsidRPr="00A61669">
        <w:rPr>
          <w:rFonts w:asciiTheme="majorHAnsi" w:hAnsiTheme="majorHAnsi" w:cstheme="majorHAnsi"/>
        </w:rPr>
        <w:t xml:space="preserve"> have a reasonably maintained CMDB, documented service delivery management, and mature supplier relationships with AWS, Azure, and GCP (though the AWS relationship follows a 'cloud island' model rather than a governed landing zone). Portfolio management and application inventory practices exist. Update cadence could be tighter.</w:t>
      </w:r>
    </w:p>
    <w:p w14:paraId="00000659" w14:textId="0000065A" w:rsidR="000B0F63" w:rsidRPr="00A61669" w:rsidRDefault="1BAB210A" w:rsidP="00E40261">
      <w:pPr>
        <w:pStyle w:val="Heading3"/>
        <w:jc w:val="both"/>
        <w:rPr>
          <w:rFonts w:asciiTheme="majorHAnsi" w:hAnsiTheme="majorHAnsi" w:cstheme="majorHAnsi"/>
        </w:rPr>
      </w:pPr>
      <w:bookmarkStart w:id="167" w:name="_Toc188"/>
      <w:bookmarkStart w:id="168" w:name="_Toc227770971"/>
      <w:r w:rsidRPr="00A61669">
        <w:rPr>
          <w:rFonts w:asciiTheme="majorHAnsi" w:hAnsiTheme="majorHAnsi" w:cstheme="majorHAnsi"/>
        </w:rPr>
        <w:t>Operations (1.8)</w:t>
      </w:r>
      <w:bookmarkEnd w:id="167"/>
      <w:bookmarkEnd w:id="168"/>
    </w:p>
    <w:p w14:paraId="0000065B" w14:textId="0000065C" w:rsidR="000B0F63" w:rsidRPr="00A61669" w:rsidRDefault="00C05D22" w:rsidP="00E40261">
      <w:pPr>
        <w:jc w:val="both"/>
        <w:rPr>
          <w:rFonts w:asciiTheme="majorHAnsi" w:hAnsiTheme="majorHAnsi" w:cstheme="majorHAnsi"/>
        </w:rPr>
      </w:pPr>
      <w:r w:rsidRPr="00A61669">
        <w:rPr>
          <w:rFonts w:asciiTheme="majorHAnsi" w:hAnsiTheme="majorHAnsi" w:cstheme="majorHAnsi"/>
        </w:rPr>
        <w:t>This is where the fragmentation described in Section 3 shows up operationally:</w:t>
      </w:r>
    </w:p>
    <w:p w14:paraId="0000065D" w14:textId="0000065E" w:rsidR="000B0F63" w:rsidRPr="00A61669" w:rsidRDefault="00C05D22" w:rsidP="00F57DAB">
      <w:pPr>
        <w:pStyle w:val="ListBullet"/>
        <w:numPr>
          <w:ilvl w:val="0"/>
          <w:numId w:val="24"/>
        </w:numPr>
        <w:jc w:val="both"/>
        <w:rPr>
          <w:rFonts w:asciiTheme="majorHAnsi" w:hAnsiTheme="majorHAnsi" w:cstheme="majorHAnsi"/>
        </w:rPr>
      </w:pPr>
      <w:r w:rsidRPr="00A61669">
        <w:rPr>
          <w:rFonts w:asciiTheme="majorHAnsi" w:hAnsiTheme="majorHAnsi" w:cstheme="majorHAnsi"/>
          <w:b/>
        </w:rPr>
        <w:t>Disaster recovery planning</w:t>
      </w:r>
      <w:r w:rsidRPr="00A61669">
        <w:rPr>
          <w:rFonts w:asciiTheme="majorHAnsi" w:hAnsiTheme="majorHAnsi" w:cstheme="majorHAnsi"/>
        </w:rPr>
        <w:t>: captured in the Cloud Readiness Assessment questionnaire (ranked 1/5), where application owners noted they often cannot clearly distinguish high availability, backup, and business continuity in their DR planning.</w:t>
      </w:r>
    </w:p>
    <w:p w14:paraId="0000065F" w14:textId="00000660" w:rsidR="000B0F63" w:rsidRPr="00A61669" w:rsidRDefault="00C05D22" w:rsidP="00F57DAB">
      <w:pPr>
        <w:pStyle w:val="ListBullet"/>
        <w:numPr>
          <w:ilvl w:val="0"/>
          <w:numId w:val="24"/>
        </w:numPr>
        <w:jc w:val="both"/>
        <w:rPr>
          <w:rFonts w:asciiTheme="majorHAnsi" w:hAnsiTheme="majorHAnsi" w:cstheme="majorHAnsi"/>
        </w:rPr>
      </w:pPr>
      <w:r w:rsidRPr="00A61669">
        <w:rPr>
          <w:rFonts w:asciiTheme="majorHAnsi" w:hAnsiTheme="majorHAnsi" w:cstheme="majorHAnsi"/>
          <w:b/>
        </w:rPr>
        <w:t>Operating model</w:t>
      </w:r>
      <w:r w:rsidRPr="00A61669">
        <w:rPr>
          <w:rFonts w:asciiTheme="majorHAnsi" w:hAnsiTheme="majorHAnsi" w:cstheme="majorHAnsi"/>
        </w:rPr>
        <w:t>: multiple third parties operate across the estate (NCS for databases, outsourced SOC for security monitoring, web caching vendor support, COTS vendor dependencies). Each adds coordination overhead.</w:t>
      </w:r>
    </w:p>
    <w:p w14:paraId="00000661" w14:textId="00000662" w:rsidR="000B0F63" w:rsidRPr="00A61669" w:rsidRDefault="00C05D22" w:rsidP="00F57DAB">
      <w:pPr>
        <w:pStyle w:val="ListBullet"/>
        <w:numPr>
          <w:ilvl w:val="0"/>
          <w:numId w:val="24"/>
        </w:numPr>
        <w:jc w:val="both"/>
        <w:rPr>
          <w:rFonts w:asciiTheme="majorHAnsi" w:hAnsiTheme="majorHAnsi" w:cstheme="majorHAnsi"/>
        </w:rPr>
      </w:pPr>
      <w:r w:rsidRPr="00A61669">
        <w:rPr>
          <w:rFonts w:asciiTheme="majorHAnsi" w:hAnsiTheme="majorHAnsi" w:cstheme="majorHAnsi"/>
          <w:b/>
        </w:rPr>
        <w:t>Monitoring</w:t>
      </w:r>
      <w:r w:rsidRPr="00A61669">
        <w:rPr>
          <w:rFonts w:asciiTheme="majorHAnsi" w:hAnsiTheme="majorHAnsi" w:cstheme="majorHAnsi"/>
        </w:rPr>
        <w:t>: not consistent across brands. SolarWinds, Zabbix, application-specific tooling.</w:t>
      </w:r>
    </w:p>
    <w:p w14:paraId="00000663" w14:textId="00000664" w:rsidR="000B0F63" w:rsidRPr="00A61669" w:rsidRDefault="00C05D22" w:rsidP="00F57DAB">
      <w:pPr>
        <w:pStyle w:val="ListBullet"/>
        <w:numPr>
          <w:ilvl w:val="0"/>
          <w:numId w:val="24"/>
        </w:numPr>
        <w:jc w:val="both"/>
        <w:rPr>
          <w:rFonts w:asciiTheme="majorHAnsi" w:hAnsiTheme="majorHAnsi" w:cstheme="majorHAnsi"/>
        </w:rPr>
      </w:pPr>
      <w:r w:rsidRPr="00A61669">
        <w:rPr>
          <w:rFonts w:asciiTheme="majorHAnsi" w:hAnsiTheme="majorHAnsi" w:cstheme="majorHAnsi"/>
          <w:b/>
        </w:rPr>
        <w:t>Change management</w:t>
      </w:r>
      <w:r w:rsidRPr="00A61669">
        <w:rPr>
          <w:rFonts w:asciiTheme="majorHAnsi" w:hAnsiTheme="majorHAnsi" w:cstheme="majorHAnsi"/>
        </w:rPr>
        <w:t>: workshops and stakeholder interviews confirmed that formal change process exists but is applied inconsistently across business areas.</w:t>
      </w:r>
    </w:p>
    <w:p w14:paraId="00000665" w14:textId="00000666" w:rsidR="000B0F63" w:rsidRPr="00A61669" w:rsidRDefault="1BAB210A" w:rsidP="00E40261">
      <w:pPr>
        <w:pStyle w:val="Heading3"/>
        <w:jc w:val="both"/>
        <w:rPr>
          <w:rFonts w:asciiTheme="majorHAnsi" w:hAnsiTheme="majorHAnsi" w:cstheme="majorHAnsi"/>
        </w:rPr>
      </w:pPr>
      <w:bookmarkStart w:id="169" w:name="_Toc189"/>
      <w:bookmarkStart w:id="170" w:name="_Toc227770972"/>
      <w:r w:rsidRPr="00A61669">
        <w:rPr>
          <w:rFonts w:asciiTheme="majorHAnsi" w:hAnsiTheme="majorHAnsi" w:cstheme="majorHAnsi"/>
        </w:rPr>
        <w:t>People (1.2)</w:t>
      </w:r>
      <w:bookmarkEnd w:id="169"/>
      <w:bookmarkEnd w:id="170"/>
    </w:p>
    <w:p w14:paraId="00000667" w14:textId="00000668" w:rsidR="000B0F63" w:rsidRPr="00A61669" w:rsidRDefault="00C05D22" w:rsidP="00E40261">
      <w:pPr>
        <w:jc w:val="both"/>
        <w:rPr>
          <w:rFonts w:asciiTheme="majorHAnsi" w:hAnsiTheme="majorHAnsi" w:cstheme="majorHAnsi"/>
        </w:rPr>
      </w:pPr>
      <w:r w:rsidRPr="00A61669">
        <w:rPr>
          <w:rFonts w:asciiTheme="majorHAnsi" w:hAnsiTheme="majorHAnsi" w:cstheme="majorHAnsi"/>
        </w:rPr>
        <w:t>Lowest score. No formal cloud training plan. A Cloud Centre of Excellence has not been formed, though the infrastructure team manages cloud accounts today with boundaries and processes that need development. Roles and job descriptions have not been adapted for cloud delivery. The implication: even if infrastructure moves to cloud, the operating model for running it is not yet in place.</w:t>
      </w:r>
    </w:p>
    <w:p w14:paraId="00000669" w14:textId="5923F59B"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This is addressable but requires time and investment. Partner-assisted during transition, progressively upskilling </w:t>
      </w:r>
      <w:r w:rsidR="007415CD" w:rsidRPr="00A61669">
        <w:rPr>
          <w:rFonts w:asciiTheme="majorHAnsi" w:hAnsiTheme="majorHAnsi" w:cstheme="majorHAnsi"/>
        </w:rPr>
        <w:t>DMG Media’s</w:t>
      </w:r>
      <w:r w:rsidRPr="00A61669">
        <w:rPr>
          <w:rFonts w:asciiTheme="majorHAnsi" w:hAnsiTheme="majorHAnsi" w:cstheme="majorHAnsi"/>
        </w:rPr>
        <w:t xml:space="preserve"> own teams, is the typical path.</w:t>
      </w:r>
    </w:p>
    <w:p w14:paraId="0000066B" w14:textId="0000066C" w:rsidR="000B0F63" w:rsidRPr="00A61669" w:rsidRDefault="1BAB210A" w:rsidP="00E40261">
      <w:pPr>
        <w:pStyle w:val="Heading3"/>
        <w:jc w:val="both"/>
        <w:rPr>
          <w:rFonts w:asciiTheme="majorHAnsi" w:hAnsiTheme="majorHAnsi" w:cstheme="majorHAnsi"/>
        </w:rPr>
      </w:pPr>
      <w:bookmarkStart w:id="171" w:name="_Toc190"/>
      <w:bookmarkStart w:id="172" w:name="_Toc227770973"/>
      <w:r w:rsidRPr="00A61669">
        <w:rPr>
          <w:rFonts w:asciiTheme="majorHAnsi" w:hAnsiTheme="majorHAnsi" w:cstheme="majorHAnsi"/>
        </w:rPr>
        <w:t>Security (2.0)</w:t>
      </w:r>
      <w:bookmarkEnd w:id="171"/>
      <w:bookmarkEnd w:id="172"/>
    </w:p>
    <w:p w14:paraId="0000066D" w14:textId="0000066E" w:rsidR="000B0F63" w:rsidRPr="00A61669" w:rsidRDefault="00C05D22" w:rsidP="00E40261">
      <w:pPr>
        <w:jc w:val="both"/>
        <w:rPr>
          <w:rFonts w:asciiTheme="majorHAnsi" w:hAnsiTheme="majorHAnsi" w:cstheme="majorHAnsi"/>
        </w:rPr>
      </w:pPr>
      <w:r w:rsidRPr="00A61669">
        <w:rPr>
          <w:rFonts w:asciiTheme="majorHAnsi" w:hAnsiTheme="majorHAnsi" w:cstheme="majorHAnsi"/>
        </w:rPr>
        <w:t>The CISO is engaged in cloud decisions. Shared responsibility in cloud is not yet well understood within the teams who will operate workloads. Governance, risk, and compliance practice is early-stage. Packet inspection exists on internet-facing traffic but not internally. Privileged Access Management (PAM) tooling is not standardised.</w:t>
      </w:r>
    </w:p>
    <w:p w14:paraId="0000066F" w14:textId="61F264A8"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A focused security assessment is recommended for </w:t>
      </w:r>
      <w:r w:rsidR="00100959" w:rsidRPr="00A61669">
        <w:rPr>
          <w:rFonts w:asciiTheme="majorHAnsi" w:hAnsiTheme="majorHAnsi" w:cstheme="majorHAnsi"/>
        </w:rPr>
        <w:t>Part 2</w:t>
      </w:r>
      <w:r w:rsidRPr="00A61669">
        <w:rPr>
          <w:rFonts w:asciiTheme="majorHAnsi" w:hAnsiTheme="majorHAnsi" w:cstheme="majorHAnsi"/>
        </w:rPr>
        <w:t xml:space="preserve"> rather than inferring security posture from the current five-dimension questionnaire.</w:t>
      </w:r>
    </w:p>
    <w:p w14:paraId="0000067D" w14:textId="0000067E" w:rsidR="000B0F63" w:rsidRPr="00A61669" w:rsidRDefault="1BAB210A" w:rsidP="00E40261">
      <w:pPr>
        <w:pStyle w:val="Heading2"/>
        <w:jc w:val="both"/>
        <w:rPr>
          <w:rFonts w:asciiTheme="majorHAnsi" w:hAnsiTheme="majorHAnsi" w:cstheme="majorHAnsi"/>
        </w:rPr>
      </w:pPr>
      <w:bookmarkStart w:id="173" w:name="_Toc192"/>
      <w:bookmarkStart w:id="174" w:name="_Toc227770975"/>
      <w:r w:rsidRPr="00A61669">
        <w:rPr>
          <w:rFonts w:asciiTheme="majorHAnsi" w:hAnsiTheme="majorHAnsi" w:cstheme="majorHAnsi"/>
        </w:rPr>
        <w:t>Target State and The Gap</w:t>
      </w:r>
      <w:bookmarkEnd w:id="173"/>
      <w:bookmarkEnd w:id="174"/>
    </w:p>
    <w:tbl>
      <w:tblPr>
        <w:tblW w:w="9720" w:type="dxa"/>
        <w:tblCellMar>
          <w:top w:w="100" w:type="dxa"/>
          <w:left w:w="100" w:type="dxa"/>
          <w:bottom w:w="100" w:type="dxa"/>
          <w:right w:w="100" w:type="dxa"/>
        </w:tblCellMar>
        <w:tblLook w:val="04A0" w:firstRow="1" w:lastRow="0" w:firstColumn="1" w:lastColumn="0" w:noHBand="0" w:noVBand="1"/>
      </w:tblPr>
      <w:tblGrid>
        <w:gridCol w:w="3240"/>
        <w:gridCol w:w="3240"/>
        <w:gridCol w:w="3240"/>
      </w:tblGrid>
      <w:tr w:rsidR="00933254" w14:paraId="7FE76E1F" w14:textId="77777777" w:rsidTr="005E394B">
        <w:tc>
          <w:tcPr>
            <w:tcW w:w="3240" w:type="dxa"/>
            <w:shd w:val="clear" w:color="auto" w:fill="D9D9D9"/>
            <w:tcMar>
              <w:top w:w="100" w:type="dxa"/>
              <w:left w:w="100" w:type="dxa"/>
              <w:bottom w:w="100" w:type="dxa"/>
              <w:right w:w="100" w:type="dxa"/>
            </w:tcMar>
            <w:vAlign w:val="center"/>
          </w:tcPr>
          <w:p w14:paraId="0000067F" w14:textId="00000680" w:rsidR="000B0F63" w:rsidRPr="00A61669" w:rsidRDefault="00C05D22" w:rsidP="005E394B">
            <w:pPr>
              <w:pStyle w:val="TableHeader"/>
              <w:jc w:val="center"/>
              <w:rPr>
                <w:rFonts w:asciiTheme="majorHAnsi" w:hAnsiTheme="majorHAnsi" w:cstheme="majorHAnsi"/>
              </w:rPr>
            </w:pPr>
            <w:r w:rsidRPr="00A61669">
              <w:rPr>
                <w:rFonts w:asciiTheme="majorHAnsi" w:hAnsiTheme="majorHAnsi" w:cstheme="majorHAnsi"/>
              </w:rPr>
              <w:t>Dimension</w:t>
            </w:r>
          </w:p>
        </w:tc>
        <w:tc>
          <w:tcPr>
            <w:tcW w:w="3240" w:type="dxa"/>
            <w:shd w:val="clear" w:color="auto" w:fill="D9D9D9"/>
            <w:tcMar>
              <w:top w:w="100" w:type="dxa"/>
              <w:left w:w="100" w:type="dxa"/>
              <w:bottom w:w="100" w:type="dxa"/>
              <w:right w:w="100" w:type="dxa"/>
            </w:tcMar>
            <w:vAlign w:val="center"/>
          </w:tcPr>
          <w:p w14:paraId="00000681" w14:textId="00000682" w:rsidR="000B0F63" w:rsidRPr="00A61669" w:rsidRDefault="00C05D22" w:rsidP="005E394B">
            <w:pPr>
              <w:pStyle w:val="TableHeader"/>
              <w:jc w:val="center"/>
              <w:rPr>
                <w:rFonts w:asciiTheme="majorHAnsi" w:hAnsiTheme="majorHAnsi" w:cstheme="majorHAnsi"/>
              </w:rPr>
            </w:pPr>
            <w:r w:rsidRPr="00A61669">
              <w:rPr>
                <w:rFonts w:asciiTheme="majorHAnsi" w:hAnsiTheme="majorHAnsi" w:cstheme="majorHAnsi"/>
              </w:rPr>
              <w:t>Current</w:t>
            </w:r>
          </w:p>
        </w:tc>
        <w:tc>
          <w:tcPr>
            <w:tcW w:w="3240" w:type="dxa"/>
            <w:shd w:val="clear" w:color="auto" w:fill="D9D9D9"/>
            <w:tcMar>
              <w:top w:w="100" w:type="dxa"/>
              <w:left w:w="100" w:type="dxa"/>
              <w:bottom w:w="100" w:type="dxa"/>
              <w:right w:w="100" w:type="dxa"/>
            </w:tcMar>
            <w:vAlign w:val="center"/>
          </w:tcPr>
          <w:p w14:paraId="00000683" w14:textId="00000684" w:rsidR="000B0F63" w:rsidRPr="00A61669" w:rsidRDefault="00C05D22" w:rsidP="005E394B">
            <w:pPr>
              <w:pStyle w:val="TableHeader"/>
              <w:jc w:val="center"/>
              <w:rPr>
                <w:rFonts w:asciiTheme="majorHAnsi" w:hAnsiTheme="majorHAnsi" w:cstheme="majorHAnsi"/>
              </w:rPr>
            </w:pPr>
            <w:r w:rsidRPr="00A61669">
              <w:rPr>
                <w:rFonts w:asciiTheme="majorHAnsi" w:hAnsiTheme="majorHAnsi" w:cstheme="majorHAnsi"/>
              </w:rPr>
              <w:t>Target (12-month)</w:t>
            </w:r>
          </w:p>
        </w:tc>
      </w:tr>
      <w:tr w:rsidR="003C45B5" w14:paraId="7480255C" w14:textId="77777777" w:rsidTr="005E394B">
        <w:tc>
          <w:tcPr>
            <w:tcW w:w="3240" w:type="dxa"/>
            <w:tcMar>
              <w:top w:w="100" w:type="dxa"/>
              <w:left w:w="100" w:type="dxa"/>
              <w:bottom w:w="100" w:type="dxa"/>
              <w:right w:w="100" w:type="dxa"/>
            </w:tcMar>
            <w:vAlign w:val="center"/>
          </w:tcPr>
          <w:p w14:paraId="00000685" w14:textId="00000686" w:rsidR="000B0F63" w:rsidRPr="00A61669" w:rsidRDefault="00C05D22" w:rsidP="005E394B">
            <w:pPr>
              <w:pStyle w:val="TableInfo"/>
              <w:jc w:val="center"/>
              <w:rPr>
                <w:rFonts w:asciiTheme="majorHAnsi" w:hAnsiTheme="majorHAnsi" w:cstheme="majorHAnsi"/>
              </w:rPr>
            </w:pPr>
            <w:r w:rsidRPr="00A61669">
              <w:rPr>
                <w:rFonts w:asciiTheme="majorHAnsi" w:hAnsiTheme="majorHAnsi" w:cstheme="majorHAnsi"/>
              </w:rPr>
              <w:t>Business</w:t>
            </w:r>
          </w:p>
        </w:tc>
        <w:tc>
          <w:tcPr>
            <w:tcW w:w="3240" w:type="dxa"/>
            <w:tcMar>
              <w:top w:w="100" w:type="dxa"/>
              <w:left w:w="100" w:type="dxa"/>
              <w:bottom w:w="100" w:type="dxa"/>
              <w:right w:w="100" w:type="dxa"/>
            </w:tcMar>
            <w:vAlign w:val="center"/>
          </w:tcPr>
          <w:p w14:paraId="00000687" w14:textId="00000688" w:rsidR="000B0F63" w:rsidRPr="00A61669" w:rsidRDefault="00C05D22" w:rsidP="005E394B">
            <w:pPr>
              <w:pStyle w:val="TableInfo"/>
              <w:jc w:val="center"/>
              <w:rPr>
                <w:rFonts w:asciiTheme="majorHAnsi" w:hAnsiTheme="majorHAnsi" w:cstheme="majorHAnsi"/>
              </w:rPr>
            </w:pPr>
            <w:r w:rsidRPr="00A61669">
              <w:rPr>
                <w:rFonts w:asciiTheme="majorHAnsi" w:hAnsiTheme="majorHAnsi" w:cstheme="majorHAnsi"/>
              </w:rPr>
              <w:t>2.5</w:t>
            </w:r>
          </w:p>
        </w:tc>
        <w:tc>
          <w:tcPr>
            <w:tcW w:w="3240" w:type="dxa"/>
            <w:tcMar>
              <w:top w:w="100" w:type="dxa"/>
              <w:left w:w="100" w:type="dxa"/>
              <w:bottom w:w="100" w:type="dxa"/>
              <w:right w:w="100" w:type="dxa"/>
            </w:tcMar>
            <w:vAlign w:val="center"/>
          </w:tcPr>
          <w:p w14:paraId="00000689" w14:textId="0000068A" w:rsidR="000B0F63" w:rsidRPr="00A61669" w:rsidRDefault="00C05D22" w:rsidP="005E394B">
            <w:pPr>
              <w:pStyle w:val="TableInfo"/>
              <w:jc w:val="center"/>
              <w:rPr>
                <w:rFonts w:asciiTheme="majorHAnsi" w:hAnsiTheme="majorHAnsi" w:cstheme="majorHAnsi"/>
              </w:rPr>
            </w:pPr>
            <w:r w:rsidRPr="00A61669">
              <w:rPr>
                <w:rFonts w:asciiTheme="majorHAnsi" w:hAnsiTheme="majorHAnsi" w:cstheme="majorHAnsi"/>
              </w:rPr>
              <w:t>4.0</w:t>
            </w:r>
          </w:p>
        </w:tc>
      </w:tr>
      <w:tr w:rsidR="003C45B5" w14:paraId="5B36E0B4" w14:textId="77777777" w:rsidTr="005E394B">
        <w:tc>
          <w:tcPr>
            <w:tcW w:w="3240" w:type="dxa"/>
            <w:tcMar>
              <w:top w:w="100" w:type="dxa"/>
              <w:left w:w="100" w:type="dxa"/>
              <w:bottom w:w="100" w:type="dxa"/>
              <w:right w:w="100" w:type="dxa"/>
            </w:tcMar>
            <w:vAlign w:val="center"/>
          </w:tcPr>
          <w:p w14:paraId="0000068B" w14:textId="0000068C" w:rsidR="000B0F63" w:rsidRPr="00A61669" w:rsidRDefault="00C05D22" w:rsidP="005E394B">
            <w:pPr>
              <w:pStyle w:val="TableInfo"/>
              <w:jc w:val="center"/>
              <w:rPr>
                <w:rFonts w:asciiTheme="majorHAnsi" w:hAnsiTheme="majorHAnsi" w:cstheme="majorHAnsi"/>
              </w:rPr>
            </w:pPr>
            <w:r w:rsidRPr="00A61669">
              <w:rPr>
                <w:rFonts w:asciiTheme="majorHAnsi" w:hAnsiTheme="majorHAnsi" w:cstheme="majorHAnsi"/>
              </w:rPr>
              <w:t>Governance</w:t>
            </w:r>
          </w:p>
        </w:tc>
        <w:tc>
          <w:tcPr>
            <w:tcW w:w="3240" w:type="dxa"/>
            <w:tcMar>
              <w:top w:w="100" w:type="dxa"/>
              <w:left w:w="100" w:type="dxa"/>
              <w:bottom w:w="100" w:type="dxa"/>
              <w:right w:w="100" w:type="dxa"/>
            </w:tcMar>
            <w:vAlign w:val="center"/>
          </w:tcPr>
          <w:p w14:paraId="0000068D" w14:textId="0000068E" w:rsidR="000B0F63" w:rsidRPr="00A61669" w:rsidRDefault="00C05D22" w:rsidP="005E394B">
            <w:pPr>
              <w:pStyle w:val="TableInfo"/>
              <w:jc w:val="center"/>
              <w:rPr>
                <w:rFonts w:asciiTheme="majorHAnsi" w:hAnsiTheme="majorHAnsi" w:cstheme="majorHAnsi"/>
              </w:rPr>
            </w:pPr>
            <w:r w:rsidRPr="00A61669">
              <w:rPr>
                <w:rFonts w:asciiTheme="majorHAnsi" w:hAnsiTheme="majorHAnsi" w:cstheme="majorHAnsi"/>
              </w:rPr>
              <w:t>3.0</w:t>
            </w:r>
          </w:p>
        </w:tc>
        <w:tc>
          <w:tcPr>
            <w:tcW w:w="3240" w:type="dxa"/>
            <w:tcMar>
              <w:top w:w="100" w:type="dxa"/>
              <w:left w:w="100" w:type="dxa"/>
              <w:bottom w:w="100" w:type="dxa"/>
              <w:right w:w="100" w:type="dxa"/>
            </w:tcMar>
            <w:vAlign w:val="center"/>
          </w:tcPr>
          <w:p w14:paraId="0000068F" w14:textId="00000690" w:rsidR="000B0F63" w:rsidRPr="00A61669" w:rsidRDefault="00C05D22" w:rsidP="005E394B">
            <w:pPr>
              <w:pStyle w:val="TableInfo"/>
              <w:jc w:val="center"/>
              <w:rPr>
                <w:rFonts w:asciiTheme="majorHAnsi" w:hAnsiTheme="majorHAnsi" w:cstheme="majorHAnsi"/>
              </w:rPr>
            </w:pPr>
            <w:r w:rsidRPr="00A61669">
              <w:rPr>
                <w:rFonts w:asciiTheme="majorHAnsi" w:hAnsiTheme="majorHAnsi" w:cstheme="majorHAnsi"/>
              </w:rPr>
              <w:t>4.0</w:t>
            </w:r>
          </w:p>
        </w:tc>
      </w:tr>
      <w:tr w:rsidR="003C45B5" w14:paraId="50CD9B59" w14:textId="77777777" w:rsidTr="005E394B">
        <w:tc>
          <w:tcPr>
            <w:tcW w:w="3240" w:type="dxa"/>
            <w:tcMar>
              <w:top w:w="100" w:type="dxa"/>
              <w:left w:w="100" w:type="dxa"/>
              <w:bottom w:w="100" w:type="dxa"/>
              <w:right w:w="100" w:type="dxa"/>
            </w:tcMar>
            <w:vAlign w:val="center"/>
          </w:tcPr>
          <w:p w14:paraId="00000691" w14:textId="00000692" w:rsidR="000B0F63" w:rsidRPr="00A61669" w:rsidRDefault="00C05D22" w:rsidP="005E394B">
            <w:pPr>
              <w:pStyle w:val="TableInfo"/>
              <w:jc w:val="center"/>
              <w:rPr>
                <w:rFonts w:asciiTheme="majorHAnsi" w:hAnsiTheme="majorHAnsi" w:cstheme="majorHAnsi"/>
              </w:rPr>
            </w:pPr>
            <w:r w:rsidRPr="00A61669">
              <w:rPr>
                <w:rFonts w:asciiTheme="majorHAnsi" w:hAnsiTheme="majorHAnsi" w:cstheme="majorHAnsi"/>
              </w:rPr>
              <w:t>Operations</w:t>
            </w:r>
          </w:p>
        </w:tc>
        <w:tc>
          <w:tcPr>
            <w:tcW w:w="3240" w:type="dxa"/>
            <w:tcMar>
              <w:top w:w="100" w:type="dxa"/>
              <w:left w:w="100" w:type="dxa"/>
              <w:bottom w:w="100" w:type="dxa"/>
              <w:right w:w="100" w:type="dxa"/>
            </w:tcMar>
            <w:vAlign w:val="center"/>
          </w:tcPr>
          <w:p w14:paraId="00000693" w14:textId="00000694" w:rsidR="000B0F63" w:rsidRPr="00A61669" w:rsidRDefault="00C05D22" w:rsidP="005E394B">
            <w:pPr>
              <w:pStyle w:val="TableInfo"/>
              <w:jc w:val="center"/>
              <w:rPr>
                <w:rFonts w:asciiTheme="majorHAnsi" w:hAnsiTheme="majorHAnsi" w:cstheme="majorHAnsi"/>
              </w:rPr>
            </w:pPr>
            <w:r w:rsidRPr="00A61669">
              <w:rPr>
                <w:rFonts w:asciiTheme="majorHAnsi" w:hAnsiTheme="majorHAnsi" w:cstheme="majorHAnsi"/>
              </w:rPr>
              <w:t>1.8</w:t>
            </w:r>
          </w:p>
        </w:tc>
        <w:tc>
          <w:tcPr>
            <w:tcW w:w="3240" w:type="dxa"/>
            <w:tcMar>
              <w:top w:w="100" w:type="dxa"/>
              <w:left w:w="100" w:type="dxa"/>
              <w:bottom w:w="100" w:type="dxa"/>
              <w:right w:w="100" w:type="dxa"/>
            </w:tcMar>
            <w:vAlign w:val="center"/>
          </w:tcPr>
          <w:p w14:paraId="00000695" w14:textId="00000696" w:rsidR="000B0F63" w:rsidRPr="00A61669" w:rsidRDefault="00C05D22" w:rsidP="005E394B">
            <w:pPr>
              <w:pStyle w:val="TableInfo"/>
              <w:jc w:val="center"/>
              <w:rPr>
                <w:rFonts w:asciiTheme="majorHAnsi" w:hAnsiTheme="majorHAnsi" w:cstheme="majorHAnsi"/>
              </w:rPr>
            </w:pPr>
            <w:r w:rsidRPr="00A61669">
              <w:rPr>
                <w:rFonts w:asciiTheme="majorHAnsi" w:hAnsiTheme="majorHAnsi" w:cstheme="majorHAnsi"/>
              </w:rPr>
              <w:t>3.0</w:t>
            </w:r>
          </w:p>
        </w:tc>
      </w:tr>
      <w:tr w:rsidR="003C45B5" w14:paraId="59393D71" w14:textId="77777777" w:rsidTr="005E394B">
        <w:tc>
          <w:tcPr>
            <w:tcW w:w="3240" w:type="dxa"/>
            <w:tcMar>
              <w:top w:w="100" w:type="dxa"/>
              <w:left w:w="100" w:type="dxa"/>
              <w:bottom w:w="100" w:type="dxa"/>
              <w:right w:w="100" w:type="dxa"/>
            </w:tcMar>
            <w:vAlign w:val="center"/>
          </w:tcPr>
          <w:p w14:paraId="00000697" w14:textId="00000698" w:rsidR="000B0F63" w:rsidRPr="00A61669" w:rsidRDefault="00C05D22" w:rsidP="005E394B">
            <w:pPr>
              <w:pStyle w:val="TableInfo"/>
              <w:jc w:val="center"/>
              <w:rPr>
                <w:rFonts w:asciiTheme="majorHAnsi" w:hAnsiTheme="majorHAnsi" w:cstheme="majorHAnsi"/>
              </w:rPr>
            </w:pPr>
            <w:r w:rsidRPr="00A61669">
              <w:rPr>
                <w:rFonts w:asciiTheme="majorHAnsi" w:hAnsiTheme="majorHAnsi" w:cstheme="majorHAnsi"/>
              </w:rPr>
              <w:t>People</w:t>
            </w:r>
          </w:p>
        </w:tc>
        <w:tc>
          <w:tcPr>
            <w:tcW w:w="3240" w:type="dxa"/>
            <w:tcMar>
              <w:top w:w="100" w:type="dxa"/>
              <w:left w:w="100" w:type="dxa"/>
              <w:bottom w:w="100" w:type="dxa"/>
              <w:right w:w="100" w:type="dxa"/>
            </w:tcMar>
            <w:vAlign w:val="center"/>
          </w:tcPr>
          <w:p w14:paraId="00000699" w14:textId="0000069A" w:rsidR="000B0F63" w:rsidRPr="00A61669" w:rsidRDefault="00C05D22" w:rsidP="005E394B">
            <w:pPr>
              <w:pStyle w:val="TableInfo"/>
              <w:jc w:val="center"/>
              <w:rPr>
                <w:rFonts w:asciiTheme="majorHAnsi" w:hAnsiTheme="majorHAnsi" w:cstheme="majorHAnsi"/>
              </w:rPr>
            </w:pPr>
            <w:r w:rsidRPr="00A61669">
              <w:rPr>
                <w:rFonts w:asciiTheme="majorHAnsi" w:hAnsiTheme="majorHAnsi" w:cstheme="majorHAnsi"/>
              </w:rPr>
              <w:t>1.2</w:t>
            </w:r>
          </w:p>
        </w:tc>
        <w:tc>
          <w:tcPr>
            <w:tcW w:w="3240" w:type="dxa"/>
            <w:tcMar>
              <w:top w:w="100" w:type="dxa"/>
              <w:left w:w="100" w:type="dxa"/>
              <w:bottom w:w="100" w:type="dxa"/>
              <w:right w:w="100" w:type="dxa"/>
            </w:tcMar>
            <w:vAlign w:val="center"/>
          </w:tcPr>
          <w:p w14:paraId="0000069B" w14:textId="0000069C" w:rsidR="000B0F63" w:rsidRPr="00A61669" w:rsidRDefault="00C05D22" w:rsidP="005E394B">
            <w:pPr>
              <w:pStyle w:val="TableInfo"/>
              <w:jc w:val="center"/>
              <w:rPr>
                <w:rFonts w:asciiTheme="majorHAnsi" w:hAnsiTheme="majorHAnsi" w:cstheme="majorHAnsi"/>
              </w:rPr>
            </w:pPr>
            <w:r w:rsidRPr="00A61669">
              <w:rPr>
                <w:rFonts w:asciiTheme="majorHAnsi" w:hAnsiTheme="majorHAnsi" w:cstheme="majorHAnsi"/>
              </w:rPr>
              <w:t>3.0</w:t>
            </w:r>
          </w:p>
        </w:tc>
      </w:tr>
      <w:tr w:rsidR="003C45B5" w14:paraId="1F9119C9" w14:textId="77777777" w:rsidTr="005E394B">
        <w:tc>
          <w:tcPr>
            <w:tcW w:w="3240" w:type="dxa"/>
            <w:tcMar>
              <w:top w:w="100" w:type="dxa"/>
              <w:left w:w="100" w:type="dxa"/>
              <w:bottom w:w="100" w:type="dxa"/>
              <w:right w:w="100" w:type="dxa"/>
            </w:tcMar>
            <w:vAlign w:val="center"/>
          </w:tcPr>
          <w:p w14:paraId="0000069D" w14:textId="0000069E" w:rsidR="000B0F63" w:rsidRPr="00A61669" w:rsidRDefault="00C05D22" w:rsidP="005E394B">
            <w:pPr>
              <w:pStyle w:val="TableInfo"/>
              <w:jc w:val="center"/>
              <w:rPr>
                <w:rFonts w:asciiTheme="majorHAnsi" w:hAnsiTheme="majorHAnsi" w:cstheme="majorHAnsi"/>
              </w:rPr>
            </w:pPr>
            <w:r w:rsidRPr="00A61669">
              <w:rPr>
                <w:rFonts w:asciiTheme="majorHAnsi" w:hAnsiTheme="majorHAnsi" w:cstheme="majorHAnsi"/>
              </w:rPr>
              <w:t>Security</w:t>
            </w:r>
          </w:p>
        </w:tc>
        <w:tc>
          <w:tcPr>
            <w:tcW w:w="3240" w:type="dxa"/>
            <w:tcMar>
              <w:top w:w="100" w:type="dxa"/>
              <w:left w:w="100" w:type="dxa"/>
              <w:bottom w:w="100" w:type="dxa"/>
              <w:right w:w="100" w:type="dxa"/>
            </w:tcMar>
            <w:vAlign w:val="center"/>
          </w:tcPr>
          <w:p w14:paraId="0000069F" w14:textId="000006A0" w:rsidR="000B0F63" w:rsidRPr="00A61669" w:rsidRDefault="00C05D22" w:rsidP="005E394B">
            <w:pPr>
              <w:pStyle w:val="TableInfo"/>
              <w:jc w:val="center"/>
              <w:rPr>
                <w:rFonts w:asciiTheme="majorHAnsi" w:hAnsiTheme="majorHAnsi" w:cstheme="majorHAnsi"/>
              </w:rPr>
            </w:pPr>
            <w:r w:rsidRPr="00A61669">
              <w:rPr>
                <w:rFonts w:asciiTheme="majorHAnsi" w:hAnsiTheme="majorHAnsi" w:cstheme="majorHAnsi"/>
              </w:rPr>
              <w:t>2.0</w:t>
            </w:r>
          </w:p>
        </w:tc>
        <w:tc>
          <w:tcPr>
            <w:tcW w:w="3240" w:type="dxa"/>
            <w:tcMar>
              <w:top w:w="100" w:type="dxa"/>
              <w:left w:w="100" w:type="dxa"/>
              <w:bottom w:w="100" w:type="dxa"/>
              <w:right w:w="100" w:type="dxa"/>
            </w:tcMar>
            <w:vAlign w:val="center"/>
          </w:tcPr>
          <w:p w14:paraId="000006A1" w14:textId="000006A2" w:rsidR="000B0F63" w:rsidRPr="00A61669" w:rsidRDefault="00C05D22" w:rsidP="005E394B">
            <w:pPr>
              <w:pStyle w:val="TableInfo"/>
              <w:jc w:val="center"/>
              <w:rPr>
                <w:rFonts w:asciiTheme="majorHAnsi" w:hAnsiTheme="majorHAnsi" w:cstheme="majorHAnsi"/>
              </w:rPr>
            </w:pPr>
            <w:r w:rsidRPr="00A61669">
              <w:rPr>
                <w:rFonts w:asciiTheme="majorHAnsi" w:hAnsiTheme="majorHAnsi" w:cstheme="majorHAnsi"/>
              </w:rPr>
              <w:t>4.0</w:t>
            </w:r>
          </w:p>
        </w:tc>
      </w:tr>
    </w:tbl>
    <w:p w14:paraId="000006A3" w14:textId="2F4B711C"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Current state average is approximately 2.1. Target average approximately 3.6. The gap is what </w:t>
      </w:r>
      <w:r w:rsidR="00100959" w:rsidRPr="00A61669">
        <w:rPr>
          <w:rFonts w:asciiTheme="majorHAnsi" w:hAnsiTheme="majorHAnsi" w:cstheme="majorHAnsi"/>
        </w:rPr>
        <w:t>Part 2</w:t>
      </w:r>
      <w:r w:rsidRPr="00A61669">
        <w:rPr>
          <w:rFonts w:asciiTheme="majorHAnsi" w:hAnsiTheme="majorHAnsi" w:cstheme="majorHAnsi"/>
        </w:rPr>
        <w:t xml:space="preserve"> and the early programme phases address.</w:t>
      </w:r>
    </w:p>
    <w:p w14:paraId="000006A5" w14:textId="000006A6" w:rsidR="000B0F63" w:rsidRPr="00A61669" w:rsidRDefault="1BAB210A" w:rsidP="00E40261">
      <w:pPr>
        <w:pStyle w:val="Heading2"/>
        <w:jc w:val="both"/>
        <w:rPr>
          <w:rFonts w:asciiTheme="majorHAnsi" w:hAnsiTheme="majorHAnsi" w:cstheme="majorHAnsi"/>
        </w:rPr>
      </w:pPr>
      <w:bookmarkStart w:id="175" w:name="_Toc193"/>
      <w:bookmarkStart w:id="176" w:name="_Toc227770976"/>
      <w:r w:rsidRPr="00A61669">
        <w:rPr>
          <w:rFonts w:asciiTheme="majorHAnsi" w:hAnsiTheme="majorHAnsi" w:cstheme="majorHAnsi"/>
        </w:rPr>
        <w:t>Practical Readiness Issues</w:t>
      </w:r>
      <w:bookmarkEnd w:id="175"/>
      <w:bookmarkEnd w:id="176"/>
    </w:p>
    <w:p w14:paraId="000006A7" w14:textId="000006A8" w:rsidR="000B0F63" w:rsidRPr="00A61669" w:rsidRDefault="00C05D22" w:rsidP="00F57DAB">
      <w:pPr>
        <w:pStyle w:val="ListBullet"/>
        <w:numPr>
          <w:ilvl w:val="0"/>
          <w:numId w:val="25"/>
        </w:numPr>
        <w:jc w:val="both"/>
        <w:rPr>
          <w:rFonts w:asciiTheme="majorHAnsi" w:hAnsiTheme="majorHAnsi" w:cstheme="majorHAnsi"/>
        </w:rPr>
      </w:pPr>
      <w:r w:rsidRPr="00A61669">
        <w:rPr>
          <w:rFonts w:asciiTheme="majorHAnsi" w:hAnsiTheme="majorHAnsi" w:cstheme="majorHAnsi"/>
          <w:b/>
        </w:rPr>
        <w:t>Legacy operating systems</w:t>
      </w:r>
      <w:r w:rsidRPr="00A61669">
        <w:rPr>
          <w:rFonts w:asciiTheme="majorHAnsi" w:hAnsiTheme="majorHAnsi" w:cstheme="majorHAnsi"/>
        </w:rPr>
        <w:t>: approximately 1,960 servers (roughly two-thirds of the in-scope estate) run OS versions past standard end-of-life.</w:t>
      </w:r>
    </w:p>
    <w:p w14:paraId="000006A9" w14:textId="000006AA" w:rsidR="000B0F63" w:rsidRPr="00A61669" w:rsidRDefault="00C05D22" w:rsidP="00F57DAB">
      <w:pPr>
        <w:pStyle w:val="ListBullet"/>
        <w:numPr>
          <w:ilvl w:val="0"/>
          <w:numId w:val="25"/>
        </w:numPr>
        <w:jc w:val="both"/>
        <w:rPr>
          <w:rFonts w:asciiTheme="majorHAnsi" w:hAnsiTheme="majorHAnsi" w:cstheme="majorHAnsi"/>
        </w:rPr>
      </w:pPr>
      <w:r w:rsidRPr="00A61669">
        <w:rPr>
          <w:rFonts w:asciiTheme="majorHAnsi" w:hAnsiTheme="majorHAnsi" w:cstheme="majorHAnsi"/>
          <w:b/>
        </w:rPr>
        <w:t>Servers without VMware Tools</w:t>
      </w:r>
      <w:r w:rsidRPr="00A61669">
        <w:rPr>
          <w:rFonts w:asciiTheme="majorHAnsi" w:hAnsiTheme="majorHAnsi" w:cstheme="majorHAnsi"/>
        </w:rPr>
        <w:t>: 1,227 servers without guest-level data collection.</w:t>
      </w:r>
    </w:p>
    <w:p w14:paraId="000006AB" w14:textId="000006AC" w:rsidR="000B0F63" w:rsidRPr="00A61669" w:rsidRDefault="00C05D22" w:rsidP="00F57DAB">
      <w:pPr>
        <w:pStyle w:val="ListBullet"/>
        <w:numPr>
          <w:ilvl w:val="0"/>
          <w:numId w:val="25"/>
        </w:numPr>
        <w:jc w:val="both"/>
        <w:rPr>
          <w:rFonts w:asciiTheme="majorHAnsi" w:hAnsiTheme="majorHAnsi" w:cstheme="majorHAnsi"/>
        </w:rPr>
      </w:pPr>
      <w:r w:rsidRPr="00A61669">
        <w:rPr>
          <w:rFonts w:asciiTheme="majorHAnsi" w:hAnsiTheme="majorHAnsi" w:cstheme="majorHAnsi"/>
          <w:b/>
        </w:rPr>
        <w:t>Dual-zone naming convention</w:t>
      </w:r>
      <w:r w:rsidRPr="00A61669">
        <w:rPr>
          <w:rFonts w:asciiTheme="majorHAnsi" w:hAnsiTheme="majorHAnsi" w:cstheme="majorHAnsi"/>
        </w:rPr>
        <w:t>: .int and .hsk domains creating DNS planning complexity.</w:t>
      </w:r>
    </w:p>
    <w:p w14:paraId="000006AD" w14:textId="000006AE" w:rsidR="000B0F63" w:rsidRPr="00A61669" w:rsidRDefault="00C05D22" w:rsidP="00F57DAB">
      <w:pPr>
        <w:pStyle w:val="ListBullet"/>
        <w:numPr>
          <w:ilvl w:val="0"/>
          <w:numId w:val="25"/>
        </w:numPr>
        <w:jc w:val="both"/>
        <w:rPr>
          <w:rFonts w:asciiTheme="majorHAnsi" w:hAnsiTheme="majorHAnsi" w:cstheme="majorHAnsi"/>
        </w:rPr>
      </w:pPr>
      <w:r w:rsidRPr="00A61669">
        <w:rPr>
          <w:rFonts w:asciiTheme="majorHAnsi" w:hAnsiTheme="majorHAnsi" w:cstheme="majorHAnsi"/>
          <w:b/>
        </w:rPr>
        <w:t>Standardised access</w:t>
      </w:r>
      <w:r w:rsidRPr="00A61669">
        <w:rPr>
          <w:rFonts w:asciiTheme="majorHAnsi" w:hAnsiTheme="majorHAnsi" w:cstheme="majorHAnsi"/>
        </w:rPr>
        <w:t>: different credential stores and access patterns per business area.</w:t>
      </w:r>
    </w:p>
    <w:p w14:paraId="000006AF" w14:textId="000006B0" w:rsidR="000B0F63" w:rsidRPr="00A61669" w:rsidRDefault="1BAB210A" w:rsidP="00E40261">
      <w:pPr>
        <w:pStyle w:val="Heading2"/>
        <w:jc w:val="both"/>
        <w:rPr>
          <w:rFonts w:asciiTheme="majorHAnsi" w:hAnsiTheme="majorHAnsi" w:cstheme="majorHAnsi"/>
        </w:rPr>
      </w:pPr>
      <w:bookmarkStart w:id="177" w:name="_Toc194"/>
      <w:bookmarkStart w:id="178" w:name="_Toc227770977"/>
      <w:r w:rsidRPr="00A61669">
        <w:rPr>
          <w:rFonts w:asciiTheme="majorHAnsi" w:hAnsiTheme="majorHAnsi" w:cstheme="majorHAnsi"/>
        </w:rPr>
        <w:t>Risks Specific To Migration</w:t>
      </w:r>
      <w:bookmarkEnd w:id="177"/>
      <w:bookmarkEnd w:id="178"/>
    </w:p>
    <w:p w14:paraId="000006B1" w14:textId="0DF464F0" w:rsidR="000B0F63" w:rsidRPr="00A61669" w:rsidRDefault="00C05D22" w:rsidP="00F57DAB">
      <w:pPr>
        <w:pStyle w:val="ListBullet"/>
        <w:numPr>
          <w:ilvl w:val="0"/>
          <w:numId w:val="26"/>
        </w:numPr>
        <w:jc w:val="both"/>
        <w:rPr>
          <w:rFonts w:asciiTheme="majorHAnsi" w:hAnsiTheme="majorHAnsi" w:cstheme="majorHAnsi"/>
        </w:rPr>
      </w:pPr>
      <w:r w:rsidRPr="00A61669">
        <w:rPr>
          <w:rFonts w:asciiTheme="majorHAnsi" w:hAnsiTheme="majorHAnsi" w:cstheme="majorHAnsi"/>
          <w:b/>
        </w:rPr>
        <w:t>Oracle knowledge dependency</w:t>
      </w:r>
      <w:r w:rsidRPr="00A61669">
        <w:rPr>
          <w:rFonts w:asciiTheme="majorHAnsi" w:hAnsiTheme="majorHAnsi" w:cstheme="majorHAnsi"/>
        </w:rPr>
        <w:t xml:space="preserve">: </w:t>
      </w:r>
      <w:r w:rsidR="00490323" w:rsidRPr="00A61669">
        <w:rPr>
          <w:rFonts w:asciiTheme="majorHAnsi" w:hAnsiTheme="majorHAnsi" w:cstheme="majorHAnsi"/>
        </w:rPr>
        <w:t>Mail Online</w:t>
      </w:r>
      <w:r w:rsidRPr="00A61669">
        <w:rPr>
          <w:rFonts w:asciiTheme="majorHAnsi" w:hAnsiTheme="majorHAnsi" w:cstheme="majorHAnsi"/>
        </w:rPr>
        <w:t xml:space="preserve"> Oracle database team owns significant operational knowledge. Any migration path requires their active engagement. Key-person risk applies.</w:t>
      </w:r>
    </w:p>
    <w:p w14:paraId="000006B3" w14:textId="000006B4" w:rsidR="000B0F63" w:rsidRPr="00A61669" w:rsidRDefault="00C05D22" w:rsidP="00F57DAB">
      <w:pPr>
        <w:pStyle w:val="ListBullet"/>
        <w:numPr>
          <w:ilvl w:val="0"/>
          <w:numId w:val="26"/>
        </w:numPr>
        <w:jc w:val="both"/>
        <w:rPr>
          <w:rFonts w:asciiTheme="majorHAnsi" w:hAnsiTheme="majorHAnsi" w:cstheme="majorHAnsi"/>
        </w:rPr>
      </w:pPr>
      <w:r w:rsidRPr="00A61669">
        <w:rPr>
          <w:rFonts w:asciiTheme="majorHAnsi" w:hAnsiTheme="majorHAnsi" w:cstheme="majorHAnsi"/>
          <w:b/>
        </w:rPr>
        <w:t>Third-party dependencies</w:t>
      </w:r>
      <w:r w:rsidRPr="00A61669">
        <w:rPr>
          <w:rFonts w:asciiTheme="majorHAnsi" w:hAnsiTheme="majorHAnsi" w:cstheme="majorHAnsi"/>
        </w:rPr>
        <w:t>: NCS manages SQL Server and Oracle for CHP, Atex, and Circnet. Migration coordination with NCS is a governance item that affects timeline.</w:t>
      </w:r>
    </w:p>
    <w:p w14:paraId="000006B5" w14:textId="33E63002" w:rsidR="000B0F63" w:rsidRPr="00A61669" w:rsidRDefault="00C05D22" w:rsidP="00F57DAB">
      <w:pPr>
        <w:pStyle w:val="ListBullet"/>
        <w:numPr>
          <w:ilvl w:val="0"/>
          <w:numId w:val="26"/>
        </w:numPr>
        <w:jc w:val="both"/>
        <w:rPr>
          <w:rFonts w:asciiTheme="majorHAnsi" w:hAnsiTheme="majorHAnsi" w:cstheme="majorHAnsi"/>
        </w:rPr>
      </w:pPr>
      <w:r w:rsidRPr="00A61669">
        <w:rPr>
          <w:rFonts w:asciiTheme="majorHAnsi" w:hAnsiTheme="majorHAnsi" w:cstheme="majorHAnsi"/>
          <w:b/>
        </w:rPr>
        <w:t>Application ownership across executives</w:t>
      </w:r>
      <w:r w:rsidRPr="00A61669">
        <w:rPr>
          <w:rFonts w:asciiTheme="majorHAnsi" w:hAnsiTheme="majorHAnsi" w:cstheme="majorHAnsi"/>
        </w:rPr>
        <w:t xml:space="preserve">: </w:t>
      </w:r>
      <w:r w:rsidR="00490323" w:rsidRPr="00A61669">
        <w:rPr>
          <w:rFonts w:asciiTheme="majorHAnsi" w:hAnsiTheme="majorHAnsi" w:cstheme="majorHAnsi"/>
        </w:rPr>
        <w:t>Mail Online</w:t>
      </w:r>
      <w:r w:rsidRPr="00A61669">
        <w:rPr>
          <w:rFonts w:asciiTheme="majorHAnsi" w:hAnsiTheme="majorHAnsi" w:cstheme="majorHAnsi"/>
        </w:rPr>
        <w:t xml:space="preserve"> migration decisions span two executive domains (see Section 7).</w:t>
      </w:r>
    </w:p>
    <w:p w14:paraId="000006B7" w14:textId="000006B8" w:rsidR="000B0F63" w:rsidRPr="00A61669" w:rsidRDefault="00C05D22" w:rsidP="00F57DAB">
      <w:pPr>
        <w:pStyle w:val="ListBullet"/>
        <w:numPr>
          <w:ilvl w:val="0"/>
          <w:numId w:val="26"/>
        </w:numPr>
        <w:jc w:val="both"/>
        <w:rPr>
          <w:rFonts w:asciiTheme="majorHAnsi" w:hAnsiTheme="majorHAnsi" w:cstheme="majorHAnsi"/>
        </w:rPr>
      </w:pPr>
      <w:r w:rsidRPr="00A61669">
        <w:rPr>
          <w:rFonts w:asciiTheme="majorHAnsi" w:hAnsiTheme="majorHAnsi" w:cstheme="majorHAnsi"/>
          <w:b/>
        </w:rPr>
        <w:t>Operating model during transition</w:t>
      </w:r>
      <w:r w:rsidRPr="00A61669">
        <w:rPr>
          <w:rFonts w:asciiTheme="majorHAnsi" w:hAnsiTheme="majorHAnsi" w:cstheme="majorHAnsi"/>
        </w:rPr>
        <w:t>: the seven-area operating model will continue running alongside the new cloud landing zone during migration.</w:t>
      </w:r>
    </w:p>
    <w:p w14:paraId="000006B9" w14:textId="000006BA" w:rsidR="000B0F63" w:rsidRPr="00A61669" w:rsidRDefault="00C05D22" w:rsidP="00F57DAB">
      <w:pPr>
        <w:pStyle w:val="ListParagraph"/>
        <w:numPr>
          <w:ilvl w:val="0"/>
          <w:numId w:val="26"/>
        </w:numPr>
        <w:jc w:val="both"/>
        <w:rPr>
          <w:rFonts w:asciiTheme="majorHAnsi" w:hAnsiTheme="majorHAnsi" w:cstheme="majorHAnsi"/>
        </w:rPr>
      </w:pPr>
      <w:r w:rsidRPr="00A61669">
        <w:rPr>
          <w:rFonts w:asciiTheme="majorHAnsi" w:hAnsiTheme="majorHAnsi" w:cstheme="majorHAnsi"/>
        </w:rPr>
        <w:br w:type="page"/>
      </w:r>
    </w:p>
    <w:p w14:paraId="000006BB" w14:textId="000006BC" w:rsidR="000B0F63" w:rsidRPr="00A61669" w:rsidRDefault="1BAB210A" w:rsidP="00E40261">
      <w:pPr>
        <w:pStyle w:val="Heading1"/>
        <w:jc w:val="both"/>
        <w:rPr>
          <w:rFonts w:asciiTheme="majorHAnsi" w:hAnsiTheme="majorHAnsi" w:cstheme="majorHAnsi"/>
        </w:rPr>
      </w:pPr>
      <w:bookmarkStart w:id="179" w:name="_Toc195"/>
      <w:bookmarkStart w:id="180" w:name="_Toc227770978"/>
      <w:bookmarkStart w:id="181" w:name="_Toc228549361"/>
      <w:r w:rsidRPr="00A61669">
        <w:rPr>
          <w:rFonts w:asciiTheme="majorHAnsi" w:hAnsiTheme="majorHAnsi" w:cstheme="majorHAnsi"/>
        </w:rPr>
        <w:t>Section 9: Challenges</w:t>
      </w:r>
      <w:bookmarkEnd w:id="179"/>
      <w:bookmarkEnd w:id="180"/>
      <w:bookmarkEnd w:id="181"/>
    </w:p>
    <w:p w14:paraId="000006BD" w14:textId="000006BE" w:rsidR="000B0F63" w:rsidRPr="00A61669" w:rsidRDefault="1BAB210A" w:rsidP="00E40261">
      <w:pPr>
        <w:pStyle w:val="Heading2"/>
        <w:jc w:val="both"/>
        <w:rPr>
          <w:rFonts w:asciiTheme="majorHAnsi" w:hAnsiTheme="majorHAnsi" w:cstheme="majorHAnsi"/>
        </w:rPr>
      </w:pPr>
      <w:bookmarkStart w:id="182" w:name="_Toc196"/>
      <w:bookmarkStart w:id="183" w:name="_Toc227770979"/>
      <w:r w:rsidRPr="00A61669">
        <w:rPr>
          <w:rFonts w:asciiTheme="majorHAnsi" w:hAnsiTheme="majorHAnsi" w:cstheme="majorHAnsi"/>
        </w:rPr>
        <w:t>What This Section Does</w:t>
      </w:r>
      <w:bookmarkEnd w:id="182"/>
      <w:bookmarkEnd w:id="183"/>
    </w:p>
    <w:p w14:paraId="000006BF" w14:textId="1E598C5D"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Each challenge below is what </w:t>
      </w:r>
      <w:r w:rsidR="00E436A1" w:rsidRPr="00A61669">
        <w:rPr>
          <w:rFonts w:asciiTheme="majorHAnsi" w:hAnsiTheme="majorHAnsi" w:cstheme="majorHAnsi"/>
        </w:rPr>
        <w:t xml:space="preserve">Rackspace </w:t>
      </w:r>
      <w:r w:rsidRPr="00A61669">
        <w:rPr>
          <w:rFonts w:asciiTheme="majorHAnsi" w:hAnsiTheme="majorHAnsi" w:cstheme="majorHAnsi"/>
        </w:rPr>
        <w:t xml:space="preserve">found during discovery and workshops. Each item says what it is, why it matters for DMG Media, and what to do about it. Where </w:t>
      </w:r>
      <w:r w:rsidR="00E436A1" w:rsidRPr="00A61669">
        <w:rPr>
          <w:rFonts w:asciiTheme="majorHAnsi" w:hAnsiTheme="majorHAnsi" w:cstheme="majorHAnsi"/>
        </w:rPr>
        <w:t>t</w:t>
      </w:r>
      <w:r w:rsidRPr="00A61669">
        <w:rPr>
          <w:rFonts w:asciiTheme="majorHAnsi" w:hAnsiTheme="majorHAnsi" w:cstheme="majorHAnsi"/>
        </w:rPr>
        <w:t>he scale or effort</w:t>
      </w:r>
      <w:r w:rsidR="00E436A1" w:rsidRPr="00A61669">
        <w:rPr>
          <w:rFonts w:asciiTheme="majorHAnsi" w:hAnsiTheme="majorHAnsi" w:cstheme="majorHAnsi"/>
        </w:rPr>
        <w:t xml:space="preserve"> can be quantified</w:t>
      </w:r>
      <w:r w:rsidRPr="00A61669">
        <w:rPr>
          <w:rFonts w:asciiTheme="majorHAnsi" w:hAnsiTheme="majorHAnsi" w:cstheme="majorHAnsi"/>
        </w:rPr>
        <w:t xml:space="preserve">, </w:t>
      </w:r>
      <w:r w:rsidR="00E436A1" w:rsidRPr="00A61669">
        <w:rPr>
          <w:rFonts w:asciiTheme="majorHAnsi" w:hAnsiTheme="majorHAnsi" w:cstheme="majorHAnsi"/>
        </w:rPr>
        <w:t>it is</w:t>
      </w:r>
      <w:r w:rsidRPr="00A61669">
        <w:rPr>
          <w:rFonts w:asciiTheme="majorHAnsi" w:hAnsiTheme="majorHAnsi" w:cstheme="majorHAnsi"/>
        </w:rPr>
        <w:t>. Where</w:t>
      </w:r>
      <w:r w:rsidR="00E436A1" w:rsidRPr="00A61669">
        <w:rPr>
          <w:rFonts w:asciiTheme="majorHAnsi" w:hAnsiTheme="majorHAnsi" w:cstheme="majorHAnsi"/>
        </w:rPr>
        <w:t xml:space="preserve"> it</w:t>
      </w:r>
      <w:r w:rsidRPr="00A61669">
        <w:rPr>
          <w:rFonts w:asciiTheme="majorHAnsi" w:hAnsiTheme="majorHAnsi" w:cstheme="majorHAnsi"/>
        </w:rPr>
        <w:t xml:space="preserve"> cannot</w:t>
      </w:r>
      <w:r w:rsidR="00E436A1" w:rsidRPr="00A61669">
        <w:rPr>
          <w:rFonts w:asciiTheme="majorHAnsi" w:hAnsiTheme="majorHAnsi" w:cstheme="majorHAnsi"/>
        </w:rPr>
        <w:t xml:space="preserve"> be</w:t>
      </w:r>
      <w:r w:rsidRPr="00A61669">
        <w:rPr>
          <w:rFonts w:asciiTheme="majorHAnsi" w:hAnsiTheme="majorHAnsi" w:cstheme="majorHAnsi"/>
        </w:rPr>
        <w:t xml:space="preserve">, </w:t>
      </w:r>
      <w:r w:rsidR="00E436A1" w:rsidRPr="00A61669">
        <w:rPr>
          <w:rFonts w:asciiTheme="majorHAnsi" w:hAnsiTheme="majorHAnsi" w:cstheme="majorHAnsi"/>
        </w:rPr>
        <w:t xml:space="preserve">it is flagged </w:t>
      </w:r>
      <w:r w:rsidRPr="00A61669">
        <w:rPr>
          <w:rFonts w:asciiTheme="majorHAnsi" w:hAnsiTheme="majorHAnsi" w:cstheme="majorHAnsi"/>
        </w:rPr>
        <w:t>honestly.</w:t>
      </w:r>
    </w:p>
    <w:p w14:paraId="000006C1" w14:textId="000006C2" w:rsidR="000B0F63" w:rsidRPr="00A61669" w:rsidRDefault="1BAB210A" w:rsidP="00E40261">
      <w:pPr>
        <w:pStyle w:val="Heading2"/>
        <w:jc w:val="both"/>
        <w:rPr>
          <w:rFonts w:asciiTheme="majorHAnsi" w:hAnsiTheme="majorHAnsi" w:cstheme="majorHAnsi"/>
        </w:rPr>
      </w:pPr>
      <w:bookmarkStart w:id="184" w:name="_Toc197"/>
      <w:bookmarkStart w:id="185" w:name="_Toc227770980"/>
      <w:r w:rsidRPr="00A61669">
        <w:rPr>
          <w:rFonts w:asciiTheme="majorHAnsi" w:hAnsiTheme="majorHAnsi" w:cstheme="majorHAnsi"/>
        </w:rPr>
        <w:t>Estate Complexity</w:t>
      </w:r>
      <w:bookmarkEnd w:id="184"/>
      <w:bookmarkEnd w:id="185"/>
    </w:p>
    <w:p w14:paraId="000006C3" w14:textId="629F5705"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What </w:t>
      </w:r>
      <w:r w:rsidR="00E436A1" w:rsidRPr="00A61669">
        <w:rPr>
          <w:rFonts w:asciiTheme="majorHAnsi" w:hAnsiTheme="majorHAnsi" w:cstheme="majorHAnsi"/>
          <w:b/>
        </w:rPr>
        <w:t xml:space="preserve">was </w:t>
      </w:r>
      <w:r w:rsidRPr="00A61669">
        <w:rPr>
          <w:rFonts w:asciiTheme="majorHAnsi" w:hAnsiTheme="majorHAnsi" w:cstheme="majorHAnsi"/>
          <w:b/>
        </w:rPr>
        <w:t xml:space="preserve">found: </w:t>
      </w:r>
      <w:r w:rsidRPr="00A61669">
        <w:rPr>
          <w:rFonts w:asciiTheme="majorHAnsi" w:hAnsiTheme="majorHAnsi" w:cstheme="majorHAnsi"/>
        </w:rPr>
        <w:t xml:space="preserve">the estate is more varied than the SoW scoped. The SoW assumed 2,300 servers across VMware. Actual discovery found 4,500+ servers across five infrastructure types (VMware, Proxmox, physical bare metal, appliance, cloud). </w:t>
      </w:r>
      <w:r w:rsidR="0088745F" w:rsidRPr="00A61669">
        <w:rPr>
          <w:rFonts w:asciiTheme="majorHAnsi" w:hAnsiTheme="majorHAnsi" w:cstheme="majorHAnsi"/>
        </w:rPr>
        <w:t>Mail Online</w:t>
      </w:r>
      <w:r w:rsidRPr="00A61669">
        <w:rPr>
          <w:rFonts w:asciiTheme="majorHAnsi" w:hAnsiTheme="majorHAnsi" w:cstheme="majorHAnsi"/>
        </w:rPr>
        <w:t xml:space="preserve"> alone has </w:t>
      </w:r>
      <w:r w:rsidR="001E29C3" w:rsidRPr="00A61669">
        <w:rPr>
          <w:rFonts w:asciiTheme="majorHAnsi" w:hAnsiTheme="majorHAnsi" w:cstheme="majorHAnsi"/>
        </w:rPr>
        <w:t xml:space="preserve">91 </w:t>
      </w:r>
      <w:r w:rsidRPr="00A61669">
        <w:rPr>
          <w:rFonts w:asciiTheme="majorHAnsi" w:hAnsiTheme="majorHAnsi" w:cstheme="majorHAnsi"/>
        </w:rPr>
        <w:t xml:space="preserve"> interdependent sub-services. Oracle RAC clusters span multiple physical nodes. Atex uses multicast for cluster discovery, a protocol that cloud virtual networks do not natively support. Database management is split between </w:t>
      </w:r>
      <w:r w:rsidR="007415CD" w:rsidRPr="00A61669">
        <w:rPr>
          <w:rFonts w:asciiTheme="majorHAnsi" w:hAnsiTheme="majorHAnsi" w:cstheme="majorHAnsi"/>
        </w:rPr>
        <w:t>DMG Media’s</w:t>
      </w:r>
      <w:r w:rsidRPr="00A61669">
        <w:rPr>
          <w:rFonts w:asciiTheme="majorHAnsi" w:hAnsiTheme="majorHAnsi" w:cstheme="majorHAnsi"/>
        </w:rPr>
        <w:t xml:space="preserve"> internal team (</w:t>
      </w:r>
      <w:r w:rsidR="00490323" w:rsidRPr="00A61669">
        <w:rPr>
          <w:rFonts w:asciiTheme="majorHAnsi" w:hAnsiTheme="majorHAnsi" w:cstheme="majorHAnsi"/>
        </w:rPr>
        <w:t>Mail Online</w:t>
      </w:r>
      <w:r w:rsidRPr="00A61669">
        <w:rPr>
          <w:rFonts w:asciiTheme="majorHAnsi" w:hAnsiTheme="majorHAnsi" w:cstheme="majorHAnsi"/>
        </w:rPr>
        <w:t xml:space="preserve"> Oracle) and a third-party provider (NCS for CHP, Atex, Circnet, SQL Server). </w:t>
      </w:r>
      <w:r w:rsidR="0088745F" w:rsidRPr="00A61669">
        <w:rPr>
          <w:rFonts w:asciiTheme="majorHAnsi" w:hAnsiTheme="majorHAnsi" w:cstheme="majorHAnsi"/>
        </w:rPr>
        <w:t>Mail Online</w:t>
      </w:r>
      <w:r w:rsidRPr="00A61669">
        <w:rPr>
          <w:rFonts w:asciiTheme="majorHAnsi" w:hAnsiTheme="majorHAnsi" w:cstheme="majorHAnsi"/>
        </w:rPr>
        <w:t>'s dual executive ownership is covered in Section 7.</w:t>
      </w:r>
    </w:p>
    <w:p w14:paraId="000006C5" w14:textId="7219C08F"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Why it matters: </w:t>
      </w:r>
      <w:r w:rsidRPr="00A61669">
        <w:rPr>
          <w:rFonts w:asciiTheme="majorHAnsi" w:hAnsiTheme="majorHAnsi" w:cstheme="majorHAnsi"/>
        </w:rPr>
        <w:t xml:space="preserve">complexity affects timeline, cost, and risk. Each infrastructure type needs a different discovery, assessment, and migration approach. The dual-ownership flagged for </w:t>
      </w:r>
      <w:r w:rsidR="00490323" w:rsidRPr="00A61669">
        <w:rPr>
          <w:rFonts w:asciiTheme="majorHAnsi" w:hAnsiTheme="majorHAnsi" w:cstheme="majorHAnsi"/>
        </w:rPr>
        <w:t>Mail Online</w:t>
      </w:r>
      <w:r w:rsidRPr="00A61669">
        <w:rPr>
          <w:rFonts w:asciiTheme="majorHAnsi" w:hAnsiTheme="majorHAnsi" w:cstheme="majorHAnsi"/>
        </w:rPr>
        <w:t xml:space="preserve"> (Section 7) </w:t>
      </w:r>
      <w:r w:rsidR="00564C76" w:rsidRPr="00A61669">
        <w:rPr>
          <w:rFonts w:asciiTheme="majorHAnsi" w:hAnsiTheme="majorHAnsi" w:cstheme="majorHAnsi"/>
        </w:rPr>
        <w:t>must</w:t>
      </w:r>
      <w:r w:rsidRPr="00A61669">
        <w:rPr>
          <w:rFonts w:asciiTheme="majorHAnsi" w:hAnsiTheme="majorHAnsi" w:cstheme="majorHAnsi"/>
        </w:rPr>
        <w:t xml:space="preserve"> be reflected in programme governance from day one, not resolved mid-programme.</w:t>
      </w:r>
    </w:p>
    <w:p w14:paraId="000006C7" w14:textId="19C0F002"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What to do about it: </w:t>
      </w:r>
      <w:r w:rsidR="00100959" w:rsidRPr="00A61669">
        <w:rPr>
          <w:rFonts w:asciiTheme="majorHAnsi" w:hAnsiTheme="majorHAnsi" w:cstheme="majorHAnsi"/>
        </w:rPr>
        <w:t>Part 2</w:t>
      </w:r>
      <w:r w:rsidRPr="00A61669">
        <w:rPr>
          <w:rFonts w:asciiTheme="majorHAnsi" w:hAnsiTheme="majorHAnsi" w:cstheme="majorHAnsi"/>
        </w:rPr>
        <w:t xml:space="preserve"> </w:t>
      </w:r>
      <w:r w:rsidR="00564C76" w:rsidRPr="00A61669">
        <w:rPr>
          <w:rFonts w:asciiTheme="majorHAnsi" w:hAnsiTheme="majorHAnsi" w:cstheme="majorHAnsi"/>
        </w:rPr>
        <w:t>must</w:t>
      </w:r>
      <w:r w:rsidRPr="00A61669">
        <w:rPr>
          <w:rFonts w:asciiTheme="majorHAnsi" w:hAnsiTheme="majorHAnsi" w:cstheme="majorHAnsi"/>
        </w:rPr>
        <w:t xml:space="preserve"> be multi-workstream, not a single sequential plan. The dependency map across applications, data, and business ownership is the input to the release plan.</w:t>
      </w:r>
    </w:p>
    <w:p w14:paraId="000006C9" w14:textId="000006CA" w:rsidR="000B0F63" w:rsidRPr="00A61669" w:rsidRDefault="1BAB210A" w:rsidP="00E40261">
      <w:pPr>
        <w:pStyle w:val="Heading2"/>
        <w:jc w:val="both"/>
        <w:rPr>
          <w:rFonts w:asciiTheme="majorHAnsi" w:hAnsiTheme="majorHAnsi" w:cstheme="majorHAnsi"/>
        </w:rPr>
      </w:pPr>
      <w:bookmarkStart w:id="186" w:name="_Toc198"/>
      <w:bookmarkStart w:id="187" w:name="_Toc227770981"/>
      <w:r w:rsidRPr="00A61669">
        <w:rPr>
          <w:rFonts w:asciiTheme="majorHAnsi" w:hAnsiTheme="majorHAnsi" w:cstheme="majorHAnsi"/>
        </w:rPr>
        <w:t>Legacy Operating Systems</w:t>
      </w:r>
      <w:bookmarkEnd w:id="186"/>
      <w:bookmarkEnd w:id="187"/>
    </w:p>
    <w:p w14:paraId="000006CB" w14:textId="6522A220"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What </w:t>
      </w:r>
      <w:r w:rsidR="00E436A1" w:rsidRPr="00A61669">
        <w:rPr>
          <w:rFonts w:asciiTheme="majorHAnsi" w:hAnsiTheme="majorHAnsi" w:cstheme="majorHAnsi"/>
          <w:b/>
        </w:rPr>
        <w:t>was</w:t>
      </w:r>
      <w:r w:rsidRPr="00A61669">
        <w:rPr>
          <w:rFonts w:asciiTheme="majorHAnsi" w:hAnsiTheme="majorHAnsi" w:cstheme="majorHAnsi"/>
          <w:b/>
        </w:rPr>
        <w:t xml:space="preserve"> found: </w:t>
      </w:r>
      <w:r w:rsidRPr="00A61669">
        <w:rPr>
          <w:rFonts w:asciiTheme="majorHAnsi" w:hAnsiTheme="majorHAnsi" w:cstheme="majorHAnsi"/>
        </w:rPr>
        <w:t>approximately 1,960 servers (</w:t>
      </w:r>
      <w:r w:rsidR="00DA3354" w:rsidRPr="00A61669">
        <w:rPr>
          <w:rFonts w:asciiTheme="majorHAnsi" w:hAnsiTheme="majorHAnsi" w:cstheme="majorHAnsi"/>
        </w:rPr>
        <w:t>nearly</w:t>
      </w:r>
      <w:r w:rsidRPr="00A61669">
        <w:rPr>
          <w:rFonts w:asciiTheme="majorHAnsi" w:hAnsiTheme="majorHAnsi" w:cstheme="majorHAnsi"/>
        </w:rPr>
        <w:t xml:space="preserve"> two-thirds of the in-scope estate) run operating system versions past their standard end-of-life dates. The largest groups are Ubuntu 14.04 (~1,120 servers, EOL 2019), Ubuntu 16.04 (~604, EOL 2021), and Ubuntu 18.04 (~75, EOL April 2023). Smaller groups include RHEL 6 (~140, EOL 2020), RHEL 5 (~8), and Solaris 10 (15). The Ubuntu versions may be receiving security patches via Ubuntu Pro / Extended Security Maintenance (the </w:t>
      </w:r>
      <w:r w:rsidR="00312BB7" w:rsidRPr="00A61669">
        <w:rPr>
          <w:rFonts w:asciiTheme="majorHAnsi" w:hAnsiTheme="majorHAnsi" w:cstheme="majorHAnsi"/>
        </w:rPr>
        <w:t>£</w:t>
      </w:r>
      <w:r w:rsidRPr="00A61669">
        <w:rPr>
          <w:rFonts w:asciiTheme="majorHAnsi" w:hAnsiTheme="majorHAnsi" w:cstheme="majorHAnsi"/>
        </w:rPr>
        <w:t>20K</w:t>
      </w:r>
      <w:r w:rsidR="001120CD" w:rsidRPr="00A61669">
        <w:rPr>
          <w:rFonts w:asciiTheme="majorHAnsi" w:hAnsiTheme="majorHAnsi" w:cstheme="majorHAnsi"/>
        </w:rPr>
        <w:t xml:space="preserve"> per year</w:t>
      </w:r>
      <w:r w:rsidRPr="00A61669">
        <w:rPr>
          <w:rFonts w:asciiTheme="majorHAnsi" w:hAnsiTheme="majorHAnsi" w:cstheme="majorHAnsi"/>
        </w:rPr>
        <w:t xml:space="preserve"> Ubuntu patching line in IT Costs may cover this). Most of the Ubuntu legacy sits inside </w:t>
      </w:r>
      <w:r w:rsidR="0088745F" w:rsidRPr="00A61669">
        <w:rPr>
          <w:rFonts w:asciiTheme="majorHAnsi" w:hAnsiTheme="majorHAnsi" w:cstheme="majorHAnsi"/>
        </w:rPr>
        <w:t>Mail Online</w:t>
      </w:r>
      <w:r w:rsidRPr="00A61669">
        <w:rPr>
          <w:rFonts w:asciiTheme="majorHAnsi" w:hAnsiTheme="majorHAnsi" w:cstheme="majorHAnsi"/>
        </w:rPr>
        <w:t xml:space="preserve"> given its Ubuntu base. Solaris is called out separately below.</w:t>
      </w:r>
    </w:p>
    <w:p w14:paraId="000006CD" w14:textId="6236420B"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Why it matters: </w:t>
      </w:r>
      <w:r w:rsidRPr="00A61669">
        <w:rPr>
          <w:rFonts w:asciiTheme="majorHAnsi" w:hAnsiTheme="majorHAnsi" w:cstheme="majorHAnsi"/>
        </w:rPr>
        <w:t xml:space="preserve">legacy OS servers cannot be lifted directly to cloud. They </w:t>
      </w:r>
      <w:r w:rsidR="00A21455" w:rsidRPr="00A61669">
        <w:rPr>
          <w:rFonts w:asciiTheme="majorHAnsi" w:hAnsiTheme="majorHAnsi" w:cstheme="majorHAnsi"/>
        </w:rPr>
        <w:t>must</w:t>
      </w:r>
      <w:r w:rsidRPr="00A61669">
        <w:rPr>
          <w:rFonts w:asciiTheme="majorHAnsi" w:hAnsiTheme="majorHAnsi" w:cstheme="majorHAnsi"/>
        </w:rPr>
        <w:t xml:space="preserve"> be re</w:t>
      </w:r>
      <w:r w:rsidR="15AAAAA9" w:rsidRPr="00A61669">
        <w:rPr>
          <w:rFonts w:asciiTheme="majorHAnsi" w:hAnsiTheme="majorHAnsi" w:cstheme="majorHAnsi"/>
        </w:rPr>
        <w:t>-</w:t>
      </w:r>
      <w:r w:rsidRPr="00A61669">
        <w:rPr>
          <w:rFonts w:asciiTheme="majorHAnsi" w:hAnsiTheme="majorHAnsi" w:cstheme="majorHAnsi"/>
        </w:rPr>
        <w:t xml:space="preserve">platformed to a supported version first. This is a per-server activity, not a batch operation, and adds to the migration timeline and effort. At </w:t>
      </w:r>
      <w:r w:rsidR="74B1E6CC" w:rsidRPr="00A61669">
        <w:rPr>
          <w:rFonts w:asciiTheme="majorHAnsi" w:hAnsiTheme="majorHAnsi" w:cstheme="majorHAnsi"/>
        </w:rPr>
        <w:t>nearly</w:t>
      </w:r>
      <w:r w:rsidRPr="00A61669">
        <w:rPr>
          <w:rFonts w:asciiTheme="majorHAnsi" w:hAnsiTheme="majorHAnsi" w:cstheme="majorHAnsi"/>
        </w:rPr>
        <w:t xml:space="preserve"> two-thirds of the in-scope estate, this is a material scope item for </w:t>
      </w:r>
      <w:r w:rsidR="00100959" w:rsidRPr="00A61669">
        <w:rPr>
          <w:rFonts w:asciiTheme="majorHAnsi" w:hAnsiTheme="majorHAnsi" w:cstheme="majorHAnsi"/>
        </w:rPr>
        <w:t>Part 2</w:t>
      </w:r>
      <w:r w:rsidRPr="00A61669">
        <w:rPr>
          <w:rFonts w:asciiTheme="majorHAnsi" w:hAnsiTheme="majorHAnsi" w:cstheme="majorHAnsi"/>
        </w:rPr>
        <w:t xml:space="preserve"> sequencing.</w:t>
      </w:r>
    </w:p>
    <w:p w14:paraId="000006CF" w14:textId="22997EB1"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What to do about it: </w:t>
      </w:r>
      <w:r w:rsidR="00100959" w:rsidRPr="00A61669">
        <w:rPr>
          <w:rFonts w:asciiTheme="majorHAnsi" w:hAnsiTheme="majorHAnsi" w:cstheme="majorHAnsi"/>
        </w:rPr>
        <w:t>Part 2</w:t>
      </w:r>
      <w:r w:rsidRPr="00A61669">
        <w:rPr>
          <w:rFonts w:asciiTheme="majorHAnsi" w:hAnsiTheme="majorHAnsi" w:cstheme="majorHAnsi"/>
        </w:rPr>
        <w:t xml:space="preserve"> quantifies the exact per-application impact and the indicative effort per server. Replatforming happens during migration or as a pre-migration activity, depending on the cohort. Ubuntu Pro / ESM status should be confirmed formally as part of the </w:t>
      </w:r>
      <w:r w:rsidR="00100959" w:rsidRPr="00A61669">
        <w:rPr>
          <w:rFonts w:asciiTheme="majorHAnsi" w:hAnsiTheme="majorHAnsi" w:cstheme="majorHAnsi"/>
        </w:rPr>
        <w:t>Part 2</w:t>
      </w:r>
      <w:r w:rsidRPr="00A61669">
        <w:rPr>
          <w:rFonts w:asciiTheme="majorHAnsi" w:hAnsiTheme="majorHAnsi" w:cstheme="majorHAnsi"/>
        </w:rPr>
        <w:t xml:space="preserve"> intake.</w:t>
      </w:r>
    </w:p>
    <w:p w14:paraId="000006D1" w14:textId="000006D2" w:rsidR="000B0F63" w:rsidRPr="00A61669" w:rsidRDefault="1BAB210A" w:rsidP="00E40261">
      <w:pPr>
        <w:pStyle w:val="Heading2"/>
        <w:jc w:val="both"/>
        <w:rPr>
          <w:rFonts w:asciiTheme="majorHAnsi" w:hAnsiTheme="majorHAnsi" w:cstheme="majorHAnsi"/>
        </w:rPr>
      </w:pPr>
      <w:bookmarkStart w:id="188" w:name="_Toc199"/>
      <w:bookmarkStart w:id="189" w:name="_Toc227770982"/>
      <w:r w:rsidRPr="00A61669">
        <w:rPr>
          <w:rFonts w:asciiTheme="majorHAnsi" w:hAnsiTheme="majorHAnsi" w:cstheme="majorHAnsi"/>
        </w:rPr>
        <w:t>Standardised Access</w:t>
      </w:r>
      <w:bookmarkEnd w:id="188"/>
      <w:bookmarkEnd w:id="189"/>
    </w:p>
    <w:p w14:paraId="000006D3" w14:textId="394F7D53" w:rsidR="000B0F63" w:rsidRPr="00A61669" w:rsidRDefault="00E436A1" w:rsidP="00E40261">
      <w:pPr>
        <w:jc w:val="both"/>
        <w:rPr>
          <w:rFonts w:asciiTheme="majorHAnsi" w:hAnsiTheme="majorHAnsi" w:cstheme="majorHAnsi"/>
        </w:rPr>
      </w:pPr>
      <w:r w:rsidRPr="00A61669">
        <w:rPr>
          <w:rFonts w:asciiTheme="majorHAnsi" w:hAnsiTheme="majorHAnsi" w:cstheme="majorHAnsi"/>
          <w:b/>
        </w:rPr>
        <w:t>What was found</w:t>
      </w:r>
      <w:r w:rsidR="00C05D22" w:rsidRPr="00A61669">
        <w:rPr>
          <w:rFonts w:asciiTheme="majorHAnsi" w:hAnsiTheme="majorHAnsi" w:cstheme="majorHAnsi"/>
          <w:b/>
        </w:rPr>
        <w:t xml:space="preserve">: </w:t>
      </w:r>
      <w:r w:rsidR="00C05D22" w:rsidRPr="00A61669">
        <w:rPr>
          <w:rFonts w:asciiTheme="majorHAnsi" w:hAnsiTheme="majorHAnsi" w:cstheme="majorHAnsi"/>
        </w:rPr>
        <w:t>different credential stores, different access patterns per business area. During discovery, WMI was blocked on the ANL Windows estate, so collection ran through VMware Tools guest operations via vCenter. The initial run used a domain admin account, which caused VGAuth (VMware Tools' guest authentication) to round-trip to the domain controller every minute per VM, producing CPU spikes on target VMs. Switching to a locally-provisioned admin account on each VM removed the DC round-trip and stabilised collection.</w:t>
      </w:r>
    </w:p>
    <w:p w14:paraId="000006D5" w14:textId="000006D6"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Why it matters: </w:t>
      </w:r>
      <w:r w:rsidRPr="00A61669">
        <w:rPr>
          <w:rFonts w:asciiTheme="majorHAnsi" w:hAnsiTheme="majorHAnsi" w:cstheme="majorHAnsi"/>
        </w:rPr>
        <w:t>cloud access control depends on federated identity and privileged access management. Multiple credential stores means multiple places to federate from, multiple places where access drift can occur, and higher audit overhead.</w:t>
      </w:r>
    </w:p>
    <w:p w14:paraId="000006D7" w14:textId="000006D8"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What to do about it: </w:t>
      </w:r>
      <w:r w:rsidRPr="00A61669">
        <w:rPr>
          <w:rFonts w:asciiTheme="majorHAnsi" w:hAnsiTheme="majorHAnsi" w:cstheme="majorHAnsi"/>
        </w:rPr>
        <w:t>PAM tooling (CyberArk or equivalent) evaluation and landing zone IAM design are early programme activities. Consistent administrator access patterns should be a landing zone decision, not a per-application decision.</w:t>
      </w:r>
    </w:p>
    <w:p w14:paraId="000006D9" w14:textId="000006DA" w:rsidR="000B0F63" w:rsidRPr="00A61669" w:rsidRDefault="1BAB210A" w:rsidP="00E40261">
      <w:pPr>
        <w:pStyle w:val="Heading2"/>
        <w:jc w:val="both"/>
        <w:rPr>
          <w:rFonts w:asciiTheme="majorHAnsi" w:hAnsiTheme="majorHAnsi" w:cstheme="majorHAnsi"/>
        </w:rPr>
      </w:pPr>
      <w:bookmarkStart w:id="190" w:name="_Toc200"/>
      <w:bookmarkStart w:id="191" w:name="_Toc227770983"/>
      <w:r w:rsidRPr="00A61669">
        <w:rPr>
          <w:rFonts w:asciiTheme="majorHAnsi" w:hAnsiTheme="majorHAnsi" w:cstheme="majorHAnsi"/>
        </w:rPr>
        <w:t>VMware Tools Coverage</w:t>
      </w:r>
      <w:bookmarkEnd w:id="190"/>
      <w:bookmarkEnd w:id="191"/>
    </w:p>
    <w:p w14:paraId="000006DB" w14:textId="22EDEE59" w:rsidR="000B0F63" w:rsidRPr="00A61669" w:rsidRDefault="00E436A1" w:rsidP="00E40261">
      <w:pPr>
        <w:jc w:val="both"/>
        <w:rPr>
          <w:rFonts w:asciiTheme="majorHAnsi" w:hAnsiTheme="majorHAnsi" w:cstheme="majorHAnsi"/>
        </w:rPr>
      </w:pPr>
      <w:r w:rsidRPr="00A61669">
        <w:rPr>
          <w:rFonts w:asciiTheme="majorHAnsi" w:hAnsiTheme="majorHAnsi" w:cstheme="majorHAnsi"/>
          <w:b/>
        </w:rPr>
        <w:t>What was found</w:t>
      </w:r>
      <w:r w:rsidR="00C05D22" w:rsidRPr="00A61669">
        <w:rPr>
          <w:rFonts w:asciiTheme="majorHAnsi" w:hAnsiTheme="majorHAnsi" w:cstheme="majorHAnsi"/>
          <w:b/>
        </w:rPr>
        <w:t xml:space="preserve">: </w:t>
      </w:r>
      <w:r w:rsidR="00C05D22" w:rsidRPr="00A61669">
        <w:rPr>
          <w:rFonts w:asciiTheme="majorHAnsi" w:hAnsiTheme="majorHAnsi" w:cstheme="majorHAnsi"/>
        </w:rPr>
        <w:t>1,227 of 3,038 servers do not have VMware Tools installed or have outdated versions. Guest-level performance and dependency data is unavailable for these servers.</w:t>
      </w:r>
    </w:p>
    <w:p w14:paraId="000006DD" w14:textId="000006DE"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Why it matters: </w:t>
      </w:r>
      <w:r w:rsidRPr="00A61669">
        <w:rPr>
          <w:rFonts w:asciiTheme="majorHAnsi" w:hAnsiTheme="majorHAnsi" w:cstheme="majorHAnsi"/>
        </w:rPr>
        <w:t>sizing and dependency mapping rely on guest-level data. Where it is missing, pricing uses provisioned specifications (slightly conservative for VMs, accurate for bare metal) and dependency maps cannot see out-bound connections.</w:t>
      </w:r>
    </w:p>
    <w:p w14:paraId="000006DF" w14:textId="1802A055" w:rsidR="000B0F63" w:rsidRPr="00A61669" w:rsidRDefault="00C05D22" w:rsidP="00E40261">
      <w:pPr>
        <w:jc w:val="both"/>
        <w:rPr>
          <w:rFonts w:asciiTheme="majorHAnsi" w:hAnsiTheme="majorHAnsi" w:cstheme="majorHAnsi"/>
        </w:rPr>
      </w:pPr>
      <w:r w:rsidRPr="00A61669">
        <w:rPr>
          <w:rFonts w:asciiTheme="majorHAnsi" w:hAnsiTheme="majorHAnsi" w:cstheme="majorHAnsi"/>
          <w:b/>
          <w:bCs/>
        </w:rPr>
        <w:t xml:space="preserve">What to do about it: </w:t>
      </w:r>
      <w:r w:rsidR="0064543D" w:rsidRPr="00A61669">
        <w:rPr>
          <w:rFonts w:asciiTheme="majorHAnsi" w:hAnsiTheme="majorHAnsi" w:cstheme="majorHAnsi"/>
        </w:rPr>
        <w:t xml:space="preserve">Detailed remediation plan required for the out of support / incompatible operating systems, during part 2 of the Cloud Readiness Assessment. </w:t>
      </w:r>
    </w:p>
    <w:p w14:paraId="000006E1" w14:textId="000006E2" w:rsidR="000B0F63" w:rsidRPr="00A61669" w:rsidRDefault="1BAB210A" w:rsidP="00E40261">
      <w:pPr>
        <w:pStyle w:val="Heading2"/>
        <w:jc w:val="both"/>
        <w:rPr>
          <w:rFonts w:asciiTheme="majorHAnsi" w:hAnsiTheme="majorHAnsi" w:cstheme="majorHAnsi"/>
        </w:rPr>
      </w:pPr>
      <w:bookmarkStart w:id="192" w:name="_Toc201"/>
      <w:bookmarkStart w:id="193" w:name="_Toc227770984"/>
      <w:r w:rsidRPr="00A61669">
        <w:rPr>
          <w:rFonts w:asciiTheme="majorHAnsi" w:hAnsiTheme="majorHAnsi" w:cstheme="majorHAnsi"/>
        </w:rPr>
        <w:t>Skills Gap</w:t>
      </w:r>
      <w:bookmarkEnd w:id="192"/>
      <w:bookmarkEnd w:id="193"/>
    </w:p>
    <w:p w14:paraId="000006E3" w14:textId="2AD4702B" w:rsidR="000B0F63" w:rsidRPr="00A61669" w:rsidRDefault="00E436A1" w:rsidP="00E40261">
      <w:pPr>
        <w:jc w:val="both"/>
        <w:rPr>
          <w:rFonts w:asciiTheme="majorHAnsi" w:hAnsiTheme="majorHAnsi" w:cstheme="majorHAnsi"/>
        </w:rPr>
      </w:pPr>
      <w:r w:rsidRPr="00A61669">
        <w:rPr>
          <w:rFonts w:asciiTheme="majorHAnsi" w:hAnsiTheme="majorHAnsi" w:cstheme="majorHAnsi"/>
          <w:b/>
        </w:rPr>
        <w:t>What was found</w:t>
      </w:r>
      <w:r w:rsidR="00C05D22" w:rsidRPr="00A61669">
        <w:rPr>
          <w:rFonts w:asciiTheme="majorHAnsi" w:hAnsiTheme="majorHAnsi" w:cstheme="majorHAnsi"/>
          <w:b/>
        </w:rPr>
        <w:t xml:space="preserve">: </w:t>
      </w:r>
      <w:r w:rsidR="00C05D22" w:rsidRPr="00A61669">
        <w:rPr>
          <w:rFonts w:asciiTheme="majorHAnsi" w:hAnsiTheme="majorHAnsi" w:cstheme="majorHAnsi"/>
        </w:rPr>
        <w:t xml:space="preserve">the cloud-specific capabilities that </w:t>
      </w:r>
      <w:r w:rsidR="00100959" w:rsidRPr="00A61669">
        <w:rPr>
          <w:rFonts w:asciiTheme="majorHAnsi" w:hAnsiTheme="majorHAnsi" w:cstheme="majorHAnsi"/>
        </w:rPr>
        <w:t>Part 2</w:t>
      </w:r>
      <w:r w:rsidR="00C05D22" w:rsidRPr="00A61669">
        <w:rPr>
          <w:rFonts w:asciiTheme="majorHAnsi" w:hAnsiTheme="majorHAnsi" w:cstheme="majorHAnsi"/>
        </w:rPr>
        <w:t xml:space="preserve"> and migration execution require are at an early stage across the 170-person technology organisation. Specifically: cloud platform engineering (landing zone, IAM, networking), Infrastructure-as-Code (Terraform or cloud-native equivalent), container orchestration at production scale (a Kubernetes PoC exists; production operation is not yet established), cloud security (cloud-native firewalling, identity federation, secrets management), FinOps, and DevOps automation. These sit alongside deep existing expertise in VMware, Oracle, F5, and editorial engineering that the programme will continue to depend on.</w:t>
      </w:r>
    </w:p>
    <w:p w14:paraId="000006E5" w14:textId="000006E6"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Why it matters: </w:t>
      </w:r>
      <w:r w:rsidRPr="00A61669">
        <w:rPr>
          <w:rFonts w:asciiTheme="majorHAnsi" w:hAnsiTheme="majorHAnsi" w:cstheme="majorHAnsi"/>
        </w:rPr>
        <w:t>each of these capabilities is needed during migration, not after it. The programme cannot begin landing zone build, cohort migration, or cloud security without them.</w:t>
      </w:r>
    </w:p>
    <w:p w14:paraId="000006E7" w14:textId="5146A303"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What to do about it: </w:t>
      </w:r>
      <w:r w:rsidRPr="00A61669">
        <w:rPr>
          <w:rFonts w:asciiTheme="majorHAnsi" w:hAnsiTheme="majorHAnsi" w:cstheme="majorHAnsi"/>
        </w:rPr>
        <w:t xml:space="preserve">the practical path is partner-assisted transition with concurrent upskilling. Migrate and train at the same time. External capability carries the specialist load from the start of </w:t>
      </w:r>
      <w:r w:rsidR="00100959" w:rsidRPr="00A61669">
        <w:rPr>
          <w:rFonts w:asciiTheme="majorHAnsi" w:hAnsiTheme="majorHAnsi" w:cstheme="majorHAnsi"/>
        </w:rPr>
        <w:t>Part 2</w:t>
      </w:r>
      <w:r w:rsidRPr="00A61669">
        <w:rPr>
          <w:rFonts w:asciiTheme="majorHAnsi" w:hAnsiTheme="majorHAnsi" w:cstheme="majorHAnsi"/>
        </w:rPr>
        <w:t>; DMG Media's internal team works alongside that capability cohort by cohort, absorbing the practice during delivery. The end state is DMG Media-led operation with internal cloud capability built in-flight.</w:t>
      </w:r>
    </w:p>
    <w:p w14:paraId="000006E9" w14:textId="000006EA" w:rsidR="000B0F63" w:rsidRPr="00A61669" w:rsidRDefault="1BAB210A" w:rsidP="00E40261">
      <w:pPr>
        <w:pStyle w:val="Heading2"/>
        <w:jc w:val="both"/>
        <w:rPr>
          <w:rFonts w:asciiTheme="majorHAnsi" w:hAnsiTheme="majorHAnsi" w:cstheme="majorHAnsi"/>
        </w:rPr>
      </w:pPr>
      <w:bookmarkStart w:id="194" w:name="_Toc202"/>
      <w:bookmarkStart w:id="195" w:name="_Toc227770985"/>
      <w:r w:rsidRPr="00A61669">
        <w:rPr>
          <w:rFonts w:asciiTheme="majorHAnsi" w:hAnsiTheme="majorHAnsi" w:cstheme="majorHAnsi"/>
        </w:rPr>
        <w:t>Naming Conventions</w:t>
      </w:r>
      <w:bookmarkEnd w:id="194"/>
      <w:bookmarkEnd w:id="195"/>
    </w:p>
    <w:p w14:paraId="000006EB" w14:textId="33D1AD1E" w:rsidR="000B0F63" w:rsidRPr="00A61669" w:rsidRDefault="00E436A1" w:rsidP="00E40261">
      <w:pPr>
        <w:jc w:val="both"/>
        <w:rPr>
          <w:rFonts w:asciiTheme="majorHAnsi" w:hAnsiTheme="majorHAnsi" w:cstheme="majorHAnsi"/>
        </w:rPr>
      </w:pPr>
      <w:r w:rsidRPr="00A61669">
        <w:rPr>
          <w:rFonts w:asciiTheme="majorHAnsi" w:hAnsiTheme="majorHAnsi" w:cstheme="majorHAnsi"/>
          <w:b/>
        </w:rPr>
        <w:t>What was found</w:t>
      </w:r>
      <w:r w:rsidR="00C05D22" w:rsidRPr="00A61669">
        <w:rPr>
          <w:rFonts w:asciiTheme="majorHAnsi" w:hAnsiTheme="majorHAnsi" w:cstheme="majorHAnsi"/>
          <w:b/>
        </w:rPr>
        <w:t xml:space="preserve">: </w:t>
      </w:r>
      <w:r w:rsidR="00C05D22" w:rsidRPr="00A61669">
        <w:rPr>
          <w:rFonts w:asciiTheme="majorHAnsi" w:hAnsiTheme="majorHAnsi" w:cstheme="majorHAnsi"/>
        </w:rPr>
        <w:t>servers use both .int and .hsk domain suffixes, with the same physical server registered under both zones.</w:t>
      </w:r>
    </w:p>
    <w:p w14:paraId="000006ED" w14:textId="000006EE"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Why it matters: </w:t>
      </w:r>
      <w:r w:rsidRPr="00A61669">
        <w:rPr>
          <w:rFonts w:asciiTheme="majorHAnsi" w:hAnsiTheme="majorHAnsi" w:cstheme="majorHAnsi"/>
        </w:rPr>
        <w:t>cloud DNS supports custom private zones with arbitrary suffixes, so the dual-zone pattern itself works in cloud without modification. The complexity is in migration coordination: inventory reconciliation, discovery filtering, external systems that hardcode one suffix, and hybrid-state DNS resolution.</w:t>
      </w:r>
    </w:p>
    <w:p w14:paraId="000006EF" w14:textId="7A9EA433"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What to do about it: </w:t>
      </w:r>
      <w:r w:rsidRPr="00A61669">
        <w:rPr>
          <w:rFonts w:asciiTheme="majorHAnsi" w:hAnsiTheme="majorHAnsi" w:cstheme="majorHAnsi"/>
        </w:rPr>
        <w:t xml:space="preserve">DNS strategy is a landing zone design decision for </w:t>
      </w:r>
      <w:r w:rsidR="00100959" w:rsidRPr="00A61669">
        <w:rPr>
          <w:rFonts w:asciiTheme="majorHAnsi" w:hAnsiTheme="majorHAnsi" w:cstheme="majorHAnsi"/>
        </w:rPr>
        <w:t>Part 2</w:t>
      </w:r>
      <w:r w:rsidRPr="00A61669">
        <w:rPr>
          <w:rFonts w:asciiTheme="majorHAnsi" w:hAnsiTheme="majorHAnsi" w:cstheme="majorHAnsi"/>
        </w:rPr>
        <w:t>. The choice is whether to preserve the dual-zone pattern in cloud (extra records, lowest change to dependencies) or collapse to a single canonical zone (cleaner long-term, requires updating every downstream dependency).</w:t>
      </w:r>
    </w:p>
    <w:p w14:paraId="000006F1" w14:textId="000006F2" w:rsidR="000B0F63" w:rsidRPr="00A61669" w:rsidRDefault="1BAB210A" w:rsidP="00E40261">
      <w:pPr>
        <w:pStyle w:val="Heading2"/>
        <w:jc w:val="both"/>
        <w:rPr>
          <w:rFonts w:asciiTheme="majorHAnsi" w:hAnsiTheme="majorHAnsi" w:cstheme="majorHAnsi"/>
        </w:rPr>
      </w:pPr>
      <w:bookmarkStart w:id="196" w:name="_Toc203"/>
      <w:bookmarkStart w:id="197" w:name="_Toc227770986"/>
      <w:r w:rsidRPr="00A61669">
        <w:rPr>
          <w:rFonts w:asciiTheme="majorHAnsi" w:hAnsiTheme="majorHAnsi" w:cstheme="majorHAnsi"/>
        </w:rPr>
        <w:t>Oracle Complexity</w:t>
      </w:r>
      <w:bookmarkEnd w:id="196"/>
      <w:bookmarkEnd w:id="197"/>
    </w:p>
    <w:p w14:paraId="000006F3" w14:textId="60F57DBA" w:rsidR="000B0F63" w:rsidRPr="00A61669" w:rsidRDefault="00E436A1" w:rsidP="00E40261">
      <w:pPr>
        <w:jc w:val="both"/>
        <w:rPr>
          <w:rFonts w:asciiTheme="majorHAnsi" w:hAnsiTheme="majorHAnsi" w:cstheme="majorHAnsi"/>
        </w:rPr>
      </w:pPr>
      <w:r w:rsidRPr="00A61669">
        <w:rPr>
          <w:rFonts w:asciiTheme="majorHAnsi" w:hAnsiTheme="majorHAnsi" w:cstheme="majorHAnsi"/>
          <w:b/>
        </w:rPr>
        <w:t>What was found</w:t>
      </w:r>
      <w:r w:rsidR="00C05D22" w:rsidRPr="00A61669">
        <w:rPr>
          <w:rFonts w:asciiTheme="majorHAnsi" w:hAnsiTheme="majorHAnsi" w:cstheme="majorHAnsi"/>
          <w:b/>
        </w:rPr>
        <w:t xml:space="preserve">: </w:t>
      </w:r>
      <w:r w:rsidR="00C05D22" w:rsidRPr="00A61669">
        <w:rPr>
          <w:rFonts w:asciiTheme="majorHAnsi" w:hAnsiTheme="majorHAnsi" w:cstheme="majorHAnsi"/>
        </w:rPr>
        <w:t xml:space="preserve">the Oracle estate carries operational complexity beyond its cost profile. The </w:t>
      </w:r>
      <w:r w:rsidR="00490323" w:rsidRPr="00A61669">
        <w:rPr>
          <w:rFonts w:asciiTheme="majorHAnsi" w:hAnsiTheme="majorHAnsi" w:cstheme="majorHAnsi"/>
        </w:rPr>
        <w:t>Mail Online</w:t>
      </w:r>
      <w:r w:rsidR="00C05D22" w:rsidRPr="00A61669">
        <w:rPr>
          <w:rFonts w:asciiTheme="majorHAnsi" w:hAnsiTheme="majorHAnsi" w:cstheme="majorHAnsi"/>
        </w:rPr>
        <w:t xml:space="preserve"> B-cluster (production primary) has no DMA assessment data; its sizing is based on provisioned hardware specification only. Cross-cluster decisions need coordination between the internal </w:t>
      </w:r>
      <w:r w:rsidR="00490323" w:rsidRPr="00A61669">
        <w:rPr>
          <w:rFonts w:asciiTheme="majorHAnsi" w:hAnsiTheme="majorHAnsi" w:cstheme="majorHAnsi"/>
        </w:rPr>
        <w:t>Mail Online</w:t>
      </w:r>
      <w:r w:rsidR="00C05D22" w:rsidRPr="00A61669">
        <w:rPr>
          <w:rFonts w:asciiTheme="majorHAnsi" w:hAnsiTheme="majorHAnsi" w:cstheme="majorHAnsi"/>
        </w:rPr>
        <w:t xml:space="preserve"> DBA team and NCS (which runs CHP, Atex, and Circnet Oracle).</w:t>
      </w:r>
    </w:p>
    <w:p w14:paraId="000006F5" w14:textId="07E56860"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Why it matters: </w:t>
      </w:r>
      <w:r w:rsidRPr="00A61669">
        <w:rPr>
          <w:rFonts w:asciiTheme="majorHAnsi" w:hAnsiTheme="majorHAnsi" w:cstheme="majorHAnsi"/>
        </w:rPr>
        <w:t xml:space="preserve">without DMA on the </w:t>
      </w:r>
      <w:r w:rsidR="00490323" w:rsidRPr="00A61669">
        <w:rPr>
          <w:rFonts w:asciiTheme="majorHAnsi" w:hAnsiTheme="majorHAnsi" w:cstheme="majorHAnsi"/>
        </w:rPr>
        <w:t>Mail Online</w:t>
      </w:r>
      <w:r w:rsidRPr="00A61669">
        <w:rPr>
          <w:rFonts w:asciiTheme="majorHAnsi" w:hAnsiTheme="majorHAnsi" w:cstheme="majorHAnsi"/>
        </w:rPr>
        <w:t xml:space="preserve"> B-cluster, sizing the biggest database remains provisioned-hardware-based. The split between the internal team and NCS means coordination is not purely technical. Programme sequencing </w:t>
      </w:r>
      <w:r w:rsidR="002E3920" w:rsidRPr="00A61669">
        <w:rPr>
          <w:rFonts w:asciiTheme="majorHAnsi" w:hAnsiTheme="majorHAnsi" w:cstheme="majorHAnsi"/>
        </w:rPr>
        <w:t>must</w:t>
      </w:r>
      <w:r w:rsidRPr="00A61669">
        <w:rPr>
          <w:rFonts w:asciiTheme="majorHAnsi" w:hAnsiTheme="majorHAnsi" w:cstheme="majorHAnsi"/>
        </w:rPr>
        <w:t xml:space="preserve"> respect the </w:t>
      </w:r>
      <w:r w:rsidR="00490323" w:rsidRPr="00A61669">
        <w:rPr>
          <w:rFonts w:asciiTheme="majorHAnsi" w:hAnsiTheme="majorHAnsi" w:cstheme="majorHAnsi"/>
        </w:rPr>
        <w:t>Mail Online</w:t>
      </w:r>
      <w:r w:rsidRPr="00A61669">
        <w:rPr>
          <w:rFonts w:asciiTheme="majorHAnsi" w:hAnsiTheme="majorHAnsi" w:cstheme="majorHAnsi"/>
        </w:rPr>
        <w:t xml:space="preserve"> DBA team's BAU load.</w:t>
      </w:r>
    </w:p>
    <w:p w14:paraId="000006F7" w14:textId="204D2931"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What to do about it: </w:t>
      </w:r>
      <w:r w:rsidRPr="00A61669">
        <w:rPr>
          <w:rFonts w:asciiTheme="majorHAnsi" w:hAnsiTheme="majorHAnsi" w:cstheme="majorHAnsi"/>
        </w:rPr>
        <w:t xml:space="preserve">DMA assessment of the </w:t>
      </w:r>
      <w:r w:rsidR="00490323" w:rsidRPr="00A61669">
        <w:rPr>
          <w:rFonts w:asciiTheme="majorHAnsi" w:hAnsiTheme="majorHAnsi" w:cstheme="majorHAnsi"/>
        </w:rPr>
        <w:t>Mail Online</w:t>
      </w:r>
      <w:r w:rsidRPr="00A61669">
        <w:rPr>
          <w:rFonts w:asciiTheme="majorHAnsi" w:hAnsiTheme="majorHAnsi" w:cstheme="majorHAnsi"/>
        </w:rPr>
        <w:t xml:space="preserve"> B-cluster is the highest-priority </w:t>
      </w:r>
      <w:r w:rsidR="00100959" w:rsidRPr="00A61669">
        <w:rPr>
          <w:rFonts w:asciiTheme="majorHAnsi" w:hAnsiTheme="majorHAnsi" w:cstheme="majorHAnsi"/>
        </w:rPr>
        <w:t>Part 2</w:t>
      </w:r>
      <w:r w:rsidRPr="00A61669">
        <w:rPr>
          <w:rFonts w:asciiTheme="majorHAnsi" w:hAnsiTheme="majorHAnsi" w:cstheme="majorHAnsi"/>
        </w:rPr>
        <w:t xml:space="preserve"> action. Oracle migration paths and associated costs are in Section 5.</w:t>
      </w:r>
    </w:p>
    <w:p w14:paraId="000006F9" w14:textId="000006FA" w:rsidR="000B0F63" w:rsidRPr="00A61669" w:rsidRDefault="1BAB210A" w:rsidP="00E40261">
      <w:pPr>
        <w:pStyle w:val="Heading2"/>
        <w:jc w:val="both"/>
        <w:rPr>
          <w:rFonts w:asciiTheme="majorHAnsi" w:hAnsiTheme="majorHAnsi" w:cstheme="majorHAnsi"/>
        </w:rPr>
      </w:pPr>
      <w:bookmarkStart w:id="198" w:name="_Toc204"/>
      <w:bookmarkStart w:id="199" w:name="_Toc227770987"/>
      <w:r w:rsidRPr="00A61669">
        <w:rPr>
          <w:rFonts w:asciiTheme="majorHAnsi" w:hAnsiTheme="majorHAnsi" w:cstheme="majorHAnsi"/>
        </w:rPr>
        <w:t>SQL Server Database Consolidation</w:t>
      </w:r>
      <w:bookmarkEnd w:id="198"/>
      <w:bookmarkEnd w:id="199"/>
    </w:p>
    <w:p w14:paraId="000006FB" w14:textId="1C9C3BD0" w:rsidR="000B0F63" w:rsidRPr="00A61669" w:rsidRDefault="00E436A1" w:rsidP="00E40261">
      <w:pPr>
        <w:jc w:val="both"/>
        <w:rPr>
          <w:rFonts w:asciiTheme="majorHAnsi" w:hAnsiTheme="majorHAnsi" w:cstheme="majorHAnsi"/>
        </w:rPr>
      </w:pPr>
      <w:r w:rsidRPr="00A61669">
        <w:rPr>
          <w:rFonts w:asciiTheme="majorHAnsi" w:hAnsiTheme="majorHAnsi" w:cstheme="majorHAnsi"/>
          <w:b/>
        </w:rPr>
        <w:t>What was found</w:t>
      </w:r>
      <w:r w:rsidR="00C05D22" w:rsidRPr="00A61669">
        <w:rPr>
          <w:rFonts w:asciiTheme="majorHAnsi" w:hAnsiTheme="majorHAnsi" w:cstheme="majorHAnsi"/>
          <w:b/>
        </w:rPr>
        <w:t xml:space="preserve">: </w:t>
      </w:r>
      <w:r w:rsidR="00C05D22" w:rsidRPr="00A61669">
        <w:rPr>
          <w:rFonts w:asciiTheme="majorHAnsi" w:hAnsiTheme="majorHAnsi" w:cstheme="majorHAnsi"/>
        </w:rPr>
        <w:t>SQL Server instances host databases for multiple applications with cross-database queries between them. Workshop input was explicit: 'Multiple databases for multiple apps on DBServers. Decoupling will be a challenge.' Power BI Report Server licences are tied to the physical SQL Server hardware.</w:t>
      </w:r>
    </w:p>
    <w:p w14:paraId="000006FD" w14:textId="000006FE"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Why it matters: </w:t>
      </w:r>
      <w:r w:rsidRPr="00A61669">
        <w:rPr>
          <w:rFonts w:asciiTheme="majorHAnsi" w:hAnsiTheme="majorHAnsi" w:cstheme="majorHAnsi"/>
        </w:rPr>
        <w:t>a clean PaaS move to Cloud SQL, RDS, or Azure SQL depends on per-database decoupling. Applications that rely on three-part naming or linked server calls between databases on the same instance will need refactoring. Power BI Report Server is hardware-tied and does not move cleanly to cloud as-is; Power BI Service (cloud) is a separate licensing model.</w:t>
      </w:r>
    </w:p>
    <w:p w14:paraId="000006FF" w14:textId="01D0CA96"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What to do about it: </w:t>
      </w:r>
      <w:r w:rsidRPr="00A61669">
        <w:rPr>
          <w:rFonts w:asciiTheme="majorHAnsi" w:hAnsiTheme="majorHAnsi" w:cstheme="majorHAnsi"/>
        </w:rPr>
        <w:t xml:space="preserve">per-instance assessment and refactoring analysis are scoped in </w:t>
      </w:r>
      <w:r w:rsidR="00100959" w:rsidRPr="00A61669">
        <w:rPr>
          <w:rFonts w:asciiTheme="majorHAnsi" w:hAnsiTheme="majorHAnsi" w:cstheme="majorHAnsi"/>
        </w:rPr>
        <w:t>Part 2</w:t>
      </w:r>
      <w:r w:rsidRPr="00A61669">
        <w:rPr>
          <w:rFonts w:asciiTheme="majorHAnsi" w:hAnsiTheme="majorHAnsi" w:cstheme="majorHAnsi"/>
        </w:rPr>
        <w:t xml:space="preserve"> (Section 11).</w:t>
      </w:r>
    </w:p>
    <w:p w14:paraId="00000701" w14:textId="00000702" w:rsidR="000B0F63" w:rsidRPr="00A61669" w:rsidRDefault="1BAB210A" w:rsidP="00E40261">
      <w:pPr>
        <w:pStyle w:val="Heading2"/>
        <w:jc w:val="both"/>
        <w:rPr>
          <w:rFonts w:asciiTheme="majorHAnsi" w:hAnsiTheme="majorHAnsi" w:cstheme="majorHAnsi"/>
        </w:rPr>
      </w:pPr>
      <w:bookmarkStart w:id="200" w:name="_Toc205"/>
      <w:bookmarkStart w:id="201" w:name="_Toc227770988"/>
      <w:r w:rsidRPr="00A61669">
        <w:rPr>
          <w:rFonts w:asciiTheme="majorHAnsi" w:hAnsiTheme="majorHAnsi" w:cstheme="majorHAnsi"/>
        </w:rPr>
        <w:t>Solaris Legacy Stack</w:t>
      </w:r>
      <w:bookmarkEnd w:id="200"/>
      <w:bookmarkEnd w:id="201"/>
    </w:p>
    <w:p w14:paraId="00000703" w14:textId="57A1545A" w:rsidR="000B0F63" w:rsidRPr="00A61669" w:rsidRDefault="00E436A1" w:rsidP="00E40261">
      <w:pPr>
        <w:jc w:val="both"/>
        <w:rPr>
          <w:rFonts w:asciiTheme="majorHAnsi" w:hAnsiTheme="majorHAnsi" w:cstheme="majorHAnsi"/>
        </w:rPr>
      </w:pPr>
      <w:r w:rsidRPr="00A61669">
        <w:rPr>
          <w:rFonts w:asciiTheme="majorHAnsi" w:hAnsiTheme="majorHAnsi" w:cstheme="majorHAnsi"/>
          <w:b/>
        </w:rPr>
        <w:t>What was found</w:t>
      </w:r>
      <w:r w:rsidR="00C05D22" w:rsidRPr="00A61669">
        <w:rPr>
          <w:rFonts w:asciiTheme="majorHAnsi" w:hAnsiTheme="majorHAnsi" w:cstheme="majorHAnsi"/>
          <w:b/>
        </w:rPr>
        <w:t xml:space="preserve">: </w:t>
      </w:r>
      <w:r w:rsidR="00C05D22" w:rsidRPr="00A61669">
        <w:rPr>
          <w:rFonts w:asciiTheme="majorHAnsi" w:hAnsiTheme="majorHAnsi" w:cstheme="majorHAnsi"/>
        </w:rPr>
        <w:t xml:space="preserve">several applications are recorded with Solaris as operating system, including </w:t>
      </w:r>
      <w:r w:rsidR="0088745F" w:rsidRPr="00A61669">
        <w:rPr>
          <w:rFonts w:asciiTheme="majorHAnsi" w:hAnsiTheme="majorHAnsi" w:cstheme="majorHAnsi"/>
        </w:rPr>
        <w:t>Mail Online</w:t>
      </w:r>
      <w:r w:rsidR="00C05D22" w:rsidRPr="00A61669">
        <w:rPr>
          <w:rFonts w:asciiTheme="majorHAnsi" w:hAnsiTheme="majorHAnsi" w:cstheme="majorHAnsi"/>
        </w:rPr>
        <w:t xml:space="preserve"> sub-components (Mobile, Content), Wikidata, and ESCC.</w:t>
      </w:r>
    </w:p>
    <w:p w14:paraId="00000705" w14:textId="2CC9FFAD"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Why it matters: </w:t>
      </w:r>
      <w:r w:rsidRPr="00A61669">
        <w:rPr>
          <w:rFonts w:asciiTheme="majorHAnsi" w:hAnsiTheme="majorHAnsi" w:cstheme="majorHAnsi"/>
        </w:rPr>
        <w:t xml:space="preserve">Solaris is not natively supported as a guest operating system on AWS, Azure, or GCP. Oracle Cloud Infrastructure is the only hyperscaler with native Solaris support. Any Solaris-hosted workload </w:t>
      </w:r>
      <w:r w:rsidR="0085083A" w:rsidRPr="00A61669">
        <w:rPr>
          <w:rFonts w:asciiTheme="majorHAnsi" w:hAnsiTheme="majorHAnsi" w:cstheme="majorHAnsi"/>
        </w:rPr>
        <w:t>must</w:t>
      </w:r>
      <w:r w:rsidRPr="00A61669">
        <w:rPr>
          <w:rFonts w:asciiTheme="majorHAnsi" w:hAnsiTheme="majorHAnsi" w:cstheme="majorHAnsi"/>
        </w:rPr>
        <w:t xml:space="preserve"> be either replatformed to Linux before migration, kept on-premises during transition, or retained on Oracle-specific infrastructure.</w:t>
      </w:r>
    </w:p>
    <w:p w14:paraId="00000707" w14:textId="773429C9"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What to do about it: </w:t>
      </w:r>
      <w:r w:rsidR="00100959" w:rsidRPr="00A61669">
        <w:rPr>
          <w:rFonts w:asciiTheme="majorHAnsi" w:hAnsiTheme="majorHAnsi" w:cstheme="majorHAnsi"/>
        </w:rPr>
        <w:t>Part 2</w:t>
      </w:r>
      <w:r w:rsidRPr="00A61669">
        <w:rPr>
          <w:rFonts w:asciiTheme="majorHAnsi" w:hAnsiTheme="majorHAnsi" w:cstheme="majorHAnsi"/>
        </w:rPr>
        <w:t xml:space="preserve"> Solaris inventory to confirm exact version and workload. Solaris should be called out explicitly in the </w:t>
      </w:r>
      <w:r w:rsidR="00100959" w:rsidRPr="00A61669">
        <w:rPr>
          <w:rFonts w:asciiTheme="majorHAnsi" w:hAnsiTheme="majorHAnsi" w:cstheme="majorHAnsi"/>
        </w:rPr>
        <w:t>Part 2</w:t>
      </w:r>
      <w:r w:rsidRPr="00A61669">
        <w:rPr>
          <w:rFonts w:asciiTheme="majorHAnsi" w:hAnsiTheme="majorHAnsi" w:cstheme="majorHAnsi"/>
        </w:rPr>
        <w:t xml:space="preserve"> release plan rather than grouped with general legacy OS activity.</w:t>
      </w:r>
    </w:p>
    <w:p w14:paraId="00000709" w14:textId="0000070A" w:rsidR="000B0F63" w:rsidRPr="00A61669" w:rsidRDefault="1BAB210A" w:rsidP="00E40261">
      <w:pPr>
        <w:pStyle w:val="Heading2"/>
        <w:jc w:val="both"/>
        <w:rPr>
          <w:rFonts w:asciiTheme="majorHAnsi" w:hAnsiTheme="majorHAnsi" w:cstheme="majorHAnsi"/>
        </w:rPr>
      </w:pPr>
      <w:bookmarkStart w:id="202" w:name="_Toc206"/>
      <w:bookmarkStart w:id="203" w:name="_Toc227770989"/>
      <w:r w:rsidRPr="00A61669">
        <w:rPr>
          <w:rFonts w:asciiTheme="majorHAnsi" w:hAnsiTheme="majorHAnsi" w:cstheme="majorHAnsi"/>
        </w:rPr>
        <w:t>Hardcoded IP Addresses In Legacy Integrations</w:t>
      </w:r>
      <w:bookmarkEnd w:id="202"/>
      <w:bookmarkEnd w:id="203"/>
    </w:p>
    <w:p w14:paraId="0000070B" w14:textId="789BC75C" w:rsidR="000B0F63" w:rsidRPr="00A61669" w:rsidRDefault="00E436A1" w:rsidP="00E40261">
      <w:pPr>
        <w:jc w:val="both"/>
        <w:rPr>
          <w:rFonts w:asciiTheme="majorHAnsi" w:hAnsiTheme="majorHAnsi" w:cstheme="majorHAnsi"/>
        </w:rPr>
      </w:pPr>
      <w:r w:rsidRPr="00A61669">
        <w:rPr>
          <w:rFonts w:asciiTheme="majorHAnsi" w:hAnsiTheme="majorHAnsi" w:cstheme="majorHAnsi"/>
          <w:b/>
        </w:rPr>
        <w:t>What was found</w:t>
      </w:r>
      <w:r w:rsidR="00C05D22" w:rsidRPr="00A61669">
        <w:rPr>
          <w:rFonts w:asciiTheme="majorHAnsi" w:hAnsiTheme="majorHAnsi" w:cstheme="majorHAnsi"/>
          <w:b/>
        </w:rPr>
        <w:t xml:space="preserve">: </w:t>
      </w:r>
      <w:r w:rsidR="00C05D22" w:rsidRPr="00A61669">
        <w:rPr>
          <w:rFonts w:asciiTheme="majorHAnsi" w:hAnsiTheme="majorHAnsi" w:cstheme="majorHAnsi"/>
        </w:rPr>
        <w:t>ECO3 workshop input confirmed 'ECO3 had used hardcoded IPs to avoid DNS issues'. Other applications also reference load balancer IPs and third-party whitelists by specific address.</w:t>
      </w:r>
    </w:p>
    <w:p w14:paraId="0000070D" w14:textId="38169DDF"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Why it matters: </w:t>
      </w:r>
      <w:r w:rsidRPr="00A61669">
        <w:rPr>
          <w:rFonts w:asciiTheme="majorHAnsi" w:hAnsiTheme="majorHAnsi" w:cstheme="majorHAnsi"/>
        </w:rPr>
        <w:t xml:space="preserve">hardcoded IP addresses do not translate directly to cloud. Cloud VPCs assign IPs dynamically or via DNS. Any inbound integration that whitelists specific IP addresses </w:t>
      </w:r>
      <w:r w:rsidR="00CA15A8" w:rsidRPr="00A61669">
        <w:rPr>
          <w:rFonts w:asciiTheme="majorHAnsi" w:hAnsiTheme="majorHAnsi" w:cstheme="majorHAnsi"/>
        </w:rPr>
        <w:t>must</w:t>
      </w:r>
      <w:r w:rsidRPr="00A61669">
        <w:rPr>
          <w:rFonts w:asciiTheme="majorHAnsi" w:hAnsiTheme="majorHAnsi" w:cstheme="majorHAnsi"/>
        </w:rPr>
        <w:t xml:space="preserve"> be re-established against cloud IP ranges or DNS.</w:t>
      </w:r>
    </w:p>
    <w:p w14:paraId="0000070F" w14:textId="0E2617FA" w:rsidR="000B0F63" w:rsidRPr="00A61669" w:rsidRDefault="00C05D22" w:rsidP="00E40261">
      <w:pPr>
        <w:jc w:val="both"/>
        <w:rPr>
          <w:rFonts w:asciiTheme="majorHAnsi" w:hAnsiTheme="majorHAnsi" w:cstheme="majorHAnsi"/>
        </w:rPr>
      </w:pPr>
      <w:r w:rsidRPr="00A61669">
        <w:rPr>
          <w:rFonts w:asciiTheme="majorHAnsi" w:hAnsiTheme="majorHAnsi" w:cstheme="majorHAnsi"/>
          <w:b/>
        </w:rPr>
        <w:t xml:space="preserve">What to do about it: </w:t>
      </w:r>
      <w:r w:rsidR="00100959" w:rsidRPr="00A61669">
        <w:rPr>
          <w:rFonts w:asciiTheme="majorHAnsi" w:hAnsiTheme="majorHAnsi" w:cstheme="majorHAnsi"/>
        </w:rPr>
        <w:t>Part 2</w:t>
      </w:r>
      <w:r w:rsidRPr="00A61669">
        <w:rPr>
          <w:rFonts w:asciiTheme="majorHAnsi" w:hAnsiTheme="majorHAnsi" w:cstheme="majorHAnsi"/>
        </w:rPr>
        <w:t xml:space="preserve"> scope includes per-application IP dependency audit. For each hardcoded IP: replace with service name or DNS, or establish an equivalent cloud static IP and update the downstream integration.</w:t>
      </w:r>
    </w:p>
    <w:p w14:paraId="00000711" w14:textId="00000712" w:rsidR="000B0F63" w:rsidRPr="00A61669" w:rsidRDefault="1BAB210A" w:rsidP="00E40261">
      <w:pPr>
        <w:pStyle w:val="Heading2"/>
        <w:jc w:val="both"/>
        <w:rPr>
          <w:rFonts w:asciiTheme="majorHAnsi" w:hAnsiTheme="majorHAnsi" w:cstheme="majorHAnsi"/>
        </w:rPr>
      </w:pPr>
      <w:bookmarkStart w:id="204" w:name="_Toc207"/>
      <w:bookmarkStart w:id="205" w:name="_Toc227770990"/>
      <w:r w:rsidRPr="00A61669">
        <w:rPr>
          <w:rFonts w:asciiTheme="majorHAnsi" w:hAnsiTheme="majorHAnsi" w:cstheme="majorHAnsi"/>
        </w:rPr>
        <w:t>What The Challenges Do Not Affect</w:t>
      </w:r>
      <w:bookmarkEnd w:id="204"/>
      <w:bookmarkEnd w:id="205"/>
    </w:p>
    <w:p w14:paraId="00000713" w14:textId="00000714" w:rsidR="000B0F63" w:rsidRPr="00A61669" w:rsidRDefault="00C05D22" w:rsidP="00E40261">
      <w:pPr>
        <w:jc w:val="both"/>
        <w:rPr>
          <w:rFonts w:asciiTheme="majorHAnsi" w:hAnsiTheme="majorHAnsi" w:cstheme="majorHAnsi"/>
        </w:rPr>
      </w:pPr>
      <w:r w:rsidRPr="00A61669">
        <w:rPr>
          <w:rFonts w:asciiTheme="majorHAnsi" w:hAnsiTheme="majorHAnsi" w:cstheme="majorHAnsi"/>
        </w:rPr>
        <w:t>It is worth saying what these challenges do not change:</w:t>
      </w:r>
    </w:p>
    <w:p w14:paraId="00000715" w14:textId="00000716" w:rsidR="000B0F63" w:rsidRPr="00A61669" w:rsidRDefault="00C05D22" w:rsidP="00F57DAB">
      <w:pPr>
        <w:pStyle w:val="ListBullet"/>
        <w:numPr>
          <w:ilvl w:val="0"/>
          <w:numId w:val="27"/>
        </w:numPr>
        <w:jc w:val="both"/>
        <w:rPr>
          <w:rFonts w:asciiTheme="majorHAnsi" w:hAnsiTheme="majorHAnsi" w:cstheme="majorHAnsi"/>
        </w:rPr>
      </w:pPr>
      <w:r w:rsidRPr="00A61669">
        <w:rPr>
          <w:rFonts w:asciiTheme="majorHAnsi" w:hAnsiTheme="majorHAnsi" w:cstheme="majorHAnsi"/>
          <w:b/>
        </w:rPr>
        <w:t>The overall cloud recommendation.</w:t>
      </w:r>
      <w:r w:rsidRPr="00A61669">
        <w:rPr>
          <w:rFonts w:asciiTheme="majorHAnsi" w:hAnsiTheme="majorHAnsi" w:cstheme="majorHAnsi"/>
        </w:rPr>
        <w:t xml:space="preserve"> None of these challenges makes cloud a bad idea. They shape the migration approach, not the destination.</w:t>
      </w:r>
    </w:p>
    <w:p w14:paraId="00000717" w14:textId="00000718" w:rsidR="000B0F63" w:rsidRPr="00A61669" w:rsidRDefault="00C05D22" w:rsidP="00F57DAB">
      <w:pPr>
        <w:pStyle w:val="ListBullet"/>
        <w:numPr>
          <w:ilvl w:val="0"/>
          <w:numId w:val="27"/>
        </w:numPr>
        <w:jc w:val="both"/>
        <w:rPr>
          <w:rFonts w:asciiTheme="majorHAnsi" w:hAnsiTheme="majorHAnsi" w:cstheme="majorHAnsi"/>
        </w:rPr>
      </w:pPr>
      <w:r w:rsidRPr="00A61669">
        <w:rPr>
          <w:rFonts w:asciiTheme="majorHAnsi" w:hAnsiTheme="majorHAnsi" w:cstheme="majorHAnsi"/>
          <w:b/>
        </w:rPr>
        <w:t>The business case</w:t>
      </w:r>
      <w:r w:rsidRPr="00A61669">
        <w:rPr>
          <w:rFonts w:asciiTheme="majorHAnsi" w:hAnsiTheme="majorHAnsi" w:cstheme="majorHAnsi"/>
        </w:rPr>
        <w:t>. The savings potential in Sections 5 and 10 stands. The challenges affect timeline and approach, not outcome.</w:t>
      </w:r>
    </w:p>
    <w:p w14:paraId="00000719" w14:textId="0000071A" w:rsidR="000B0F63" w:rsidRPr="00A61669" w:rsidRDefault="00C05D22" w:rsidP="00F57DAB">
      <w:pPr>
        <w:pStyle w:val="ListBullet"/>
        <w:numPr>
          <w:ilvl w:val="0"/>
          <w:numId w:val="27"/>
        </w:numPr>
        <w:jc w:val="both"/>
        <w:rPr>
          <w:rFonts w:asciiTheme="majorHAnsi" w:hAnsiTheme="majorHAnsi" w:cstheme="majorHAnsi"/>
        </w:rPr>
      </w:pPr>
      <w:r w:rsidRPr="00A61669">
        <w:rPr>
          <w:rFonts w:asciiTheme="majorHAnsi" w:hAnsiTheme="majorHAnsi" w:cstheme="majorHAnsi"/>
          <w:b/>
        </w:rPr>
        <w:t>DMG Media's ability to succeed</w:t>
      </w:r>
      <w:r w:rsidRPr="00A61669">
        <w:rPr>
          <w:rFonts w:asciiTheme="majorHAnsi" w:hAnsiTheme="majorHAnsi" w:cstheme="majorHAnsi"/>
        </w:rPr>
        <w:t>. The challenges are addressable with the right programme structure, and are similar in kind to what most enterprise cloud transformations carry at this stage.</w:t>
      </w:r>
    </w:p>
    <w:p w14:paraId="0000071B" w14:textId="79F0425D" w:rsidR="000B0F63" w:rsidRPr="00A61669" w:rsidRDefault="000B0F63" w:rsidP="00E40261">
      <w:pPr>
        <w:jc w:val="both"/>
        <w:rPr>
          <w:rFonts w:asciiTheme="majorHAnsi" w:hAnsiTheme="majorHAnsi" w:cstheme="majorHAnsi"/>
        </w:rPr>
      </w:pPr>
    </w:p>
    <w:p w14:paraId="1C0D599A" w14:textId="77777777" w:rsidR="0016755D" w:rsidRPr="00A61669" w:rsidRDefault="0016755D" w:rsidP="00E40261">
      <w:pPr>
        <w:jc w:val="both"/>
        <w:rPr>
          <w:rFonts w:asciiTheme="majorHAnsi" w:hAnsiTheme="majorHAnsi" w:cstheme="majorHAnsi"/>
        </w:rPr>
      </w:pPr>
    </w:p>
    <w:p w14:paraId="0FFE3F97" w14:textId="77777777" w:rsidR="0016755D" w:rsidRPr="00A61669" w:rsidRDefault="0016755D" w:rsidP="00E40261">
      <w:pPr>
        <w:jc w:val="both"/>
        <w:rPr>
          <w:rFonts w:asciiTheme="majorHAnsi" w:hAnsiTheme="majorHAnsi" w:cstheme="majorHAnsi"/>
        </w:rPr>
      </w:pPr>
    </w:p>
    <w:p w14:paraId="5B48577E" w14:textId="77777777" w:rsidR="0016755D" w:rsidRPr="00A61669" w:rsidRDefault="0016755D" w:rsidP="00E40261">
      <w:pPr>
        <w:jc w:val="both"/>
        <w:rPr>
          <w:rFonts w:asciiTheme="majorHAnsi" w:hAnsiTheme="majorHAnsi" w:cstheme="majorHAnsi"/>
        </w:rPr>
      </w:pPr>
    </w:p>
    <w:p w14:paraId="0000071D" w14:textId="0000071E" w:rsidR="000B0F63" w:rsidRPr="00A61669" w:rsidRDefault="1BAB210A" w:rsidP="00E40261">
      <w:pPr>
        <w:pStyle w:val="Heading1"/>
        <w:jc w:val="both"/>
        <w:rPr>
          <w:rFonts w:asciiTheme="majorHAnsi" w:hAnsiTheme="majorHAnsi" w:cstheme="majorHAnsi"/>
        </w:rPr>
      </w:pPr>
      <w:bookmarkStart w:id="206" w:name="_Toc208"/>
      <w:bookmarkStart w:id="207" w:name="_Toc227770991"/>
      <w:bookmarkStart w:id="208" w:name="_Toc228549362"/>
      <w:r w:rsidRPr="00A61669">
        <w:rPr>
          <w:rFonts w:asciiTheme="majorHAnsi" w:hAnsiTheme="majorHAnsi" w:cstheme="majorHAnsi"/>
        </w:rPr>
        <w:t>Section 10: Opportunities</w:t>
      </w:r>
      <w:bookmarkEnd w:id="206"/>
      <w:bookmarkEnd w:id="207"/>
      <w:bookmarkEnd w:id="208"/>
    </w:p>
    <w:p w14:paraId="0000071F" w14:textId="00000720" w:rsidR="000B0F63" w:rsidRPr="00A61669" w:rsidRDefault="1BAB210A" w:rsidP="00E40261">
      <w:pPr>
        <w:pStyle w:val="Heading2"/>
        <w:jc w:val="both"/>
        <w:rPr>
          <w:rFonts w:asciiTheme="majorHAnsi" w:hAnsiTheme="majorHAnsi" w:cstheme="majorHAnsi"/>
        </w:rPr>
      </w:pPr>
      <w:bookmarkStart w:id="209" w:name="_Toc209"/>
      <w:bookmarkStart w:id="210" w:name="_Toc227770992"/>
      <w:r w:rsidRPr="00A61669">
        <w:rPr>
          <w:rFonts w:asciiTheme="majorHAnsi" w:hAnsiTheme="majorHAnsi" w:cstheme="majorHAnsi"/>
        </w:rPr>
        <w:t>What This Section Does</w:t>
      </w:r>
      <w:bookmarkEnd w:id="209"/>
      <w:bookmarkEnd w:id="210"/>
    </w:p>
    <w:p w14:paraId="00000721" w14:textId="6813BAC5"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Each opportunity below is specific to DMG Media's estate. Each item says what it is, what it saves or enables, what is needed to pursue it, and what </w:t>
      </w:r>
      <w:r w:rsidR="00100959" w:rsidRPr="00A61669">
        <w:rPr>
          <w:rFonts w:asciiTheme="majorHAnsi" w:hAnsiTheme="majorHAnsi" w:cstheme="majorHAnsi"/>
        </w:rPr>
        <w:t>Part 2</w:t>
      </w:r>
      <w:r w:rsidRPr="00A61669">
        <w:rPr>
          <w:rFonts w:asciiTheme="majorHAnsi" w:hAnsiTheme="majorHAnsi" w:cstheme="majorHAnsi"/>
        </w:rPr>
        <w:t xml:space="preserve"> would validate.</w:t>
      </w:r>
    </w:p>
    <w:p w14:paraId="00000723" w14:textId="00000724" w:rsidR="000B0F63" w:rsidRPr="00A61669" w:rsidRDefault="1BAB210A" w:rsidP="00E40261">
      <w:pPr>
        <w:pStyle w:val="Heading2"/>
        <w:jc w:val="both"/>
        <w:rPr>
          <w:rFonts w:asciiTheme="majorHAnsi" w:hAnsiTheme="majorHAnsi" w:cstheme="majorHAnsi"/>
        </w:rPr>
      </w:pPr>
      <w:bookmarkStart w:id="211" w:name="_Toc210"/>
      <w:bookmarkStart w:id="212" w:name="_Toc227770993"/>
      <w:r w:rsidRPr="00A61669">
        <w:rPr>
          <w:rFonts w:asciiTheme="majorHAnsi" w:hAnsiTheme="majorHAnsi" w:cstheme="majorHAnsi"/>
        </w:rPr>
        <w:t>Database Migration to Managed Services</w:t>
      </w:r>
      <w:bookmarkEnd w:id="211"/>
      <w:bookmarkEnd w:id="212"/>
    </w:p>
    <w:p w14:paraId="00000725" w14:textId="00000726" w:rsidR="000B0F63" w:rsidRPr="00A61669" w:rsidRDefault="00C05D22" w:rsidP="00E40261">
      <w:pPr>
        <w:jc w:val="both"/>
        <w:rPr>
          <w:rFonts w:asciiTheme="majorHAnsi" w:hAnsiTheme="majorHAnsi" w:cstheme="majorHAnsi"/>
        </w:rPr>
      </w:pPr>
      <w:r w:rsidRPr="00A61669">
        <w:rPr>
          <w:rFonts w:asciiTheme="majorHAnsi" w:hAnsiTheme="majorHAnsi" w:cstheme="majorHAnsi"/>
        </w:rPr>
        <w:t>Moving databases from self-managed infrastructure to managed cloud databases. Eliminates operational overhead for patching, backups, HA failover. For Oracle specifically, a move to PostgreSQL-compatible managed services also removes the licensing entirely. For SQL Server, managed services reduce operational burden and potentially reduce licensing through cloud-native BYOL mechanisms.</w:t>
      </w:r>
    </w:p>
    <w:p w14:paraId="00000727" w14:textId="40CA54B6" w:rsidR="000B0F63" w:rsidRPr="00A61669" w:rsidRDefault="007415CD" w:rsidP="00E40261">
      <w:pPr>
        <w:jc w:val="both"/>
        <w:rPr>
          <w:rFonts w:asciiTheme="majorHAnsi" w:hAnsiTheme="majorHAnsi" w:cstheme="majorHAnsi"/>
        </w:rPr>
      </w:pPr>
      <w:r w:rsidRPr="00A61669">
        <w:rPr>
          <w:rFonts w:asciiTheme="majorHAnsi" w:hAnsiTheme="majorHAnsi" w:cstheme="majorHAnsi"/>
        </w:rPr>
        <w:t>DMG Media’s</w:t>
      </w:r>
      <w:r w:rsidR="00C05D22" w:rsidRPr="00A61669">
        <w:rPr>
          <w:rFonts w:asciiTheme="majorHAnsi" w:hAnsiTheme="majorHAnsi" w:cstheme="majorHAnsi"/>
        </w:rPr>
        <w:t xml:space="preserve"> starting point: </w:t>
      </w:r>
      <w:r w:rsidRPr="00A61669">
        <w:rPr>
          <w:rFonts w:asciiTheme="majorHAnsi" w:hAnsiTheme="majorHAnsi" w:cstheme="majorHAnsi"/>
        </w:rPr>
        <w:t>DMG Media</w:t>
      </w:r>
      <w:r w:rsidR="00C05D22" w:rsidRPr="00A61669">
        <w:rPr>
          <w:rFonts w:asciiTheme="majorHAnsi" w:hAnsiTheme="majorHAnsi" w:cstheme="majorHAnsi"/>
        </w:rPr>
        <w:t xml:space="preserve"> are already testing PostgreSQL as an Oracle replacement. The blocker is business prioritisation, not technical capability. </w:t>
      </w:r>
      <w:r w:rsidRPr="00A61669">
        <w:rPr>
          <w:rFonts w:asciiTheme="majorHAnsi" w:hAnsiTheme="majorHAnsi" w:cstheme="majorHAnsi"/>
        </w:rPr>
        <w:t>DMG Media’s</w:t>
      </w:r>
      <w:r w:rsidR="00C05D22" w:rsidRPr="00A61669">
        <w:rPr>
          <w:rFonts w:asciiTheme="majorHAnsi" w:hAnsiTheme="majorHAnsi" w:cstheme="majorHAnsi"/>
        </w:rPr>
        <w:t xml:space="preserve"> 49 SQL Server instances are currently managed in-house and by NCS.</w:t>
      </w:r>
    </w:p>
    <w:p w14:paraId="00000729" w14:textId="577C72B6" w:rsidR="000B0F63" w:rsidRPr="00A61669" w:rsidRDefault="1BAB210A" w:rsidP="00E40261">
      <w:pPr>
        <w:pStyle w:val="Heading2"/>
        <w:jc w:val="both"/>
        <w:rPr>
          <w:rFonts w:asciiTheme="majorHAnsi" w:hAnsiTheme="majorHAnsi" w:cstheme="majorHAnsi"/>
        </w:rPr>
      </w:pPr>
      <w:bookmarkStart w:id="213" w:name="_Toc211"/>
      <w:bookmarkStart w:id="214" w:name="_Toc227770994"/>
      <w:r w:rsidRPr="00A61669">
        <w:rPr>
          <w:rFonts w:asciiTheme="majorHAnsi" w:hAnsiTheme="majorHAnsi" w:cstheme="majorHAnsi"/>
        </w:rPr>
        <w:t>Overprovisioned Instances (</w:t>
      </w:r>
      <w:r w:rsidR="00490323" w:rsidRPr="00A61669">
        <w:rPr>
          <w:rFonts w:asciiTheme="majorHAnsi" w:hAnsiTheme="majorHAnsi" w:cstheme="majorHAnsi"/>
        </w:rPr>
        <w:t>Mail Online</w:t>
      </w:r>
      <w:r w:rsidRPr="00A61669">
        <w:rPr>
          <w:rFonts w:asciiTheme="majorHAnsi" w:hAnsiTheme="majorHAnsi" w:cstheme="majorHAnsi"/>
        </w:rPr>
        <w:t xml:space="preserve"> RTA)</w:t>
      </w:r>
      <w:bookmarkEnd w:id="213"/>
      <w:bookmarkEnd w:id="214"/>
    </w:p>
    <w:p w14:paraId="0000072B" w14:textId="375496E8" w:rsidR="000B0F63" w:rsidRPr="00A61669" w:rsidRDefault="00490323" w:rsidP="00E40261">
      <w:pPr>
        <w:jc w:val="both"/>
        <w:rPr>
          <w:rFonts w:asciiTheme="majorHAnsi" w:hAnsiTheme="majorHAnsi" w:cstheme="majorHAnsi"/>
        </w:rPr>
      </w:pPr>
      <w:r w:rsidRPr="00A61669">
        <w:rPr>
          <w:rFonts w:asciiTheme="majorHAnsi" w:hAnsiTheme="majorHAnsi" w:cstheme="majorHAnsi"/>
        </w:rPr>
        <w:t>Mail Online</w:t>
      </w:r>
      <w:r w:rsidR="00C05D22" w:rsidRPr="00A61669">
        <w:rPr>
          <w:rFonts w:asciiTheme="majorHAnsi" w:hAnsiTheme="majorHAnsi" w:cstheme="majorHAnsi"/>
        </w:rPr>
        <w:t xml:space="preserve">'s Real-Time Analytics application contains many significantly overprovisioned instances identified during discovery. Right-sizing during migration, rather than lifting as-is, produces an immediate cost saving with minimal risk. The utilisation data proves the current allocation exceeds demand. </w:t>
      </w:r>
      <w:r w:rsidR="00100959" w:rsidRPr="00A61669">
        <w:rPr>
          <w:rFonts w:asciiTheme="majorHAnsi" w:hAnsiTheme="majorHAnsi" w:cstheme="majorHAnsi"/>
        </w:rPr>
        <w:t>Part 2</w:t>
      </w:r>
      <w:r w:rsidR="00C05D22" w:rsidRPr="00A61669">
        <w:rPr>
          <w:rFonts w:asciiTheme="majorHAnsi" w:hAnsiTheme="majorHAnsi" w:cstheme="majorHAnsi"/>
        </w:rPr>
        <w:t xml:space="preserve"> produces precise sizing recommendations per instance.</w:t>
      </w:r>
    </w:p>
    <w:p w14:paraId="0000072D" w14:textId="0000072E" w:rsidR="000B0F63" w:rsidRPr="00A61669" w:rsidRDefault="1BAB210A" w:rsidP="00E40261">
      <w:pPr>
        <w:pStyle w:val="Heading2"/>
        <w:jc w:val="both"/>
        <w:rPr>
          <w:rFonts w:asciiTheme="majorHAnsi" w:hAnsiTheme="majorHAnsi" w:cstheme="majorHAnsi"/>
        </w:rPr>
      </w:pPr>
      <w:bookmarkStart w:id="215" w:name="_Toc212"/>
      <w:bookmarkStart w:id="216" w:name="_Toc227770995"/>
      <w:r w:rsidRPr="00A61669">
        <w:rPr>
          <w:rFonts w:asciiTheme="majorHAnsi" w:hAnsiTheme="majorHAnsi" w:cstheme="majorHAnsi"/>
        </w:rPr>
        <w:t>Load Balancing Modernisation</w:t>
      </w:r>
      <w:bookmarkEnd w:id="215"/>
      <w:bookmarkEnd w:id="216"/>
    </w:p>
    <w:p w14:paraId="0000072F" w14:textId="36D19841" w:rsidR="000B0F63" w:rsidRPr="00A61669" w:rsidRDefault="00C05D22" w:rsidP="00F57DAB">
      <w:pPr>
        <w:pStyle w:val="ListParagraph"/>
        <w:numPr>
          <w:ilvl w:val="0"/>
          <w:numId w:val="47"/>
        </w:numPr>
        <w:jc w:val="both"/>
        <w:rPr>
          <w:rFonts w:asciiTheme="majorHAnsi" w:hAnsiTheme="majorHAnsi" w:cstheme="majorHAnsi"/>
        </w:rPr>
      </w:pPr>
      <w:r w:rsidRPr="00A61669">
        <w:rPr>
          <w:rFonts w:asciiTheme="majorHAnsi" w:hAnsiTheme="majorHAnsi" w:cstheme="majorHAnsi"/>
        </w:rPr>
        <w:t xml:space="preserve">Replacing hardware load balancers (F5 for corporate, Zeus/Ivanti vTM for </w:t>
      </w:r>
      <w:r w:rsidR="0088745F" w:rsidRPr="00A61669">
        <w:rPr>
          <w:rFonts w:asciiTheme="majorHAnsi" w:hAnsiTheme="majorHAnsi" w:cstheme="majorHAnsi"/>
        </w:rPr>
        <w:t>Mail Online</w:t>
      </w:r>
      <w:r w:rsidRPr="00A61669">
        <w:rPr>
          <w:rFonts w:asciiTheme="majorHAnsi" w:hAnsiTheme="majorHAnsi" w:cstheme="majorHAnsi"/>
        </w:rPr>
        <w:t>) with cloud-native load balancers. Benefits include: no hardware lifecycle management, auto-scaling tied to traffic, native integration with cloud monitoring, global load balancing for multi-region deployments, and material cost reduction.</w:t>
      </w:r>
    </w:p>
    <w:p w14:paraId="00000731" w14:textId="00000732" w:rsidR="000B0F63" w:rsidRPr="00A61669" w:rsidRDefault="00C05D22" w:rsidP="00F57DAB">
      <w:pPr>
        <w:pStyle w:val="ListParagraph"/>
        <w:numPr>
          <w:ilvl w:val="0"/>
          <w:numId w:val="47"/>
        </w:numPr>
        <w:jc w:val="both"/>
        <w:rPr>
          <w:rFonts w:asciiTheme="majorHAnsi" w:hAnsiTheme="majorHAnsi" w:cstheme="majorHAnsi"/>
        </w:rPr>
      </w:pPr>
      <w:r w:rsidRPr="00A61669">
        <w:rPr>
          <w:rFonts w:asciiTheme="majorHAnsi" w:hAnsiTheme="majorHAnsi" w:cstheme="majorHAnsi"/>
        </w:rPr>
        <w:t>Per-cloud options: GCP Cloud Load Balancing; AWS Application Load Balancer, Network Load Balancer, Global Accelerator; Azure Front Door (global with integrated WAF), Azure Load Balancer, Application Gateway.</w:t>
      </w:r>
    </w:p>
    <w:p w14:paraId="00000733" w14:textId="00000734" w:rsidR="000B0F63" w:rsidRPr="00A61669" w:rsidRDefault="1BAB210A" w:rsidP="00E40261">
      <w:pPr>
        <w:pStyle w:val="Heading2"/>
        <w:jc w:val="both"/>
        <w:rPr>
          <w:rFonts w:asciiTheme="majorHAnsi" w:hAnsiTheme="majorHAnsi" w:cstheme="majorHAnsi"/>
        </w:rPr>
      </w:pPr>
      <w:bookmarkStart w:id="217" w:name="_Toc213"/>
      <w:bookmarkStart w:id="218" w:name="_Toc227770996"/>
      <w:r w:rsidRPr="00A61669">
        <w:rPr>
          <w:rFonts w:asciiTheme="majorHAnsi" w:hAnsiTheme="majorHAnsi" w:cstheme="majorHAnsi"/>
        </w:rPr>
        <w:t>Oracle Modernisation to PostgreSQL</w:t>
      </w:r>
      <w:bookmarkEnd w:id="217"/>
      <w:bookmarkEnd w:id="218"/>
    </w:p>
    <w:p w14:paraId="00000735" w14:textId="6C624EFF" w:rsidR="000B0F63" w:rsidRPr="00A61669" w:rsidRDefault="00C05D22" w:rsidP="00F57DAB">
      <w:pPr>
        <w:pStyle w:val="ListParagraph"/>
        <w:numPr>
          <w:ilvl w:val="0"/>
          <w:numId w:val="46"/>
        </w:numPr>
        <w:jc w:val="both"/>
        <w:rPr>
          <w:rFonts w:asciiTheme="majorHAnsi" w:hAnsiTheme="majorHAnsi" w:cstheme="majorHAnsi"/>
        </w:rPr>
      </w:pPr>
      <w:r w:rsidRPr="00A61669">
        <w:rPr>
          <w:rFonts w:asciiTheme="majorHAnsi" w:hAnsiTheme="majorHAnsi" w:cstheme="majorHAnsi"/>
        </w:rPr>
        <w:t xml:space="preserve">Detailed path analysis is in Section 5 (primary recommendation: Exadata@Cloud for risk reduction, PostgreSQL as a </w:t>
      </w:r>
      <w:r w:rsidR="00100959" w:rsidRPr="00A61669">
        <w:rPr>
          <w:rFonts w:asciiTheme="majorHAnsi" w:hAnsiTheme="majorHAnsi" w:cstheme="majorHAnsi"/>
        </w:rPr>
        <w:t>Part 2</w:t>
      </w:r>
      <w:r w:rsidRPr="00A61669">
        <w:rPr>
          <w:rFonts w:asciiTheme="majorHAnsi" w:hAnsiTheme="majorHAnsi" w:cstheme="majorHAnsi"/>
        </w:rPr>
        <w:t xml:space="preserve"> strategic decision).</w:t>
      </w:r>
    </w:p>
    <w:p w14:paraId="00000739" w14:textId="764E9887" w:rsidR="000B0F63" w:rsidRPr="00A61669" w:rsidRDefault="00F64AAC" w:rsidP="00F57DAB">
      <w:pPr>
        <w:pStyle w:val="ListBullet"/>
        <w:numPr>
          <w:ilvl w:val="0"/>
          <w:numId w:val="46"/>
        </w:numPr>
        <w:jc w:val="both"/>
        <w:rPr>
          <w:rFonts w:asciiTheme="majorHAnsi" w:hAnsiTheme="majorHAnsi" w:cstheme="majorHAnsi"/>
        </w:rPr>
      </w:pPr>
      <w:r w:rsidRPr="00A61669">
        <w:rPr>
          <w:rFonts w:asciiTheme="majorHAnsi" w:hAnsiTheme="majorHAnsi" w:cstheme="majorHAnsi"/>
        </w:rPr>
        <w:t>This saving comes primarily from eliminating the £650K per year Oracle support contract. The infrastructure cost reduction is secondary. The conversion cost to achieve this saving (PL/SQL migration, application refactoring, testing) is not estimated in Part 1 and is a material factor in the Part 2 business case.</w:t>
      </w:r>
      <w:r w:rsidR="00FD1547" w:rsidRPr="00A61669">
        <w:rPr>
          <w:rFonts w:asciiTheme="majorHAnsi" w:hAnsiTheme="majorHAnsi" w:cstheme="majorHAnsi"/>
        </w:rPr>
        <w:t xml:space="preserve"> </w:t>
      </w:r>
      <w:r w:rsidR="00C05D22" w:rsidRPr="00A61669">
        <w:rPr>
          <w:rFonts w:asciiTheme="majorHAnsi" w:hAnsiTheme="majorHAnsi" w:cstheme="majorHAnsi"/>
        </w:rPr>
        <w:t xml:space="preserve">This is the largest single cost item </w:t>
      </w:r>
      <w:r w:rsidR="007415CD" w:rsidRPr="00A61669">
        <w:rPr>
          <w:rFonts w:asciiTheme="majorHAnsi" w:hAnsiTheme="majorHAnsi" w:cstheme="majorHAnsi"/>
        </w:rPr>
        <w:t>DMG Media</w:t>
      </w:r>
      <w:r w:rsidR="00C05D22" w:rsidRPr="00A61669">
        <w:rPr>
          <w:rFonts w:asciiTheme="majorHAnsi" w:hAnsiTheme="majorHAnsi" w:cstheme="majorHAnsi"/>
        </w:rPr>
        <w:t xml:space="preserve"> have.</w:t>
      </w:r>
    </w:p>
    <w:p w14:paraId="0000073B" w14:textId="524A175E" w:rsidR="000B0F63" w:rsidRPr="00A61669" w:rsidRDefault="007415CD" w:rsidP="00F57DAB">
      <w:pPr>
        <w:pStyle w:val="ListBullet"/>
        <w:numPr>
          <w:ilvl w:val="0"/>
          <w:numId w:val="46"/>
        </w:numPr>
        <w:jc w:val="both"/>
        <w:rPr>
          <w:rFonts w:asciiTheme="majorHAnsi" w:hAnsiTheme="majorHAnsi" w:cstheme="majorHAnsi"/>
        </w:rPr>
      </w:pPr>
      <w:r w:rsidRPr="00A61669">
        <w:rPr>
          <w:rFonts w:asciiTheme="majorHAnsi" w:hAnsiTheme="majorHAnsi" w:cstheme="majorHAnsi"/>
        </w:rPr>
        <w:t>DMG Media</w:t>
      </w:r>
      <w:r w:rsidR="00C05D22" w:rsidRPr="00A61669">
        <w:rPr>
          <w:rFonts w:asciiTheme="majorHAnsi" w:hAnsiTheme="majorHAnsi" w:cstheme="majorHAnsi"/>
        </w:rPr>
        <w:t xml:space="preserve"> are already testing PostgreSQL, which demonstrates organisational appetite.</w:t>
      </w:r>
    </w:p>
    <w:p w14:paraId="0000073D" w14:textId="75C1C393" w:rsidR="000B0F63" w:rsidRPr="00A61669" w:rsidRDefault="00C05D22" w:rsidP="00F57DAB">
      <w:pPr>
        <w:pStyle w:val="ListBullet"/>
        <w:numPr>
          <w:ilvl w:val="0"/>
          <w:numId w:val="46"/>
        </w:numPr>
        <w:jc w:val="both"/>
        <w:rPr>
          <w:rFonts w:asciiTheme="majorHAnsi" w:hAnsiTheme="majorHAnsi" w:cstheme="majorHAnsi"/>
        </w:rPr>
      </w:pPr>
      <w:r w:rsidRPr="00A61669">
        <w:rPr>
          <w:rFonts w:asciiTheme="majorHAnsi" w:hAnsiTheme="majorHAnsi" w:cstheme="majorHAnsi"/>
        </w:rPr>
        <w:t xml:space="preserve">It is a strategic decision, not a tactical one. Each hyperscaler has transformation support paths. </w:t>
      </w:r>
      <w:r w:rsidR="00100959" w:rsidRPr="00A61669">
        <w:rPr>
          <w:rFonts w:asciiTheme="majorHAnsi" w:hAnsiTheme="majorHAnsi" w:cstheme="majorHAnsi"/>
        </w:rPr>
        <w:t>Part 2</w:t>
      </w:r>
      <w:r w:rsidRPr="00A61669">
        <w:rPr>
          <w:rFonts w:asciiTheme="majorHAnsi" w:hAnsiTheme="majorHAnsi" w:cstheme="majorHAnsi"/>
        </w:rPr>
        <w:t xml:space="preserve"> validates the effort, risks, and cost through a per-cluster assessment.</w:t>
      </w:r>
    </w:p>
    <w:p w14:paraId="0000073F" w14:textId="00000740" w:rsidR="000B0F63" w:rsidRPr="00A61669" w:rsidRDefault="1BAB210A" w:rsidP="00E40261">
      <w:pPr>
        <w:pStyle w:val="Heading2"/>
        <w:jc w:val="both"/>
        <w:rPr>
          <w:rFonts w:asciiTheme="majorHAnsi" w:hAnsiTheme="majorHAnsi" w:cstheme="majorHAnsi"/>
        </w:rPr>
      </w:pPr>
      <w:bookmarkStart w:id="219" w:name="_Toc214"/>
      <w:bookmarkStart w:id="220" w:name="_Toc227770997"/>
      <w:r w:rsidRPr="00A61669">
        <w:rPr>
          <w:rFonts w:asciiTheme="majorHAnsi" w:hAnsiTheme="majorHAnsi" w:cstheme="majorHAnsi"/>
        </w:rPr>
        <w:t>VMware and Broadcom Contract Exit</w:t>
      </w:r>
      <w:bookmarkEnd w:id="219"/>
      <w:bookmarkEnd w:id="220"/>
    </w:p>
    <w:p w14:paraId="00000741" w14:textId="00000742" w:rsidR="000B0F63" w:rsidRPr="00A61669" w:rsidRDefault="00C05D22" w:rsidP="00E40261">
      <w:pPr>
        <w:jc w:val="both"/>
        <w:rPr>
          <w:rFonts w:asciiTheme="majorHAnsi" w:hAnsiTheme="majorHAnsi" w:cstheme="majorHAnsi"/>
        </w:rPr>
      </w:pPr>
      <w:r w:rsidRPr="00A61669">
        <w:rPr>
          <w:rFonts w:asciiTheme="majorHAnsi" w:hAnsiTheme="majorHAnsi" w:cstheme="majorHAnsi"/>
        </w:rPr>
        <w:t>Detailed position in Section 3 (Broadcom KB 429208 reference). Migrating to cloud before the Broadcom position forces a VCF subscription decision eliminates that cost pressure entirely. It also removes dependency on a vendor whose pricing strategy has become unpredictable.</w:t>
      </w:r>
    </w:p>
    <w:p w14:paraId="00000743" w14:textId="00000744" w:rsidR="000B0F63" w:rsidRPr="00A61669" w:rsidRDefault="1BAB210A" w:rsidP="00E40261">
      <w:pPr>
        <w:pStyle w:val="Heading2"/>
        <w:jc w:val="both"/>
        <w:rPr>
          <w:rFonts w:asciiTheme="majorHAnsi" w:hAnsiTheme="majorHAnsi" w:cstheme="majorHAnsi"/>
        </w:rPr>
      </w:pPr>
      <w:bookmarkStart w:id="221" w:name="_Toc215"/>
      <w:bookmarkStart w:id="222" w:name="_Toc227770998"/>
      <w:r w:rsidRPr="00A61669">
        <w:rPr>
          <w:rFonts w:asciiTheme="majorHAnsi" w:hAnsiTheme="majorHAnsi" w:cstheme="majorHAnsi"/>
        </w:rPr>
        <w:t>Application Rationalisation</w:t>
      </w:r>
      <w:bookmarkEnd w:id="221"/>
      <w:bookmarkEnd w:id="222"/>
    </w:p>
    <w:p w14:paraId="00000745" w14:textId="00000746" w:rsidR="000B0F63" w:rsidRPr="00A61669" w:rsidRDefault="00C05D22" w:rsidP="00E40261">
      <w:pPr>
        <w:jc w:val="both"/>
        <w:rPr>
          <w:rFonts w:asciiTheme="majorHAnsi" w:hAnsiTheme="majorHAnsi" w:cstheme="majorHAnsi"/>
        </w:rPr>
      </w:pPr>
      <w:r w:rsidRPr="00A61669">
        <w:rPr>
          <w:rFonts w:asciiTheme="majorHAnsi" w:hAnsiTheme="majorHAnsi" w:cstheme="majorHAnsi"/>
        </w:rPr>
        <w:t>Applications that are candidates for retirement or SaaS replacement rather than cloud migration. Every application retired is servers removed from migration scope.</w:t>
      </w:r>
    </w:p>
    <w:p w14:paraId="00000747" w14:textId="00000748" w:rsidR="000B0F63" w:rsidRPr="00A61669" w:rsidRDefault="00C05D22" w:rsidP="00F57DAB">
      <w:pPr>
        <w:pStyle w:val="ListBullet"/>
        <w:numPr>
          <w:ilvl w:val="0"/>
          <w:numId w:val="28"/>
        </w:numPr>
        <w:jc w:val="both"/>
        <w:rPr>
          <w:rFonts w:asciiTheme="majorHAnsi" w:hAnsiTheme="majorHAnsi" w:cstheme="majorHAnsi"/>
        </w:rPr>
      </w:pPr>
      <w:r w:rsidRPr="00A61669">
        <w:rPr>
          <w:rFonts w:asciiTheme="majorHAnsi" w:hAnsiTheme="majorHAnsi" w:cstheme="majorHAnsi"/>
          <w:b/>
        </w:rPr>
        <w:t xml:space="preserve">Atex 5.5 (Legacy): </w:t>
      </w:r>
      <w:r w:rsidRPr="00A61669">
        <w:rPr>
          <w:rFonts w:asciiTheme="majorHAnsi" w:hAnsiTheme="majorHAnsi" w:cstheme="majorHAnsi"/>
        </w:rPr>
        <w:t>32-bit architecture incompatible with modern cloud VMs. Candidate for retirement once Atex 6 migration is complete. Removes approximately 5 TB of Oracle storage.</w:t>
      </w:r>
    </w:p>
    <w:p w14:paraId="00000749" w14:textId="0000074A" w:rsidR="000B0F63" w:rsidRPr="00A61669" w:rsidRDefault="00C05D22" w:rsidP="00F57DAB">
      <w:pPr>
        <w:pStyle w:val="ListBullet"/>
        <w:numPr>
          <w:ilvl w:val="0"/>
          <w:numId w:val="28"/>
        </w:numPr>
        <w:jc w:val="both"/>
        <w:rPr>
          <w:rFonts w:asciiTheme="majorHAnsi" w:hAnsiTheme="majorHAnsi" w:cstheme="majorHAnsi"/>
        </w:rPr>
      </w:pPr>
      <w:r w:rsidRPr="00A61669">
        <w:rPr>
          <w:rFonts w:asciiTheme="majorHAnsi" w:hAnsiTheme="majorHAnsi" w:cstheme="majorHAnsi"/>
          <w:b/>
        </w:rPr>
        <w:t xml:space="preserve">IBM Lotus Notes: </w:t>
      </w:r>
      <w:r w:rsidRPr="00A61669">
        <w:rPr>
          <w:rFonts w:asciiTheme="majorHAnsi" w:hAnsiTheme="majorHAnsi" w:cstheme="majorHAnsi"/>
        </w:rPr>
        <w:t>legacy collaboration platform. SaaS replacement (Microsoft 365 or Google Workspace) eliminates the infrastructure entirely.</w:t>
      </w:r>
    </w:p>
    <w:p w14:paraId="0000074B" w14:textId="0000074C" w:rsidR="000B0F63" w:rsidRPr="00A61669" w:rsidRDefault="00C05D22" w:rsidP="00F57DAB">
      <w:pPr>
        <w:pStyle w:val="ListBullet"/>
        <w:numPr>
          <w:ilvl w:val="0"/>
          <w:numId w:val="28"/>
        </w:numPr>
        <w:jc w:val="both"/>
        <w:rPr>
          <w:rFonts w:asciiTheme="majorHAnsi" w:hAnsiTheme="majorHAnsi" w:cstheme="majorHAnsi"/>
        </w:rPr>
      </w:pPr>
      <w:r w:rsidRPr="00A61669">
        <w:rPr>
          <w:rFonts w:asciiTheme="majorHAnsi" w:hAnsiTheme="majorHAnsi" w:cstheme="majorHAnsi"/>
          <w:b/>
        </w:rPr>
        <w:t xml:space="preserve">SolarWinds and Zabbix: </w:t>
      </w:r>
      <w:r w:rsidRPr="00A61669">
        <w:rPr>
          <w:rFonts w:asciiTheme="majorHAnsi" w:hAnsiTheme="majorHAnsi" w:cstheme="majorHAnsi"/>
        </w:rPr>
        <w:t>current monitoring tools. Cloud-native monitoring replaces these as part of landing zone build.</w:t>
      </w:r>
    </w:p>
    <w:p w14:paraId="0000074D" w14:textId="0000074E" w:rsidR="000B0F63" w:rsidRPr="00A61669" w:rsidRDefault="00C05D22" w:rsidP="00F57DAB">
      <w:pPr>
        <w:pStyle w:val="ListBullet"/>
        <w:numPr>
          <w:ilvl w:val="0"/>
          <w:numId w:val="28"/>
        </w:numPr>
        <w:jc w:val="both"/>
        <w:rPr>
          <w:rFonts w:asciiTheme="majorHAnsi" w:hAnsiTheme="majorHAnsi" w:cstheme="majorHAnsi"/>
        </w:rPr>
      </w:pPr>
      <w:r w:rsidRPr="00A61669">
        <w:rPr>
          <w:rFonts w:asciiTheme="majorHAnsi" w:hAnsiTheme="majorHAnsi" w:cstheme="majorHAnsi"/>
          <w:b/>
        </w:rPr>
        <w:t xml:space="preserve">Other candidates identified by application owners: </w:t>
      </w:r>
      <w:r w:rsidRPr="00A61669">
        <w:rPr>
          <w:rFonts w:asciiTheme="majorHAnsi" w:hAnsiTheme="majorHAnsi" w:cstheme="majorHAnsi"/>
        </w:rPr>
        <w:t>Wombat, Mediaplanner, Landscape, Fingerpost reporting tools. Each needs owner validation before retirement.</w:t>
      </w:r>
    </w:p>
    <w:p w14:paraId="0000074F" w14:textId="00000750" w:rsidR="000B0F63" w:rsidRPr="00A61669" w:rsidRDefault="1BAB210A" w:rsidP="00E40261">
      <w:pPr>
        <w:pStyle w:val="Heading2"/>
        <w:jc w:val="both"/>
        <w:rPr>
          <w:rFonts w:asciiTheme="majorHAnsi" w:hAnsiTheme="majorHAnsi" w:cstheme="majorHAnsi"/>
        </w:rPr>
      </w:pPr>
      <w:bookmarkStart w:id="223" w:name="_Toc216"/>
      <w:bookmarkStart w:id="224" w:name="_Toc227770999"/>
      <w:r w:rsidRPr="00A61669">
        <w:rPr>
          <w:rFonts w:asciiTheme="majorHAnsi" w:hAnsiTheme="majorHAnsi" w:cstheme="majorHAnsi"/>
        </w:rPr>
        <w:t>Sydney Datacentre Quick-Win</w:t>
      </w:r>
      <w:bookmarkEnd w:id="223"/>
      <w:bookmarkEnd w:id="224"/>
    </w:p>
    <w:p w14:paraId="00000751" w14:textId="5F618D97"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Sydney datacentre operates on a flexible contract with no exit penalty. The CSP application (CHP Sydney) runs on approximately four servers with approximately 0.4 TB of Oracle storage. Migrating Sydney early provides an immediate DC cost offset (approximately </w:t>
      </w:r>
      <w:r w:rsidR="00312BB7" w:rsidRPr="00A61669">
        <w:rPr>
          <w:rFonts w:asciiTheme="majorHAnsi" w:hAnsiTheme="majorHAnsi" w:cstheme="majorHAnsi"/>
        </w:rPr>
        <w:t>£</w:t>
      </w:r>
      <w:r w:rsidRPr="00A61669">
        <w:rPr>
          <w:rFonts w:asciiTheme="majorHAnsi" w:hAnsiTheme="majorHAnsi" w:cstheme="majorHAnsi"/>
        </w:rPr>
        <w:t>40K</w:t>
      </w:r>
      <w:r w:rsidR="001120CD" w:rsidRPr="00A61669">
        <w:rPr>
          <w:rFonts w:asciiTheme="majorHAnsi" w:hAnsiTheme="majorHAnsi" w:cstheme="majorHAnsi"/>
        </w:rPr>
        <w:t xml:space="preserve"> per year</w:t>
      </w:r>
      <w:r w:rsidRPr="00A61669">
        <w:rPr>
          <w:rFonts w:asciiTheme="majorHAnsi" w:hAnsiTheme="majorHAnsi" w:cstheme="majorHAnsi"/>
        </w:rPr>
        <w:t>) and serves as a low-risk proof point for the migration programme.</w:t>
      </w:r>
    </w:p>
    <w:p w14:paraId="00000753" w14:textId="00000754" w:rsidR="000B0F63" w:rsidRPr="00A61669" w:rsidRDefault="1BAB210A" w:rsidP="00E40261">
      <w:pPr>
        <w:pStyle w:val="Heading2"/>
        <w:jc w:val="both"/>
        <w:rPr>
          <w:rFonts w:asciiTheme="majorHAnsi" w:hAnsiTheme="majorHAnsi" w:cstheme="majorHAnsi"/>
        </w:rPr>
      </w:pPr>
      <w:bookmarkStart w:id="225" w:name="_Toc217"/>
      <w:bookmarkStart w:id="226" w:name="_Toc227771000"/>
      <w:r w:rsidRPr="00A61669">
        <w:rPr>
          <w:rFonts w:asciiTheme="majorHAnsi" w:hAnsiTheme="majorHAnsi" w:cstheme="majorHAnsi"/>
        </w:rPr>
        <w:t>SQL Server Licensing Optimisation</w:t>
      </w:r>
      <w:bookmarkEnd w:id="225"/>
      <w:bookmarkEnd w:id="226"/>
    </w:p>
    <w:p w14:paraId="00000755" w14:textId="40A54710"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SQL Server licensing is 40-60% of the effective cost for SQL workloads. SQL Server BYOL eliminates approximately </w:t>
      </w:r>
      <w:r w:rsidR="00312BB7" w:rsidRPr="00A61669">
        <w:rPr>
          <w:rFonts w:asciiTheme="majorHAnsi" w:hAnsiTheme="majorHAnsi" w:cstheme="majorHAnsi"/>
        </w:rPr>
        <w:t>£</w:t>
      </w:r>
      <w:r w:rsidRPr="00A61669">
        <w:rPr>
          <w:rFonts w:asciiTheme="majorHAnsi" w:hAnsiTheme="majorHAnsi" w:cstheme="majorHAnsi"/>
        </w:rPr>
        <w:t>14-15K</w:t>
      </w:r>
      <w:r w:rsidR="001120CD" w:rsidRPr="00A61669">
        <w:rPr>
          <w:rFonts w:asciiTheme="majorHAnsi" w:hAnsiTheme="majorHAnsi" w:cstheme="majorHAnsi"/>
        </w:rPr>
        <w:t xml:space="preserve"> per month</w:t>
      </w:r>
      <w:r w:rsidRPr="00A61669">
        <w:rPr>
          <w:rFonts w:asciiTheme="majorHAnsi" w:hAnsiTheme="majorHAnsi" w:cstheme="majorHAnsi"/>
        </w:rPr>
        <w:t xml:space="preserve"> of surcharge across clouds. Further optimisation possible by moving to managed SQL services.</w:t>
      </w:r>
      <w:r w:rsidR="005F382F" w:rsidRPr="00A61669">
        <w:rPr>
          <w:rFonts w:asciiTheme="majorHAnsi" w:hAnsiTheme="majorHAnsi" w:cstheme="majorHAnsi"/>
        </w:rPr>
        <w:t xml:space="preserve"> NCS's current shared-hosting model is well optimised for core-based licensing. Any move to managed services should be assessed against this baseline to confirm the saving is real.</w:t>
      </w:r>
    </w:p>
    <w:p w14:paraId="00000757" w14:textId="00000758" w:rsidR="000B0F63" w:rsidRPr="00A61669" w:rsidRDefault="1BAB210A" w:rsidP="00E40261">
      <w:pPr>
        <w:pStyle w:val="Heading2"/>
        <w:jc w:val="both"/>
        <w:rPr>
          <w:rFonts w:asciiTheme="majorHAnsi" w:hAnsiTheme="majorHAnsi" w:cstheme="majorHAnsi"/>
        </w:rPr>
      </w:pPr>
      <w:bookmarkStart w:id="227" w:name="_Toc218"/>
      <w:bookmarkStart w:id="228" w:name="_Toc227771001"/>
      <w:r w:rsidRPr="00A61669">
        <w:rPr>
          <w:rFonts w:asciiTheme="majorHAnsi" w:hAnsiTheme="majorHAnsi" w:cstheme="majorHAnsi"/>
        </w:rPr>
        <w:t>Infrastructure as Code and Automation</w:t>
      </w:r>
      <w:bookmarkEnd w:id="227"/>
      <w:bookmarkEnd w:id="228"/>
    </w:p>
    <w:p w14:paraId="00000759" w14:textId="0000075A" w:rsidR="000B0F63" w:rsidRPr="00A61669" w:rsidRDefault="00C05D22" w:rsidP="00E40261">
      <w:pPr>
        <w:jc w:val="both"/>
        <w:rPr>
          <w:rFonts w:asciiTheme="majorHAnsi" w:hAnsiTheme="majorHAnsi" w:cstheme="majorHAnsi"/>
        </w:rPr>
      </w:pPr>
      <w:r w:rsidRPr="00A61669">
        <w:rPr>
          <w:rFonts w:asciiTheme="majorHAnsi" w:hAnsiTheme="majorHAnsi" w:cstheme="majorHAnsi"/>
        </w:rPr>
        <w:t>Adopting Infrastructure-as-Code (Terraform or cloud-native equivalent) as the default for all cloud resource provisioning from day one. Removes manual configuration errors, accelerates environment creation, makes the whole estate reproducible and auditable.</w:t>
      </w:r>
    </w:p>
    <w:p w14:paraId="0000075B" w14:textId="0000075C" w:rsidR="000B0F63" w:rsidRPr="00A61669" w:rsidRDefault="1BAB210A" w:rsidP="00E40261">
      <w:pPr>
        <w:pStyle w:val="Heading2"/>
        <w:jc w:val="both"/>
        <w:rPr>
          <w:rFonts w:asciiTheme="majorHAnsi" w:hAnsiTheme="majorHAnsi" w:cstheme="majorHAnsi"/>
        </w:rPr>
      </w:pPr>
      <w:bookmarkStart w:id="229" w:name="_Toc219"/>
      <w:bookmarkStart w:id="230" w:name="_Toc227771002"/>
      <w:r w:rsidRPr="00A61669">
        <w:rPr>
          <w:rFonts w:asciiTheme="majorHAnsi" w:hAnsiTheme="majorHAnsi" w:cstheme="majorHAnsi"/>
        </w:rPr>
        <w:t>Observability Consolidation</w:t>
      </w:r>
      <w:bookmarkEnd w:id="229"/>
      <w:bookmarkEnd w:id="230"/>
    </w:p>
    <w:p w14:paraId="0000075D" w14:textId="0000075E" w:rsidR="000B0F63" w:rsidRPr="00A61669" w:rsidRDefault="00C05D22" w:rsidP="00E40261">
      <w:pPr>
        <w:jc w:val="both"/>
        <w:rPr>
          <w:rFonts w:asciiTheme="majorHAnsi" w:hAnsiTheme="majorHAnsi" w:cstheme="majorHAnsi"/>
        </w:rPr>
      </w:pPr>
      <w:r w:rsidRPr="00A61669">
        <w:rPr>
          <w:rFonts w:asciiTheme="majorHAnsi" w:hAnsiTheme="majorHAnsi" w:cstheme="majorHAnsi"/>
        </w:rPr>
        <w:t>Replacing SolarWinds and Zabbix with cloud-native observability (Cloud Operations, CloudWatch, Azure Monitor, or a cloud-agnostic tool like Datadog or Grafana Cloud). Delivers consistent monitoring across brands, same metrics and alerting patterns, tight integration with cloud platform services.</w:t>
      </w:r>
    </w:p>
    <w:p w14:paraId="3EC6F406" w14:textId="718C5867" w:rsidR="00571585" w:rsidRPr="00A61669" w:rsidRDefault="00571585" w:rsidP="00571585">
      <w:pPr>
        <w:pStyle w:val="Heading2"/>
        <w:rPr>
          <w:rFonts w:asciiTheme="majorHAnsi" w:hAnsiTheme="majorHAnsi" w:cstheme="majorHAnsi"/>
        </w:rPr>
      </w:pPr>
      <w:bookmarkStart w:id="231" w:name="_Toc227771003"/>
      <w:r w:rsidRPr="00A61669">
        <w:rPr>
          <w:rFonts w:asciiTheme="majorHAnsi" w:hAnsiTheme="majorHAnsi" w:cstheme="majorHAnsi"/>
        </w:rPr>
        <w:t>Akamai vs Cloudfront</w:t>
      </w:r>
      <w:bookmarkEnd w:id="231"/>
    </w:p>
    <w:p w14:paraId="2F06D5AD" w14:textId="5788A8E5" w:rsidR="009137C1" w:rsidRPr="00A61669" w:rsidRDefault="009137C1" w:rsidP="009137C1">
      <w:pPr>
        <w:rPr>
          <w:rFonts w:asciiTheme="majorHAnsi" w:hAnsiTheme="majorHAnsi" w:cstheme="majorHAnsi"/>
        </w:rPr>
      </w:pPr>
      <w:r w:rsidRPr="00A61669">
        <w:rPr>
          <w:rFonts w:asciiTheme="majorHAnsi" w:hAnsiTheme="majorHAnsi" w:cstheme="majorHAnsi"/>
        </w:rPr>
        <w:t>CDN migration from Akamai to AWS CloudFront is a further opportunity. Rackspace has recent experience delivering Akamai-to-CloudFront migrations. AWS has identified this as a potential saving, with data transfer out costs reducing by 50-80% for web traffic. This should be investigated in partnership with AWS in a later phase</w:t>
      </w:r>
    </w:p>
    <w:p w14:paraId="0000075F" w14:textId="00000760" w:rsidR="000B0F63" w:rsidRPr="00A61669" w:rsidRDefault="1BAB210A" w:rsidP="00E40261">
      <w:pPr>
        <w:pStyle w:val="Heading2"/>
        <w:jc w:val="both"/>
        <w:rPr>
          <w:rFonts w:asciiTheme="majorHAnsi" w:hAnsiTheme="majorHAnsi" w:cstheme="majorHAnsi"/>
        </w:rPr>
      </w:pPr>
      <w:bookmarkStart w:id="232" w:name="_Toc220"/>
      <w:bookmarkStart w:id="233" w:name="_Toc227771004"/>
      <w:r w:rsidRPr="00A61669">
        <w:rPr>
          <w:rFonts w:asciiTheme="majorHAnsi" w:hAnsiTheme="majorHAnsi" w:cstheme="majorHAnsi"/>
        </w:rPr>
        <w:t>Summary of Opportunities</w:t>
      </w:r>
      <w:bookmarkEnd w:id="232"/>
      <w:bookmarkEnd w:id="233"/>
    </w:p>
    <w:p w14:paraId="00000761" w14:textId="531A1EA6" w:rsidR="000B0F63" w:rsidRPr="00A61669" w:rsidRDefault="1BAB210A" w:rsidP="00E40261">
      <w:pPr>
        <w:pStyle w:val="Heading3"/>
        <w:jc w:val="both"/>
        <w:rPr>
          <w:rFonts w:asciiTheme="majorHAnsi" w:hAnsiTheme="majorHAnsi" w:cstheme="majorHAnsi"/>
        </w:rPr>
      </w:pPr>
      <w:bookmarkStart w:id="234" w:name="_Toc221"/>
      <w:bookmarkStart w:id="235" w:name="_Toc227771005"/>
      <w:r w:rsidRPr="00A61669">
        <w:rPr>
          <w:rFonts w:asciiTheme="majorHAnsi" w:hAnsiTheme="majorHAnsi" w:cstheme="majorHAnsi"/>
        </w:rPr>
        <w:t xml:space="preserve">Quantified savings (modelled in </w:t>
      </w:r>
      <w:r w:rsidR="00100959" w:rsidRPr="00A61669">
        <w:rPr>
          <w:rFonts w:asciiTheme="majorHAnsi" w:hAnsiTheme="majorHAnsi" w:cstheme="majorHAnsi"/>
        </w:rPr>
        <w:t>Part 1</w:t>
      </w:r>
      <w:r w:rsidRPr="00A61669">
        <w:rPr>
          <w:rFonts w:asciiTheme="majorHAnsi" w:hAnsiTheme="majorHAnsi" w:cstheme="majorHAnsi"/>
        </w:rPr>
        <w:t>)</w:t>
      </w:r>
      <w:bookmarkEnd w:id="234"/>
      <w:bookmarkEnd w:id="235"/>
    </w:p>
    <w:p w14:paraId="00000763" w14:textId="5B8A5047" w:rsidR="000B0F63" w:rsidRPr="00A61669" w:rsidRDefault="00C05D22" w:rsidP="00F57DAB">
      <w:pPr>
        <w:pStyle w:val="ListBullet"/>
        <w:numPr>
          <w:ilvl w:val="0"/>
          <w:numId w:val="30"/>
        </w:numPr>
        <w:jc w:val="both"/>
        <w:rPr>
          <w:rFonts w:asciiTheme="majorHAnsi" w:hAnsiTheme="majorHAnsi" w:cstheme="majorHAnsi"/>
        </w:rPr>
      </w:pPr>
      <w:r w:rsidRPr="00A61669">
        <w:rPr>
          <w:rFonts w:asciiTheme="majorHAnsi" w:hAnsiTheme="majorHAnsi" w:cstheme="majorHAnsi"/>
        </w:rPr>
        <w:t xml:space="preserve">Oracle modernisation </w:t>
      </w:r>
      <w:r w:rsidR="000C108A" w:rsidRPr="00A61669">
        <w:rPr>
          <w:rFonts w:asciiTheme="majorHAnsi" w:hAnsiTheme="majorHAnsi" w:cstheme="majorHAnsi"/>
        </w:rPr>
        <w:t>(</w:t>
      </w:r>
      <w:r w:rsidR="00312BB7" w:rsidRPr="00A61669">
        <w:rPr>
          <w:rFonts w:asciiTheme="majorHAnsi" w:hAnsiTheme="majorHAnsi" w:cstheme="majorHAnsi"/>
        </w:rPr>
        <w:t>£</w:t>
      </w:r>
      <w:r w:rsidRPr="00A61669">
        <w:rPr>
          <w:rFonts w:asciiTheme="majorHAnsi" w:hAnsiTheme="majorHAnsi" w:cstheme="majorHAnsi"/>
        </w:rPr>
        <w:t>45-65K</w:t>
      </w:r>
      <w:r w:rsidR="001120CD" w:rsidRPr="00A61669">
        <w:rPr>
          <w:rFonts w:asciiTheme="majorHAnsi" w:hAnsiTheme="majorHAnsi" w:cstheme="majorHAnsi"/>
        </w:rPr>
        <w:t xml:space="preserve"> per </w:t>
      </w:r>
      <w:r w:rsidR="00DF6BBC" w:rsidRPr="00A61669">
        <w:rPr>
          <w:rFonts w:asciiTheme="majorHAnsi" w:hAnsiTheme="majorHAnsi" w:cstheme="majorHAnsi"/>
        </w:rPr>
        <w:t>month</w:t>
      </w:r>
      <w:r w:rsidRPr="00A61669">
        <w:rPr>
          <w:rFonts w:asciiTheme="majorHAnsi" w:hAnsiTheme="majorHAnsi" w:cstheme="majorHAnsi"/>
        </w:rPr>
        <w:t xml:space="preserve"> depending on cloud - </w:t>
      </w:r>
      <w:r w:rsidR="00100959" w:rsidRPr="00A61669">
        <w:rPr>
          <w:rFonts w:asciiTheme="majorHAnsi" w:hAnsiTheme="majorHAnsi" w:cstheme="majorHAnsi"/>
        </w:rPr>
        <w:t>Part 2</w:t>
      </w:r>
      <w:r w:rsidRPr="00A61669">
        <w:rPr>
          <w:rFonts w:asciiTheme="majorHAnsi" w:hAnsiTheme="majorHAnsi" w:cstheme="majorHAnsi"/>
        </w:rPr>
        <w:t xml:space="preserve"> strategic decision)</w:t>
      </w:r>
    </w:p>
    <w:p w14:paraId="00000765" w14:textId="1B771671" w:rsidR="000B0F63" w:rsidRPr="00A61669" w:rsidRDefault="00C05D22" w:rsidP="00F57DAB">
      <w:pPr>
        <w:pStyle w:val="ListBullet"/>
        <w:numPr>
          <w:ilvl w:val="0"/>
          <w:numId w:val="30"/>
        </w:numPr>
        <w:jc w:val="both"/>
        <w:rPr>
          <w:rFonts w:asciiTheme="majorHAnsi" w:hAnsiTheme="majorHAnsi" w:cstheme="majorHAnsi"/>
        </w:rPr>
      </w:pPr>
      <w:r w:rsidRPr="00A61669">
        <w:rPr>
          <w:rFonts w:asciiTheme="majorHAnsi" w:hAnsiTheme="majorHAnsi" w:cstheme="majorHAnsi"/>
        </w:rPr>
        <w:t xml:space="preserve">Windows BYOL </w:t>
      </w:r>
      <w:r w:rsidR="000C108A" w:rsidRPr="00A61669">
        <w:rPr>
          <w:rFonts w:asciiTheme="majorHAnsi" w:hAnsiTheme="majorHAnsi" w:cstheme="majorHAnsi"/>
        </w:rPr>
        <w:t>(</w:t>
      </w:r>
      <w:r w:rsidR="00312BB7" w:rsidRPr="00A61669">
        <w:rPr>
          <w:rFonts w:asciiTheme="majorHAnsi" w:hAnsiTheme="majorHAnsi" w:cstheme="majorHAnsi"/>
        </w:rPr>
        <w:t>£</w:t>
      </w:r>
      <w:r w:rsidRPr="00A61669">
        <w:rPr>
          <w:rFonts w:asciiTheme="majorHAnsi" w:hAnsiTheme="majorHAnsi" w:cstheme="majorHAnsi"/>
        </w:rPr>
        <w:t>7-18K</w:t>
      </w:r>
      <w:r w:rsidR="001120CD" w:rsidRPr="00A61669">
        <w:rPr>
          <w:rFonts w:asciiTheme="majorHAnsi" w:hAnsiTheme="majorHAnsi" w:cstheme="majorHAnsi"/>
        </w:rPr>
        <w:t xml:space="preserve"> per </w:t>
      </w:r>
      <w:r w:rsidR="00DF6BBC" w:rsidRPr="00A61669">
        <w:rPr>
          <w:rFonts w:asciiTheme="majorHAnsi" w:hAnsiTheme="majorHAnsi" w:cstheme="majorHAnsi"/>
        </w:rPr>
        <w:t>month</w:t>
      </w:r>
      <w:r w:rsidRPr="00A61669">
        <w:rPr>
          <w:rFonts w:asciiTheme="majorHAnsi" w:hAnsiTheme="majorHAnsi" w:cstheme="majorHAnsi"/>
        </w:rPr>
        <w:t xml:space="preserve"> depending on cloud, Software Assurance dependent)</w:t>
      </w:r>
    </w:p>
    <w:p w14:paraId="00000767" w14:textId="21078DB1" w:rsidR="000B0F63" w:rsidRPr="00A61669" w:rsidRDefault="00C05D22" w:rsidP="00F57DAB">
      <w:pPr>
        <w:pStyle w:val="ListBullet"/>
        <w:numPr>
          <w:ilvl w:val="0"/>
          <w:numId w:val="30"/>
        </w:numPr>
        <w:jc w:val="both"/>
        <w:rPr>
          <w:rFonts w:asciiTheme="majorHAnsi" w:hAnsiTheme="majorHAnsi" w:cstheme="majorHAnsi"/>
        </w:rPr>
      </w:pPr>
      <w:r w:rsidRPr="00A61669">
        <w:rPr>
          <w:rFonts w:asciiTheme="majorHAnsi" w:hAnsiTheme="majorHAnsi" w:cstheme="majorHAnsi"/>
        </w:rPr>
        <w:t xml:space="preserve">SQL Server BYOL </w:t>
      </w:r>
      <w:r w:rsidR="000C108A" w:rsidRPr="00A61669">
        <w:rPr>
          <w:rFonts w:asciiTheme="majorHAnsi" w:hAnsiTheme="majorHAnsi" w:cstheme="majorHAnsi"/>
        </w:rPr>
        <w:t>(</w:t>
      </w:r>
      <w:r w:rsidR="00312BB7" w:rsidRPr="00A61669">
        <w:rPr>
          <w:rFonts w:asciiTheme="majorHAnsi" w:hAnsiTheme="majorHAnsi" w:cstheme="majorHAnsi"/>
        </w:rPr>
        <w:t>£</w:t>
      </w:r>
      <w:r w:rsidRPr="00A61669">
        <w:rPr>
          <w:rFonts w:asciiTheme="majorHAnsi" w:hAnsiTheme="majorHAnsi" w:cstheme="majorHAnsi"/>
        </w:rPr>
        <w:t>14-15K</w:t>
      </w:r>
      <w:r w:rsidR="001120CD" w:rsidRPr="00A61669">
        <w:rPr>
          <w:rFonts w:asciiTheme="majorHAnsi" w:hAnsiTheme="majorHAnsi" w:cstheme="majorHAnsi"/>
        </w:rPr>
        <w:t xml:space="preserve"> per </w:t>
      </w:r>
      <w:r w:rsidR="00DF6BBC" w:rsidRPr="00A61669">
        <w:rPr>
          <w:rFonts w:asciiTheme="majorHAnsi" w:hAnsiTheme="majorHAnsi" w:cstheme="majorHAnsi"/>
        </w:rPr>
        <w:t>month</w:t>
      </w:r>
      <w:r w:rsidRPr="00A61669">
        <w:rPr>
          <w:rFonts w:asciiTheme="majorHAnsi" w:hAnsiTheme="majorHAnsi" w:cstheme="majorHAnsi"/>
        </w:rPr>
        <w:t xml:space="preserve"> across all three clouds if SA confirmed)</w:t>
      </w:r>
    </w:p>
    <w:p w14:paraId="00000769" w14:textId="001ACBA4" w:rsidR="000B0F63" w:rsidRPr="00A61669" w:rsidRDefault="00C05D22" w:rsidP="00F57DAB">
      <w:pPr>
        <w:pStyle w:val="ListBullet"/>
        <w:numPr>
          <w:ilvl w:val="0"/>
          <w:numId w:val="30"/>
        </w:numPr>
        <w:jc w:val="both"/>
        <w:rPr>
          <w:rFonts w:asciiTheme="majorHAnsi" w:hAnsiTheme="majorHAnsi" w:cstheme="majorHAnsi"/>
        </w:rPr>
      </w:pPr>
      <w:r w:rsidRPr="00A61669">
        <w:rPr>
          <w:rFonts w:asciiTheme="majorHAnsi" w:hAnsiTheme="majorHAnsi" w:cstheme="majorHAnsi"/>
        </w:rPr>
        <w:t xml:space="preserve">Storage tiering </w:t>
      </w:r>
      <w:r w:rsidR="000C108A" w:rsidRPr="00A61669">
        <w:rPr>
          <w:rFonts w:asciiTheme="majorHAnsi" w:hAnsiTheme="majorHAnsi" w:cstheme="majorHAnsi"/>
        </w:rPr>
        <w:t>(</w:t>
      </w:r>
      <w:r w:rsidR="00312BB7" w:rsidRPr="00A61669">
        <w:rPr>
          <w:rFonts w:asciiTheme="majorHAnsi" w:hAnsiTheme="majorHAnsi" w:cstheme="majorHAnsi"/>
        </w:rPr>
        <w:t>£</w:t>
      </w:r>
      <w:r w:rsidRPr="00A61669">
        <w:rPr>
          <w:rFonts w:asciiTheme="majorHAnsi" w:hAnsiTheme="majorHAnsi" w:cstheme="majorHAnsi"/>
        </w:rPr>
        <w:t>10-19K</w:t>
      </w:r>
      <w:r w:rsidR="001120CD" w:rsidRPr="00A61669">
        <w:rPr>
          <w:rFonts w:asciiTheme="majorHAnsi" w:hAnsiTheme="majorHAnsi" w:cstheme="majorHAnsi"/>
        </w:rPr>
        <w:t xml:space="preserve"> per </w:t>
      </w:r>
      <w:r w:rsidR="00DF6BBC" w:rsidRPr="00A61669">
        <w:rPr>
          <w:rFonts w:asciiTheme="majorHAnsi" w:hAnsiTheme="majorHAnsi" w:cstheme="majorHAnsi"/>
        </w:rPr>
        <w:t>month</w:t>
      </w:r>
      <w:r w:rsidRPr="00A61669">
        <w:rPr>
          <w:rFonts w:asciiTheme="majorHAnsi" w:hAnsiTheme="majorHAnsi" w:cstheme="majorHAnsi"/>
        </w:rPr>
        <w:t xml:space="preserve"> depending on cloud)</w:t>
      </w:r>
    </w:p>
    <w:p w14:paraId="0000076B" w14:textId="2B7E813D" w:rsidR="000B0F63" w:rsidRPr="00A61669" w:rsidRDefault="00C05D22" w:rsidP="00F57DAB">
      <w:pPr>
        <w:pStyle w:val="ListBullet"/>
        <w:numPr>
          <w:ilvl w:val="0"/>
          <w:numId w:val="30"/>
        </w:numPr>
        <w:jc w:val="both"/>
        <w:rPr>
          <w:rFonts w:asciiTheme="majorHAnsi" w:hAnsiTheme="majorHAnsi" w:cstheme="majorHAnsi"/>
        </w:rPr>
      </w:pPr>
      <w:r w:rsidRPr="00A61669">
        <w:rPr>
          <w:rFonts w:asciiTheme="majorHAnsi" w:hAnsiTheme="majorHAnsi" w:cstheme="majorHAnsi"/>
        </w:rPr>
        <w:t xml:space="preserve">Overprovisioned instance rightsizing (quantified during </w:t>
      </w:r>
      <w:r w:rsidR="00100959" w:rsidRPr="00A61669">
        <w:rPr>
          <w:rFonts w:asciiTheme="majorHAnsi" w:hAnsiTheme="majorHAnsi" w:cstheme="majorHAnsi"/>
        </w:rPr>
        <w:t>Part 2</w:t>
      </w:r>
      <w:r w:rsidRPr="00A61669">
        <w:rPr>
          <w:rFonts w:asciiTheme="majorHAnsi" w:hAnsiTheme="majorHAnsi" w:cstheme="majorHAnsi"/>
        </w:rPr>
        <w:t>)</w:t>
      </w:r>
    </w:p>
    <w:p w14:paraId="0000076D" w14:textId="007F3E7A" w:rsidR="000B0F63" w:rsidRPr="00A61669" w:rsidRDefault="1BAB210A" w:rsidP="00E40261">
      <w:pPr>
        <w:pStyle w:val="Heading3"/>
        <w:jc w:val="both"/>
        <w:rPr>
          <w:rFonts w:asciiTheme="majorHAnsi" w:hAnsiTheme="majorHAnsi" w:cstheme="majorHAnsi"/>
        </w:rPr>
      </w:pPr>
      <w:bookmarkStart w:id="236" w:name="_Toc222"/>
      <w:bookmarkStart w:id="237" w:name="_Toc227771006"/>
      <w:r w:rsidRPr="00A61669">
        <w:rPr>
          <w:rFonts w:asciiTheme="majorHAnsi" w:hAnsiTheme="majorHAnsi" w:cstheme="majorHAnsi"/>
        </w:rPr>
        <w:t>Qualitative opportunities (</w:t>
      </w:r>
      <w:r w:rsidR="00100959" w:rsidRPr="00A61669">
        <w:rPr>
          <w:rFonts w:asciiTheme="majorHAnsi" w:hAnsiTheme="majorHAnsi" w:cstheme="majorHAnsi"/>
        </w:rPr>
        <w:t>Part 2</w:t>
      </w:r>
      <w:r w:rsidRPr="00A61669">
        <w:rPr>
          <w:rFonts w:asciiTheme="majorHAnsi" w:hAnsiTheme="majorHAnsi" w:cstheme="majorHAnsi"/>
        </w:rPr>
        <w:t xml:space="preserve"> to quantify)</w:t>
      </w:r>
      <w:bookmarkEnd w:id="236"/>
      <w:bookmarkEnd w:id="237"/>
    </w:p>
    <w:p w14:paraId="0000076F" w14:textId="00000770" w:rsidR="000B0F63" w:rsidRPr="00A61669" w:rsidRDefault="00C05D22" w:rsidP="00F57DAB">
      <w:pPr>
        <w:pStyle w:val="ListBullet"/>
        <w:numPr>
          <w:ilvl w:val="0"/>
          <w:numId w:val="29"/>
        </w:numPr>
        <w:jc w:val="both"/>
        <w:rPr>
          <w:rFonts w:asciiTheme="majorHAnsi" w:hAnsiTheme="majorHAnsi" w:cstheme="majorHAnsi"/>
        </w:rPr>
      </w:pPr>
      <w:r w:rsidRPr="00A61669">
        <w:rPr>
          <w:rFonts w:asciiTheme="majorHAnsi" w:hAnsiTheme="majorHAnsi" w:cstheme="majorHAnsi"/>
        </w:rPr>
        <w:t>Application rationalisation (Lotus Notes, Atex 5.5, monitoring tools)</w:t>
      </w:r>
    </w:p>
    <w:p w14:paraId="00000771" w14:textId="00000772" w:rsidR="000B0F63" w:rsidRPr="00A61669" w:rsidRDefault="00C05D22" w:rsidP="00F57DAB">
      <w:pPr>
        <w:pStyle w:val="ListBullet"/>
        <w:numPr>
          <w:ilvl w:val="0"/>
          <w:numId w:val="29"/>
        </w:numPr>
        <w:jc w:val="both"/>
        <w:rPr>
          <w:rFonts w:asciiTheme="majorHAnsi" w:hAnsiTheme="majorHAnsi" w:cstheme="majorHAnsi"/>
        </w:rPr>
      </w:pPr>
      <w:r w:rsidRPr="00A61669">
        <w:rPr>
          <w:rFonts w:asciiTheme="majorHAnsi" w:hAnsiTheme="majorHAnsi" w:cstheme="majorHAnsi"/>
        </w:rPr>
        <w:t>Load balancing modernisation</w:t>
      </w:r>
    </w:p>
    <w:p w14:paraId="00000773" w14:textId="00000774" w:rsidR="000B0F63" w:rsidRPr="00A61669" w:rsidRDefault="00C05D22" w:rsidP="00F57DAB">
      <w:pPr>
        <w:pStyle w:val="ListBullet"/>
        <w:numPr>
          <w:ilvl w:val="0"/>
          <w:numId w:val="29"/>
        </w:numPr>
        <w:jc w:val="both"/>
        <w:rPr>
          <w:rFonts w:asciiTheme="majorHAnsi" w:hAnsiTheme="majorHAnsi" w:cstheme="majorHAnsi"/>
        </w:rPr>
      </w:pPr>
      <w:r w:rsidRPr="00A61669">
        <w:rPr>
          <w:rFonts w:asciiTheme="majorHAnsi" w:hAnsiTheme="majorHAnsi" w:cstheme="majorHAnsi"/>
        </w:rPr>
        <w:t>Sydney DC quick-win</w:t>
      </w:r>
    </w:p>
    <w:p w14:paraId="00000775" w14:textId="00000776" w:rsidR="000B0F63" w:rsidRPr="00A61669" w:rsidRDefault="00C05D22" w:rsidP="00F57DAB">
      <w:pPr>
        <w:pStyle w:val="ListBullet"/>
        <w:numPr>
          <w:ilvl w:val="0"/>
          <w:numId w:val="29"/>
        </w:numPr>
        <w:jc w:val="both"/>
        <w:rPr>
          <w:rFonts w:asciiTheme="majorHAnsi" w:hAnsiTheme="majorHAnsi" w:cstheme="majorHAnsi"/>
        </w:rPr>
      </w:pPr>
      <w:r w:rsidRPr="00A61669">
        <w:rPr>
          <w:rFonts w:asciiTheme="majorHAnsi" w:hAnsiTheme="majorHAnsi" w:cstheme="majorHAnsi"/>
        </w:rPr>
        <w:t>Infrastructure as Code and automation</w:t>
      </w:r>
    </w:p>
    <w:p w14:paraId="00000777" w14:textId="00000778" w:rsidR="000B0F63" w:rsidRPr="00A61669" w:rsidRDefault="00C05D22" w:rsidP="00F57DAB">
      <w:pPr>
        <w:pStyle w:val="ListBullet"/>
        <w:numPr>
          <w:ilvl w:val="0"/>
          <w:numId w:val="29"/>
        </w:numPr>
        <w:jc w:val="both"/>
        <w:rPr>
          <w:rFonts w:asciiTheme="majorHAnsi" w:hAnsiTheme="majorHAnsi" w:cstheme="majorHAnsi"/>
        </w:rPr>
      </w:pPr>
      <w:r w:rsidRPr="00A61669">
        <w:rPr>
          <w:rFonts w:asciiTheme="majorHAnsi" w:hAnsiTheme="majorHAnsi" w:cstheme="majorHAnsi"/>
        </w:rPr>
        <w:t>Observability consolidation</w:t>
      </w:r>
    </w:p>
    <w:p w14:paraId="00000779" w14:textId="675B4EAF" w:rsidR="000B0F63" w:rsidRPr="00A61669" w:rsidRDefault="00C05D22" w:rsidP="00E40261">
      <w:pPr>
        <w:jc w:val="both"/>
        <w:rPr>
          <w:rFonts w:asciiTheme="majorHAnsi" w:hAnsiTheme="majorHAnsi" w:cstheme="majorHAnsi"/>
        </w:rPr>
      </w:pPr>
      <w:r w:rsidRPr="00A61669">
        <w:rPr>
          <w:rFonts w:asciiTheme="majorHAnsi" w:hAnsiTheme="majorHAnsi" w:cstheme="majorHAnsi"/>
        </w:rPr>
        <w:br w:type="page"/>
      </w:r>
    </w:p>
    <w:p w14:paraId="0000077B" w14:textId="2EEAF5E6" w:rsidR="000B0F63" w:rsidRPr="00A61669" w:rsidRDefault="1BAB210A" w:rsidP="00E40261">
      <w:pPr>
        <w:pStyle w:val="Heading1"/>
        <w:jc w:val="both"/>
        <w:rPr>
          <w:rFonts w:asciiTheme="majorHAnsi" w:hAnsiTheme="majorHAnsi" w:cstheme="majorHAnsi"/>
        </w:rPr>
      </w:pPr>
      <w:bookmarkStart w:id="238" w:name="_Toc223"/>
      <w:bookmarkStart w:id="239" w:name="_Toc227771007"/>
      <w:bookmarkStart w:id="240" w:name="_Toc228549363"/>
      <w:r w:rsidRPr="00A61669">
        <w:rPr>
          <w:rFonts w:asciiTheme="majorHAnsi" w:hAnsiTheme="majorHAnsi" w:cstheme="majorHAnsi"/>
        </w:rPr>
        <w:t xml:space="preserve">Section 11: Moving Forward and </w:t>
      </w:r>
      <w:r w:rsidR="00100959" w:rsidRPr="00A61669">
        <w:rPr>
          <w:rFonts w:asciiTheme="majorHAnsi" w:hAnsiTheme="majorHAnsi" w:cstheme="majorHAnsi"/>
        </w:rPr>
        <w:t>Part 2</w:t>
      </w:r>
      <w:bookmarkEnd w:id="238"/>
      <w:bookmarkEnd w:id="239"/>
      <w:bookmarkEnd w:id="240"/>
    </w:p>
    <w:p w14:paraId="0000077D" w14:textId="0000077E" w:rsidR="000B0F63" w:rsidRPr="00A61669" w:rsidRDefault="1BAB210A" w:rsidP="00E40261">
      <w:pPr>
        <w:pStyle w:val="Heading2"/>
        <w:jc w:val="both"/>
        <w:rPr>
          <w:rFonts w:asciiTheme="majorHAnsi" w:hAnsiTheme="majorHAnsi" w:cstheme="majorHAnsi"/>
        </w:rPr>
      </w:pPr>
      <w:bookmarkStart w:id="241" w:name="_Toc224"/>
      <w:bookmarkStart w:id="242" w:name="_Toc227771008"/>
      <w:r w:rsidRPr="00A61669">
        <w:rPr>
          <w:rFonts w:asciiTheme="majorHAnsi" w:hAnsiTheme="majorHAnsi" w:cstheme="majorHAnsi"/>
        </w:rPr>
        <w:t>What This Section Does</w:t>
      </w:r>
      <w:bookmarkEnd w:id="241"/>
      <w:bookmarkEnd w:id="242"/>
    </w:p>
    <w:p w14:paraId="0000077F" w14:textId="2D028ED7" w:rsidR="000B0F63" w:rsidRPr="00A61669" w:rsidRDefault="00C05D22" w:rsidP="00E40261">
      <w:pPr>
        <w:jc w:val="both"/>
        <w:rPr>
          <w:rFonts w:asciiTheme="majorHAnsi" w:hAnsiTheme="majorHAnsi" w:cstheme="majorHAnsi"/>
        </w:rPr>
      </w:pPr>
      <w:r w:rsidRPr="00A61669">
        <w:rPr>
          <w:rFonts w:asciiTheme="majorHAnsi" w:hAnsiTheme="majorHAnsi" w:cstheme="majorHAnsi"/>
        </w:rPr>
        <w:t xml:space="preserve">This section answers 'so what, now what'. It covers the business case, decision guidance for the hyperscaler presentations DMG Media is about to receive, the foundational actions needed to prepare for migration, the concrete shape of </w:t>
      </w:r>
      <w:r w:rsidR="00100959" w:rsidRPr="00A61669">
        <w:rPr>
          <w:rFonts w:asciiTheme="majorHAnsi" w:hAnsiTheme="majorHAnsi" w:cstheme="majorHAnsi"/>
        </w:rPr>
        <w:t>Part 2</w:t>
      </w:r>
      <w:r w:rsidRPr="00A61669">
        <w:rPr>
          <w:rFonts w:asciiTheme="majorHAnsi" w:hAnsiTheme="majorHAnsi" w:cstheme="majorHAnsi"/>
        </w:rPr>
        <w:t>, and the risk of not proceeding.</w:t>
      </w:r>
    </w:p>
    <w:p w14:paraId="00000781" w14:textId="00000782" w:rsidR="000B0F63" w:rsidRPr="00A61669" w:rsidRDefault="1BAB210A" w:rsidP="00E40261">
      <w:pPr>
        <w:pStyle w:val="Heading2"/>
        <w:jc w:val="both"/>
        <w:rPr>
          <w:rFonts w:asciiTheme="majorHAnsi" w:hAnsiTheme="majorHAnsi" w:cstheme="majorHAnsi"/>
        </w:rPr>
      </w:pPr>
      <w:bookmarkStart w:id="243" w:name="_Toc225"/>
      <w:bookmarkStart w:id="244" w:name="_Toc227771009"/>
      <w:r w:rsidRPr="00A61669">
        <w:rPr>
          <w:rFonts w:asciiTheme="majorHAnsi" w:hAnsiTheme="majorHAnsi" w:cstheme="majorHAnsi"/>
        </w:rPr>
        <w:t>The Business Case</w:t>
      </w:r>
      <w:bookmarkEnd w:id="243"/>
      <w:bookmarkEnd w:id="244"/>
    </w:p>
    <w:p w14:paraId="0E8AFCC2" w14:textId="77777777" w:rsidR="005D04AD" w:rsidRPr="00A61669" w:rsidRDefault="005D04AD" w:rsidP="005D04AD">
      <w:pPr>
        <w:pStyle w:val="Heading2"/>
        <w:jc w:val="both"/>
        <w:rPr>
          <w:rFonts w:asciiTheme="majorHAnsi" w:eastAsiaTheme="minorHAnsi" w:hAnsiTheme="majorHAnsi" w:cstheme="majorHAnsi"/>
          <w:color w:val="auto"/>
          <w:sz w:val="22"/>
          <w:szCs w:val="24"/>
          <w:lang w:val="en-US"/>
        </w:rPr>
      </w:pPr>
      <w:bookmarkStart w:id="245" w:name="_Toc226"/>
      <w:bookmarkStart w:id="246" w:name="_Toc227771010"/>
      <w:r w:rsidRPr="00A61669">
        <w:rPr>
          <w:rFonts w:asciiTheme="majorHAnsi" w:eastAsiaTheme="minorHAnsi" w:hAnsiTheme="majorHAnsi" w:cstheme="majorHAnsi"/>
          <w:color w:val="auto"/>
          <w:sz w:val="22"/>
          <w:szCs w:val="24"/>
          <w:lang w:val="en-US"/>
        </w:rPr>
        <w:t>The current on-premises estate costs £3.64M per year. That is today's cost, not tomorrow's. Staying on-premises adds the Broadcom VCF subscription (confirmed as required, not yet priced), the next hardware refresh cycle (the HPE estate is approaching end of life), and continued renewal of Microsoft EA and Oracle support contracts with no downward pressure on either. Beyond cost, it means continuing with fragmented support across seven operating areas, limited scalability, unpatched VMware infrastructure, and no path to reduce operational complexity. The cost of doing nothing is materially higher than £3.64M per year and increases with every renewal cycle.</w:t>
      </w:r>
    </w:p>
    <w:p w14:paraId="3865F691" w14:textId="433BB463" w:rsidR="005D04AD" w:rsidRPr="00A61669" w:rsidRDefault="005D04AD" w:rsidP="005D04AD">
      <w:pPr>
        <w:pStyle w:val="Heading2"/>
        <w:jc w:val="both"/>
        <w:rPr>
          <w:rFonts w:asciiTheme="majorHAnsi" w:eastAsiaTheme="minorHAnsi" w:hAnsiTheme="majorHAnsi" w:cstheme="majorHAnsi"/>
          <w:color w:val="auto"/>
          <w:sz w:val="22"/>
          <w:szCs w:val="24"/>
          <w:lang w:val="en-US"/>
        </w:rPr>
      </w:pPr>
      <w:r w:rsidRPr="00A61669">
        <w:rPr>
          <w:rFonts w:asciiTheme="majorHAnsi" w:eastAsiaTheme="minorHAnsi" w:hAnsiTheme="majorHAnsi" w:cstheme="majorHAnsi"/>
          <w:color w:val="auto"/>
          <w:sz w:val="22"/>
          <w:szCs w:val="24"/>
          <w:lang w:val="en-US"/>
        </w:rPr>
        <w:t>The Complete View for cloud (infrastructure baseline, Oracle Exadata@Cloud, Oracle support, BYOL savings, operational carry-forwards, and indicative egress) is approximately £4.</w:t>
      </w:r>
      <w:r w:rsidR="00A303B7">
        <w:rPr>
          <w:rFonts w:asciiTheme="majorHAnsi" w:eastAsiaTheme="minorHAnsi" w:hAnsiTheme="majorHAnsi" w:cstheme="majorHAnsi"/>
          <w:color w:val="auto"/>
          <w:sz w:val="22"/>
          <w:szCs w:val="24"/>
          <w:lang w:val="en-US"/>
        </w:rPr>
        <w:t>59</w:t>
      </w:r>
      <w:r w:rsidRPr="00A61669">
        <w:rPr>
          <w:rFonts w:asciiTheme="majorHAnsi" w:eastAsiaTheme="minorHAnsi" w:hAnsiTheme="majorHAnsi" w:cstheme="majorHAnsi"/>
          <w:color w:val="auto"/>
          <w:sz w:val="22"/>
          <w:szCs w:val="24"/>
          <w:lang w:val="en-US"/>
        </w:rPr>
        <w:t>M per year on GCP, £4.</w:t>
      </w:r>
      <w:r w:rsidR="00A303B7">
        <w:rPr>
          <w:rFonts w:asciiTheme="majorHAnsi" w:eastAsiaTheme="minorHAnsi" w:hAnsiTheme="majorHAnsi" w:cstheme="majorHAnsi"/>
          <w:color w:val="auto"/>
          <w:sz w:val="22"/>
          <w:szCs w:val="24"/>
          <w:lang w:val="en-US"/>
        </w:rPr>
        <w:t>7</w:t>
      </w:r>
      <w:r w:rsidRPr="00A61669">
        <w:rPr>
          <w:rFonts w:asciiTheme="majorHAnsi" w:eastAsiaTheme="minorHAnsi" w:hAnsiTheme="majorHAnsi" w:cstheme="majorHAnsi"/>
          <w:color w:val="auto"/>
          <w:sz w:val="22"/>
          <w:szCs w:val="24"/>
          <w:lang w:val="en-US"/>
        </w:rPr>
        <w:t>M per year on AWS, and £5.</w:t>
      </w:r>
      <w:r w:rsidR="00A303B7">
        <w:rPr>
          <w:rFonts w:asciiTheme="majorHAnsi" w:eastAsiaTheme="minorHAnsi" w:hAnsiTheme="majorHAnsi" w:cstheme="majorHAnsi"/>
          <w:color w:val="auto"/>
          <w:sz w:val="22"/>
          <w:szCs w:val="24"/>
          <w:lang w:val="en-US"/>
        </w:rPr>
        <w:t>67</w:t>
      </w:r>
      <w:r w:rsidRPr="00A61669">
        <w:rPr>
          <w:rFonts w:asciiTheme="majorHAnsi" w:eastAsiaTheme="minorHAnsi" w:hAnsiTheme="majorHAnsi" w:cstheme="majorHAnsi"/>
          <w:color w:val="auto"/>
          <w:sz w:val="22"/>
          <w:szCs w:val="24"/>
          <w:lang w:val="en-US"/>
        </w:rPr>
        <w:t>M per year on Azure. As set out in Section 5, the cloud figure carries forward operational costs (NCS, Guardicore) that are expected to reduce post-migration, and the on-premises baseline is missing costs that are confirmed but not yet quantified. The direction of travel favours cloud, and only cloud provides paths to reduce cost over time through right-sizing, modernisation, and application rationalisation.</w:t>
      </w:r>
    </w:p>
    <w:p w14:paraId="323F8113" w14:textId="77777777" w:rsidR="005D04AD" w:rsidRPr="00A61669" w:rsidRDefault="005D04AD" w:rsidP="005D04AD">
      <w:pPr>
        <w:pStyle w:val="Heading2"/>
        <w:jc w:val="both"/>
        <w:rPr>
          <w:rFonts w:asciiTheme="majorHAnsi" w:eastAsiaTheme="minorHAnsi" w:hAnsiTheme="majorHAnsi" w:cstheme="majorHAnsi"/>
          <w:color w:val="auto"/>
          <w:sz w:val="22"/>
          <w:szCs w:val="24"/>
          <w:lang w:val="en-US"/>
        </w:rPr>
      </w:pPr>
      <w:r w:rsidRPr="00A61669">
        <w:rPr>
          <w:rFonts w:asciiTheme="majorHAnsi" w:eastAsiaTheme="minorHAnsi" w:hAnsiTheme="majorHAnsi" w:cstheme="majorHAnsi"/>
          <w:color w:val="auto"/>
          <w:sz w:val="22"/>
          <w:szCs w:val="24"/>
          <w:lang w:val="en-US"/>
        </w:rPr>
        <w:t>Oracle modernisation is the largest single opportunity. If the PostgreSQL path is pursued in Part 2, it eliminates the £650K per year Oracle support contract and reduces database infrastructure cost by a further £540K to £780K per year. This saving comes primarily from eliminating the support contract. The conversion cost is not estimated in Part 1.</w:t>
      </w:r>
    </w:p>
    <w:p w14:paraId="55154F3A" w14:textId="6DEC5839" w:rsidR="005D04AD" w:rsidRPr="00A61669" w:rsidRDefault="005D04AD" w:rsidP="005D04AD">
      <w:pPr>
        <w:pStyle w:val="Heading2"/>
        <w:jc w:val="both"/>
        <w:rPr>
          <w:rFonts w:asciiTheme="majorHAnsi" w:eastAsiaTheme="minorHAnsi" w:hAnsiTheme="majorHAnsi" w:cstheme="majorHAnsi"/>
          <w:color w:val="auto"/>
          <w:sz w:val="22"/>
          <w:szCs w:val="24"/>
          <w:lang w:val="en-US"/>
        </w:rPr>
      </w:pPr>
      <w:r w:rsidRPr="00A61669">
        <w:rPr>
          <w:rFonts w:asciiTheme="majorHAnsi" w:eastAsiaTheme="minorHAnsi" w:hAnsiTheme="majorHAnsi" w:cstheme="majorHAnsi"/>
          <w:color w:val="auto"/>
          <w:sz w:val="22"/>
          <w:szCs w:val="24"/>
          <w:lang w:val="en-US"/>
        </w:rPr>
        <w:t>Indicative commercial terms from hyperscaler funding programmes (calculated against 3-year reserved consumption) show approximately £</w:t>
      </w:r>
      <w:r w:rsidR="003A07F3">
        <w:rPr>
          <w:rFonts w:asciiTheme="majorHAnsi" w:eastAsiaTheme="minorHAnsi" w:hAnsiTheme="majorHAnsi" w:cstheme="majorHAnsi"/>
          <w:color w:val="auto"/>
          <w:sz w:val="22"/>
          <w:szCs w:val="24"/>
          <w:lang w:val="en-US"/>
        </w:rPr>
        <w:t>0.5</w:t>
      </w:r>
      <w:r w:rsidR="00E85F38">
        <w:rPr>
          <w:rFonts w:asciiTheme="majorHAnsi" w:eastAsiaTheme="minorHAnsi" w:hAnsiTheme="majorHAnsi" w:cstheme="majorHAnsi"/>
          <w:color w:val="auto"/>
          <w:sz w:val="22"/>
          <w:szCs w:val="24"/>
          <w:lang w:val="en-US"/>
        </w:rPr>
        <w:t>7</w:t>
      </w:r>
      <w:r w:rsidRPr="00A61669">
        <w:rPr>
          <w:rFonts w:asciiTheme="majorHAnsi" w:eastAsiaTheme="minorHAnsi" w:hAnsiTheme="majorHAnsi" w:cstheme="majorHAnsi"/>
          <w:color w:val="auto"/>
          <w:sz w:val="22"/>
          <w:szCs w:val="24"/>
          <w:lang w:val="en-US"/>
        </w:rPr>
        <w:t>M in total funding for AWS and £</w:t>
      </w:r>
      <w:r w:rsidR="00E85F38">
        <w:rPr>
          <w:rFonts w:asciiTheme="majorHAnsi" w:eastAsiaTheme="minorHAnsi" w:hAnsiTheme="majorHAnsi" w:cstheme="majorHAnsi"/>
          <w:color w:val="auto"/>
          <w:sz w:val="22"/>
          <w:szCs w:val="24"/>
          <w:lang w:val="en-US"/>
        </w:rPr>
        <w:t>0.56</w:t>
      </w:r>
      <w:r w:rsidRPr="00A61669">
        <w:rPr>
          <w:rFonts w:asciiTheme="majorHAnsi" w:eastAsiaTheme="minorHAnsi" w:hAnsiTheme="majorHAnsi" w:cstheme="majorHAnsi"/>
          <w:color w:val="auto"/>
          <w:sz w:val="22"/>
          <w:szCs w:val="24"/>
          <w:lang w:val="en-US"/>
        </w:rPr>
        <w:t>M for GCP over the commitment period. Azure funding is pending. These are indicative, subject to formal hyperscaler approval, and will be refined in Part 2.</w:t>
      </w:r>
    </w:p>
    <w:p w14:paraId="1F4D7CA7" w14:textId="77777777" w:rsidR="005D04AD" w:rsidRPr="00A61669" w:rsidRDefault="005D04AD" w:rsidP="005D04AD">
      <w:pPr>
        <w:pStyle w:val="Heading2"/>
        <w:jc w:val="both"/>
        <w:rPr>
          <w:rFonts w:asciiTheme="majorHAnsi" w:eastAsiaTheme="minorHAnsi" w:hAnsiTheme="majorHAnsi" w:cstheme="majorHAnsi"/>
          <w:color w:val="auto"/>
          <w:sz w:val="22"/>
          <w:szCs w:val="24"/>
          <w:lang w:val="en-US"/>
        </w:rPr>
      </w:pPr>
      <w:r w:rsidRPr="00A61669">
        <w:rPr>
          <w:rFonts w:asciiTheme="majorHAnsi" w:eastAsiaTheme="minorHAnsi" w:hAnsiTheme="majorHAnsi" w:cstheme="majorHAnsi"/>
          <w:color w:val="auto"/>
          <w:sz w:val="22"/>
          <w:szCs w:val="24"/>
          <w:lang w:val="en-US"/>
        </w:rPr>
        <w:t>Year 1 is a net investment year. It includes three cost layers: migration delivery (one-time), dual-run overlap while on-premises and cloud run in parallel (temporary), and cloud run-rate (ongoing). Savings accrue as workloads migrate and on-premises costs drop. The crossover point depends on cohort velocity and commercial terms. Part 2 models this precisely.</w:t>
      </w:r>
    </w:p>
    <w:p w14:paraId="625176BC" w14:textId="709EE06F" w:rsidR="005D04AD" w:rsidRPr="00A61669" w:rsidRDefault="005D04AD" w:rsidP="005D04AD">
      <w:pPr>
        <w:pStyle w:val="Heading2"/>
        <w:jc w:val="both"/>
        <w:rPr>
          <w:rFonts w:asciiTheme="majorHAnsi" w:eastAsiaTheme="minorHAnsi" w:hAnsiTheme="majorHAnsi" w:cstheme="majorHAnsi"/>
          <w:color w:val="auto"/>
          <w:sz w:val="22"/>
          <w:szCs w:val="24"/>
          <w:lang w:val="en-US"/>
        </w:rPr>
      </w:pPr>
      <w:r w:rsidRPr="00A61669">
        <w:rPr>
          <w:rFonts w:asciiTheme="majorHAnsi" w:eastAsiaTheme="minorHAnsi" w:hAnsiTheme="majorHAnsi" w:cstheme="majorHAnsi"/>
          <w:color w:val="auto"/>
          <w:sz w:val="22"/>
          <w:szCs w:val="24"/>
          <w:lang w:val="en-US"/>
        </w:rPr>
        <w:t xml:space="preserve">The financial pressure is compounded by operational risk. The seven-area operating model was flagged at kickoff as limiting growth. It continues to limit until addressed. Scaling </w:t>
      </w:r>
      <w:r w:rsidR="00DE4A60" w:rsidRPr="00A61669">
        <w:rPr>
          <w:rFonts w:asciiTheme="majorHAnsi" w:eastAsiaTheme="minorHAnsi" w:hAnsiTheme="majorHAnsi" w:cstheme="majorHAnsi"/>
          <w:color w:val="auto"/>
          <w:sz w:val="22"/>
          <w:szCs w:val="24"/>
          <w:lang w:val="en-US"/>
        </w:rPr>
        <w:t>Mail Online</w:t>
      </w:r>
      <w:r w:rsidRPr="00A61669">
        <w:rPr>
          <w:rFonts w:asciiTheme="majorHAnsi" w:eastAsiaTheme="minorHAnsi" w:hAnsiTheme="majorHAnsi" w:cstheme="majorHAnsi"/>
          <w:color w:val="auto"/>
          <w:sz w:val="22"/>
          <w:szCs w:val="24"/>
          <w:lang w:val="en-US"/>
        </w:rPr>
        <w:t xml:space="preserve"> to one million subscribers on fixed-capacity infrastructure requires capital outlay that cloud eliminates. Any VMware expansion or major upgrade now requires a VCF subscription, and security posture continues to degrade while the estate runs unpatched. Each of these can be managed individually, but each renewal cycle re-locks capital and narrows the window for coordinated action.</w:t>
      </w:r>
    </w:p>
    <w:p w14:paraId="69EF6170" w14:textId="0463FA45" w:rsidR="005D04AD" w:rsidRPr="00A61669" w:rsidRDefault="005D04AD" w:rsidP="005D04AD">
      <w:pPr>
        <w:pStyle w:val="Heading2"/>
        <w:jc w:val="both"/>
        <w:rPr>
          <w:rFonts w:asciiTheme="majorHAnsi" w:eastAsiaTheme="minorHAnsi" w:hAnsiTheme="majorHAnsi" w:cstheme="majorHAnsi"/>
          <w:color w:val="auto"/>
          <w:sz w:val="22"/>
          <w:szCs w:val="24"/>
          <w:lang w:val="en-US"/>
        </w:rPr>
      </w:pPr>
      <w:r w:rsidRPr="00A61669">
        <w:rPr>
          <w:rFonts w:asciiTheme="majorHAnsi" w:eastAsiaTheme="minorHAnsi" w:hAnsiTheme="majorHAnsi" w:cstheme="majorHAnsi"/>
          <w:color w:val="auto"/>
          <w:sz w:val="22"/>
          <w:szCs w:val="24"/>
          <w:lang w:val="en-US"/>
        </w:rPr>
        <w:t>The three converging contracts (datacentre leases November 2027, Microsoft EA May 2027, Broadcom VMware position now) define a window of approximately two years. Beyond that, the cost of transformation goes up because the alternatives individually preserve optionality but collectively foreclose it.</w:t>
      </w:r>
    </w:p>
    <w:p w14:paraId="0000078D" w14:textId="61147C3F" w:rsidR="000B0F63" w:rsidRPr="00A61669" w:rsidRDefault="1BAB210A" w:rsidP="005D04AD">
      <w:pPr>
        <w:pStyle w:val="Heading2"/>
        <w:jc w:val="both"/>
        <w:rPr>
          <w:rFonts w:asciiTheme="majorHAnsi" w:hAnsiTheme="majorHAnsi" w:cstheme="majorHAnsi"/>
        </w:rPr>
      </w:pPr>
      <w:r w:rsidRPr="00A61669">
        <w:rPr>
          <w:rFonts w:asciiTheme="majorHAnsi" w:hAnsiTheme="majorHAnsi" w:cstheme="majorHAnsi"/>
        </w:rPr>
        <w:t>Decision Guidance For Hyperscaler Presentations</w:t>
      </w:r>
      <w:bookmarkEnd w:id="245"/>
      <w:bookmarkEnd w:id="246"/>
    </w:p>
    <w:p w14:paraId="0000078F" w14:textId="6AA200C0" w:rsidR="000B0F63" w:rsidRPr="00A61669" w:rsidRDefault="1BAB210A" w:rsidP="00E40261">
      <w:pPr>
        <w:pStyle w:val="Heading3"/>
        <w:jc w:val="both"/>
        <w:rPr>
          <w:rFonts w:asciiTheme="majorHAnsi" w:hAnsiTheme="majorHAnsi" w:cstheme="majorHAnsi"/>
        </w:rPr>
      </w:pPr>
      <w:bookmarkStart w:id="247" w:name="_Toc227"/>
      <w:bookmarkStart w:id="248" w:name="_Toc227771011"/>
      <w:r w:rsidRPr="00A61669">
        <w:rPr>
          <w:rFonts w:asciiTheme="majorHAnsi" w:hAnsiTheme="majorHAnsi" w:cstheme="majorHAnsi"/>
        </w:rPr>
        <w:t xml:space="preserve">Questions that reveal whether they understand </w:t>
      </w:r>
      <w:r w:rsidR="007415CD" w:rsidRPr="00A61669">
        <w:rPr>
          <w:rFonts w:asciiTheme="majorHAnsi" w:hAnsiTheme="majorHAnsi" w:cstheme="majorHAnsi"/>
        </w:rPr>
        <w:t>DMG Media’s</w:t>
      </w:r>
      <w:r w:rsidRPr="00A61669">
        <w:rPr>
          <w:rFonts w:asciiTheme="majorHAnsi" w:hAnsiTheme="majorHAnsi" w:cstheme="majorHAnsi"/>
        </w:rPr>
        <w:t xml:space="preserve"> situation</w:t>
      </w:r>
      <w:bookmarkEnd w:id="247"/>
      <w:bookmarkEnd w:id="248"/>
    </w:p>
    <w:p w14:paraId="00000791" w14:textId="75404BA3" w:rsidR="000B0F63" w:rsidRPr="00A61669" w:rsidRDefault="00C05D22" w:rsidP="00F57DAB">
      <w:pPr>
        <w:pStyle w:val="ListBullet"/>
        <w:numPr>
          <w:ilvl w:val="0"/>
          <w:numId w:val="31"/>
        </w:numPr>
        <w:jc w:val="both"/>
        <w:rPr>
          <w:rFonts w:asciiTheme="majorHAnsi" w:hAnsiTheme="majorHAnsi" w:cstheme="majorHAnsi"/>
        </w:rPr>
      </w:pPr>
      <w:r w:rsidRPr="00A61669">
        <w:rPr>
          <w:rFonts w:asciiTheme="majorHAnsi" w:hAnsiTheme="majorHAnsi" w:cstheme="majorHAnsi"/>
        </w:rPr>
        <w:t xml:space="preserve">'What is </w:t>
      </w:r>
      <w:r w:rsidR="007415CD" w:rsidRPr="00A61669">
        <w:rPr>
          <w:rFonts w:asciiTheme="majorHAnsi" w:hAnsiTheme="majorHAnsi" w:cstheme="majorHAnsi"/>
        </w:rPr>
        <w:t>DMG Media’s</w:t>
      </w:r>
      <w:r w:rsidRPr="00A61669">
        <w:rPr>
          <w:rFonts w:asciiTheme="majorHAnsi" w:hAnsiTheme="majorHAnsi" w:cstheme="majorHAnsi"/>
        </w:rPr>
        <w:t xml:space="preserve"> answer for Oracle?' (not 'how much would it cost to run Oracle on our cloud', but the whole path)</w:t>
      </w:r>
    </w:p>
    <w:p w14:paraId="00000793" w14:textId="6AF5E515" w:rsidR="000B0F63" w:rsidRPr="00A61669" w:rsidRDefault="00C05D22" w:rsidP="00F57DAB">
      <w:pPr>
        <w:pStyle w:val="ListBullet"/>
        <w:numPr>
          <w:ilvl w:val="0"/>
          <w:numId w:val="31"/>
        </w:numPr>
        <w:jc w:val="both"/>
        <w:rPr>
          <w:rFonts w:asciiTheme="majorHAnsi" w:hAnsiTheme="majorHAnsi" w:cstheme="majorHAnsi"/>
        </w:rPr>
      </w:pPr>
      <w:r w:rsidRPr="00A61669">
        <w:rPr>
          <w:rFonts w:asciiTheme="majorHAnsi" w:hAnsiTheme="majorHAnsi" w:cstheme="majorHAnsi"/>
        </w:rPr>
        <w:t xml:space="preserve">'How have </w:t>
      </w:r>
      <w:r w:rsidR="007415CD" w:rsidRPr="00A61669">
        <w:rPr>
          <w:rFonts w:asciiTheme="majorHAnsi" w:hAnsiTheme="majorHAnsi" w:cstheme="majorHAnsi"/>
        </w:rPr>
        <w:t>DMG Media</w:t>
      </w:r>
      <w:r w:rsidRPr="00A61669">
        <w:rPr>
          <w:rFonts w:asciiTheme="majorHAnsi" w:hAnsiTheme="majorHAnsi" w:cstheme="majorHAnsi"/>
        </w:rPr>
        <w:t xml:space="preserve"> sized our workloads?' (does their methodology match the others?)</w:t>
      </w:r>
    </w:p>
    <w:p w14:paraId="00000795" w14:textId="00000796" w:rsidR="000B0F63" w:rsidRPr="00A61669" w:rsidRDefault="00C05D22" w:rsidP="00F57DAB">
      <w:pPr>
        <w:pStyle w:val="ListBullet"/>
        <w:numPr>
          <w:ilvl w:val="0"/>
          <w:numId w:val="31"/>
        </w:numPr>
        <w:jc w:val="both"/>
        <w:rPr>
          <w:rFonts w:asciiTheme="majorHAnsi" w:hAnsiTheme="majorHAnsi" w:cstheme="majorHAnsi"/>
        </w:rPr>
      </w:pPr>
      <w:r w:rsidRPr="00A61669">
        <w:rPr>
          <w:rFonts w:asciiTheme="majorHAnsi" w:hAnsiTheme="majorHAnsi" w:cstheme="majorHAnsi"/>
        </w:rPr>
        <w:t>'What does BYOL look like for our Server 2022 estate?' (only Azure AHB works without the October 2019 Listed Provider restrictions)</w:t>
      </w:r>
    </w:p>
    <w:p w14:paraId="00000797" w14:textId="02081342" w:rsidR="000B0F63" w:rsidRPr="00A61669" w:rsidRDefault="00C05D22" w:rsidP="00F57DAB">
      <w:pPr>
        <w:pStyle w:val="ListBullet"/>
        <w:numPr>
          <w:ilvl w:val="0"/>
          <w:numId w:val="31"/>
        </w:numPr>
        <w:jc w:val="both"/>
        <w:rPr>
          <w:rFonts w:asciiTheme="majorHAnsi" w:hAnsiTheme="majorHAnsi" w:cstheme="majorHAnsi"/>
        </w:rPr>
      </w:pPr>
      <w:r w:rsidRPr="00A61669">
        <w:rPr>
          <w:rFonts w:asciiTheme="majorHAnsi" w:hAnsiTheme="majorHAnsi" w:cstheme="majorHAnsi"/>
        </w:rPr>
        <w:t xml:space="preserve">'What is </w:t>
      </w:r>
      <w:r w:rsidR="007415CD" w:rsidRPr="00A61669">
        <w:rPr>
          <w:rFonts w:asciiTheme="majorHAnsi" w:hAnsiTheme="majorHAnsi" w:cstheme="majorHAnsi"/>
        </w:rPr>
        <w:t>DMG Media’s</w:t>
      </w:r>
      <w:r w:rsidRPr="00A61669">
        <w:rPr>
          <w:rFonts w:asciiTheme="majorHAnsi" w:hAnsiTheme="majorHAnsi" w:cstheme="majorHAnsi"/>
        </w:rPr>
        <w:t xml:space="preserve"> commercial offer?' (private pricing, MAP/EA credits, partner pricing)</w:t>
      </w:r>
    </w:p>
    <w:p w14:paraId="00000799" w14:textId="0A45C0DC" w:rsidR="000B0F63" w:rsidRPr="00A61669" w:rsidRDefault="00C05D22" w:rsidP="00F57DAB">
      <w:pPr>
        <w:pStyle w:val="ListBullet"/>
        <w:numPr>
          <w:ilvl w:val="0"/>
          <w:numId w:val="31"/>
        </w:numPr>
        <w:jc w:val="both"/>
        <w:rPr>
          <w:rFonts w:asciiTheme="majorHAnsi" w:hAnsiTheme="majorHAnsi" w:cstheme="majorHAnsi"/>
        </w:rPr>
      </w:pPr>
      <w:r w:rsidRPr="00A61669">
        <w:rPr>
          <w:rFonts w:asciiTheme="majorHAnsi" w:hAnsiTheme="majorHAnsi" w:cstheme="majorHAnsi"/>
        </w:rPr>
        <w:t xml:space="preserve">'Who owns Day 2 operations?' (vendor, </w:t>
      </w:r>
      <w:r w:rsidR="007415CD" w:rsidRPr="00A61669">
        <w:rPr>
          <w:rFonts w:asciiTheme="majorHAnsi" w:hAnsiTheme="majorHAnsi" w:cstheme="majorHAnsi"/>
        </w:rPr>
        <w:t>DMG Media’s</w:t>
      </w:r>
      <w:r w:rsidRPr="00A61669">
        <w:rPr>
          <w:rFonts w:asciiTheme="majorHAnsi" w:hAnsiTheme="majorHAnsi" w:cstheme="majorHAnsi"/>
        </w:rPr>
        <w:t xml:space="preserve"> team, Rackspace, a combination)</w:t>
      </w:r>
    </w:p>
    <w:p w14:paraId="0000079B" w14:textId="0000079C" w:rsidR="000B0F63" w:rsidRPr="00A61669" w:rsidRDefault="1BAB210A" w:rsidP="00E40261">
      <w:pPr>
        <w:pStyle w:val="Heading3"/>
        <w:jc w:val="both"/>
        <w:rPr>
          <w:rFonts w:asciiTheme="majorHAnsi" w:hAnsiTheme="majorHAnsi" w:cstheme="majorHAnsi"/>
        </w:rPr>
      </w:pPr>
      <w:bookmarkStart w:id="249" w:name="_Toc228"/>
      <w:bookmarkStart w:id="250" w:name="_Toc227771012"/>
      <w:r w:rsidRPr="00A61669">
        <w:rPr>
          <w:rFonts w:asciiTheme="majorHAnsi" w:hAnsiTheme="majorHAnsi" w:cstheme="majorHAnsi"/>
        </w:rPr>
        <w:t>Warning signs</w:t>
      </w:r>
      <w:bookmarkEnd w:id="249"/>
      <w:bookmarkEnd w:id="250"/>
    </w:p>
    <w:p w14:paraId="0000079D" w14:textId="0000079E" w:rsidR="000B0F63" w:rsidRPr="00A61669" w:rsidRDefault="00C05D22" w:rsidP="00F57DAB">
      <w:pPr>
        <w:pStyle w:val="ListBullet"/>
        <w:numPr>
          <w:ilvl w:val="0"/>
          <w:numId w:val="32"/>
        </w:numPr>
        <w:jc w:val="both"/>
        <w:rPr>
          <w:rFonts w:asciiTheme="majorHAnsi" w:hAnsiTheme="majorHAnsi" w:cstheme="majorHAnsi"/>
        </w:rPr>
      </w:pPr>
      <w:r w:rsidRPr="00A61669">
        <w:rPr>
          <w:rFonts w:asciiTheme="majorHAnsi" w:hAnsiTheme="majorHAnsi" w:cstheme="majorHAnsi"/>
        </w:rPr>
        <w:t>All-5 self-rating on evaluation criteria without specific DMG-grounded justification</w:t>
      </w:r>
    </w:p>
    <w:p w14:paraId="0000079F" w14:textId="000007A0" w:rsidR="000B0F63" w:rsidRPr="00A61669" w:rsidRDefault="00C05D22" w:rsidP="00F57DAB">
      <w:pPr>
        <w:pStyle w:val="ListBullet"/>
        <w:numPr>
          <w:ilvl w:val="0"/>
          <w:numId w:val="32"/>
        </w:numPr>
        <w:jc w:val="both"/>
        <w:rPr>
          <w:rFonts w:asciiTheme="majorHAnsi" w:hAnsiTheme="majorHAnsi" w:cstheme="majorHAnsi"/>
        </w:rPr>
      </w:pPr>
      <w:r w:rsidRPr="00A61669">
        <w:rPr>
          <w:rFonts w:asciiTheme="majorHAnsi" w:hAnsiTheme="majorHAnsi" w:cstheme="majorHAnsi"/>
        </w:rPr>
        <w:t>Cost figures that do not include Oracle, SQL Server licensing, or support</w:t>
      </w:r>
    </w:p>
    <w:p w14:paraId="000007A1" w14:textId="10C3E751" w:rsidR="000B0F63" w:rsidRPr="00A61669" w:rsidRDefault="00C05D22" w:rsidP="00F57DAB">
      <w:pPr>
        <w:pStyle w:val="ListBullet"/>
        <w:numPr>
          <w:ilvl w:val="0"/>
          <w:numId w:val="32"/>
        </w:numPr>
        <w:jc w:val="both"/>
        <w:rPr>
          <w:rFonts w:asciiTheme="majorHAnsi" w:hAnsiTheme="majorHAnsi" w:cstheme="majorHAnsi"/>
        </w:rPr>
      </w:pPr>
      <w:r w:rsidRPr="00A61669">
        <w:rPr>
          <w:rFonts w:asciiTheme="majorHAnsi" w:hAnsiTheme="majorHAnsi" w:cstheme="majorHAnsi"/>
        </w:rPr>
        <w:t xml:space="preserve">Proposals that ignore </w:t>
      </w:r>
      <w:r w:rsidR="007415CD" w:rsidRPr="00A61669">
        <w:rPr>
          <w:rFonts w:asciiTheme="majorHAnsi" w:hAnsiTheme="majorHAnsi" w:cstheme="majorHAnsi"/>
        </w:rPr>
        <w:t>DMG Media’s</w:t>
      </w:r>
      <w:r w:rsidRPr="00A61669">
        <w:rPr>
          <w:rFonts w:asciiTheme="majorHAnsi" w:hAnsiTheme="majorHAnsi" w:cstheme="majorHAnsi"/>
        </w:rPr>
        <w:t xml:space="preserve"> Software Assurance status</w:t>
      </w:r>
    </w:p>
    <w:p w14:paraId="000007A3" w14:textId="000007A4" w:rsidR="000B0F63" w:rsidRPr="00A61669" w:rsidRDefault="00C05D22" w:rsidP="00F57DAB">
      <w:pPr>
        <w:pStyle w:val="ListBullet"/>
        <w:numPr>
          <w:ilvl w:val="0"/>
          <w:numId w:val="32"/>
        </w:numPr>
        <w:jc w:val="both"/>
        <w:rPr>
          <w:rFonts w:asciiTheme="majorHAnsi" w:hAnsiTheme="majorHAnsi" w:cstheme="majorHAnsi"/>
        </w:rPr>
      </w:pPr>
      <w:r w:rsidRPr="00A61669">
        <w:rPr>
          <w:rFonts w:asciiTheme="majorHAnsi" w:hAnsiTheme="majorHAnsi" w:cstheme="majorHAnsi"/>
        </w:rPr>
        <w:t>Sizing that uses only their own tool without API cross-validation</w:t>
      </w:r>
    </w:p>
    <w:p w14:paraId="000007A5" w14:textId="000007A6" w:rsidR="000B0F63" w:rsidRPr="00A61669" w:rsidRDefault="00C05D22" w:rsidP="00F57DAB">
      <w:pPr>
        <w:pStyle w:val="ListBullet"/>
        <w:numPr>
          <w:ilvl w:val="0"/>
          <w:numId w:val="32"/>
        </w:numPr>
        <w:jc w:val="both"/>
        <w:rPr>
          <w:rFonts w:asciiTheme="majorHAnsi" w:hAnsiTheme="majorHAnsi" w:cstheme="majorHAnsi"/>
        </w:rPr>
      </w:pPr>
      <w:r w:rsidRPr="00A61669">
        <w:rPr>
          <w:rFonts w:asciiTheme="majorHAnsi" w:hAnsiTheme="majorHAnsi" w:cstheme="majorHAnsi"/>
        </w:rPr>
        <w:t>Year 1 savings claims without acknowledging dual-run cost</w:t>
      </w:r>
    </w:p>
    <w:p w14:paraId="000007A7" w14:textId="000007A8" w:rsidR="000B0F63" w:rsidRPr="00A61669" w:rsidRDefault="1BAB210A" w:rsidP="00E40261">
      <w:pPr>
        <w:pStyle w:val="Heading2"/>
        <w:jc w:val="both"/>
        <w:rPr>
          <w:rFonts w:asciiTheme="majorHAnsi" w:hAnsiTheme="majorHAnsi" w:cstheme="majorHAnsi"/>
        </w:rPr>
      </w:pPr>
      <w:bookmarkStart w:id="251" w:name="_Toc229"/>
      <w:bookmarkStart w:id="252" w:name="_Toc227771013"/>
      <w:r w:rsidRPr="00A61669">
        <w:rPr>
          <w:rFonts w:asciiTheme="majorHAnsi" w:hAnsiTheme="majorHAnsi" w:cstheme="majorHAnsi"/>
        </w:rPr>
        <w:t>What DMG Needs To Do Now</w:t>
      </w:r>
      <w:bookmarkEnd w:id="251"/>
      <w:bookmarkEnd w:id="252"/>
    </w:p>
    <w:p w14:paraId="7374CE92" w14:textId="77777777" w:rsidR="00B31331" w:rsidRPr="00A61669" w:rsidRDefault="00B31331" w:rsidP="00B31331">
      <w:pPr>
        <w:rPr>
          <w:rFonts w:asciiTheme="majorHAnsi" w:hAnsiTheme="majorHAnsi" w:cstheme="majorHAnsi"/>
        </w:rPr>
      </w:pPr>
      <w:r w:rsidRPr="00A61669">
        <w:rPr>
          <w:rFonts w:asciiTheme="majorHAnsi" w:hAnsiTheme="majorHAnsi" w:cstheme="majorHAnsi"/>
        </w:rPr>
        <w:t xml:space="preserve">Over the coming weeks DMG media will hear from AWS, Microsoft, and Google directly. Each will present their own view and their own figures. This report is the independent frame of reference against which those presentations can be weighed, based on a consistent set of data. </w:t>
      </w:r>
    </w:p>
    <w:p w14:paraId="6325A269" w14:textId="77777777" w:rsidR="00B31331" w:rsidRPr="00A61669" w:rsidRDefault="00B31331" w:rsidP="00B31331">
      <w:pPr>
        <w:pStyle w:val="Heading3"/>
      </w:pPr>
      <w:r w:rsidRPr="00A61669">
        <w:t>Hyperscaler sessions (May)</w:t>
      </w:r>
    </w:p>
    <w:p w14:paraId="35D47B39" w14:textId="77777777" w:rsidR="00B31331" w:rsidRPr="00A61669" w:rsidRDefault="00B31331" w:rsidP="00B31331">
      <w:pPr>
        <w:rPr>
          <w:rFonts w:asciiTheme="majorHAnsi" w:hAnsiTheme="majorHAnsi" w:cstheme="majorHAnsi"/>
        </w:rPr>
      </w:pPr>
      <w:r w:rsidRPr="00A61669">
        <w:rPr>
          <w:rFonts w:asciiTheme="majorHAnsi" w:hAnsiTheme="majorHAnsi" w:cstheme="majorHAnsi"/>
        </w:rPr>
        <w:t>12 May: Microsoft presentation (customer offices and remote, 14:00 to 16:00)</w:t>
      </w:r>
    </w:p>
    <w:p w14:paraId="338814D2" w14:textId="77777777" w:rsidR="00B31331" w:rsidRPr="00A61669" w:rsidRDefault="00B31331" w:rsidP="00B31331">
      <w:pPr>
        <w:rPr>
          <w:rFonts w:asciiTheme="majorHAnsi" w:hAnsiTheme="majorHAnsi" w:cstheme="majorHAnsi"/>
        </w:rPr>
      </w:pPr>
      <w:r w:rsidRPr="00A61669">
        <w:rPr>
          <w:rFonts w:asciiTheme="majorHAnsi" w:hAnsiTheme="majorHAnsi" w:cstheme="majorHAnsi"/>
        </w:rPr>
        <w:t>13 May: Google presentation (customer offices and remote, 11:00 to 13:00)</w:t>
      </w:r>
    </w:p>
    <w:p w14:paraId="06939156" w14:textId="77777777" w:rsidR="00B31331" w:rsidRPr="00A61669" w:rsidRDefault="00B31331" w:rsidP="00B31331">
      <w:pPr>
        <w:rPr>
          <w:rFonts w:asciiTheme="majorHAnsi" w:hAnsiTheme="majorHAnsi" w:cstheme="majorHAnsi"/>
        </w:rPr>
      </w:pPr>
      <w:r w:rsidRPr="00A61669">
        <w:rPr>
          <w:rFonts w:asciiTheme="majorHAnsi" w:hAnsiTheme="majorHAnsi" w:cstheme="majorHAnsi"/>
        </w:rPr>
        <w:t>18 May: AWS presentation (AWS offices and remote, 09:30 to 13:30)</w:t>
      </w:r>
    </w:p>
    <w:p w14:paraId="663B49EF" w14:textId="77777777" w:rsidR="00B31331" w:rsidRPr="00A61669" w:rsidRDefault="00B31331" w:rsidP="00B31331">
      <w:pPr>
        <w:rPr>
          <w:rFonts w:asciiTheme="majorHAnsi" w:hAnsiTheme="majorHAnsi" w:cstheme="majorHAnsi"/>
        </w:rPr>
      </w:pPr>
      <w:r w:rsidRPr="00A61669">
        <w:rPr>
          <w:rFonts w:asciiTheme="majorHAnsi" w:hAnsiTheme="majorHAnsi" w:cstheme="majorHAnsi"/>
        </w:rPr>
        <w:t>The discussion guidance and warning signs provided in this report should be used to evaluate each presentation against a consistent baseline.</w:t>
      </w:r>
    </w:p>
    <w:p w14:paraId="0B9050C9" w14:textId="77777777" w:rsidR="00B31331" w:rsidRPr="00A61669" w:rsidRDefault="00B31331" w:rsidP="00B31331">
      <w:pPr>
        <w:pStyle w:val="Heading3"/>
      </w:pPr>
      <w:r w:rsidRPr="00A61669">
        <w:t>Following the hyperscaler sessions:</w:t>
      </w:r>
    </w:p>
    <w:p w14:paraId="3A77E545" w14:textId="77777777" w:rsidR="00B31331" w:rsidRPr="00A61669" w:rsidRDefault="00B31331" w:rsidP="00F57DAB">
      <w:pPr>
        <w:pStyle w:val="ListParagraph"/>
        <w:numPr>
          <w:ilvl w:val="0"/>
          <w:numId w:val="48"/>
        </w:numPr>
        <w:rPr>
          <w:rFonts w:asciiTheme="majorHAnsi" w:hAnsiTheme="majorHAnsi" w:cstheme="majorHAnsi"/>
        </w:rPr>
      </w:pPr>
      <w:r w:rsidRPr="00A61669">
        <w:rPr>
          <w:rFonts w:asciiTheme="majorHAnsi" w:hAnsiTheme="majorHAnsi" w:cstheme="majorHAnsi"/>
        </w:rPr>
        <w:t>Confirm primary cloud platform decision (Rackspace recommendation: AWS, with GCP retained for analytics)</w:t>
      </w:r>
    </w:p>
    <w:p w14:paraId="24A34F07" w14:textId="77777777" w:rsidR="00B31331" w:rsidRPr="00A61669" w:rsidRDefault="00B31331" w:rsidP="00F57DAB">
      <w:pPr>
        <w:pStyle w:val="ListParagraph"/>
        <w:numPr>
          <w:ilvl w:val="0"/>
          <w:numId w:val="48"/>
        </w:numPr>
        <w:rPr>
          <w:rFonts w:asciiTheme="majorHAnsi" w:hAnsiTheme="majorHAnsi" w:cstheme="majorHAnsi"/>
        </w:rPr>
      </w:pPr>
      <w:r w:rsidRPr="00A61669">
        <w:rPr>
          <w:rFonts w:asciiTheme="majorHAnsi" w:hAnsiTheme="majorHAnsi" w:cstheme="majorHAnsi"/>
        </w:rPr>
        <w:t>Rackspace present Statement of Work for Part 2, embracing hyperscaler funding (May)</w:t>
      </w:r>
    </w:p>
    <w:p w14:paraId="281B738C" w14:textId="77777777" w:rsidR="00B31331" w:rsidRPr="00A61669" w:rsidRDefault="00B31331" w:rsidP="00F57DAB">
      <w:pPr>
        <w:pStyle w:val="ListParagraph"/>
        <w:numPr>
          <w:ilvl w:val="0"/>
          <w:numId w:val="48"/>
        </w:numPr>
        <w:rPr>
          <w:rFonts w:asciiTheme="majorHAnsi" w:hAnsiTheme="majorHAnsi" w:cstheme="majorHAnsi"/>
        </w:rPr>
      </w:pPr>
      <w:r w:rsidRPr="00A61669">
        <w:rPr>
          <w:rFonts w:asciiTheme="majorHAnsi" w:hAnsiTheme="majorHAnsi" w:cstheme="majorHAnsi"/>
        </w:rPr>
        <w:t>Customer approve and sign Part 2 SoW (before end of May)</w:t>
      </w:r>
    </w:p>
    <w:p w14:paraId="402C7795" w14:textId="77777777" w:rsidR="00B31331" w:rsidRPr="00A61669" w:rsidRDefault="00B31331" w:rsidP="00B31331">
      <w:pPr>
        <w:pStyle w:val="Heading3"/>
      </w:pPr>
      <w:r w:rsidRPr="00A61669">
        <w:t>Part 2 kick-off (target: June)</w:t>
      </w:r>
    </w:p>
    <w:p w14:paraId="04F4720A" w14:textId="77777777" w:rsidR="00B31331" w:rsidRPr="00A61669" w:rsidRDefault="00B31331" w:rsidP="00F57DAB">
      <w:pPr>
        <w:pStyle w:val="ListParagraph"/>
        <w:numPr>
          <w:ilvl w:val="0"/>
          <w:numId w:val="49"/>
        </w:numPr>
        <w:rPr>
          <w:rFonts w:asciiTheme="majorHAnsi" w:hAnsiTheme="majorHAnsi" w:cstheme="majorHAnsi"/>
        </w:rPr>
      </w:pPr>
      <w:r w:rsidRPr="00A61669">
        <w:rPr>
          <w:rFonts w:asciiTheme="majorHAnsi" w:hAnsiTheme="majorHAnsi" w:cstheme="majorHAnsi"/>
        </w:rPr>
        <w:t>15-week programme: landing zone design, 7R analysis, migration planning, database modernisation assessment</w:t>
      </w:r>
    </w:p>
    <w:p w14:paraId="30C7941E" w14:textId="77777777" w:rsidR="00B31331" w:rsidRPr="00A61669" w:rsidRDefault="00B31331" w:rsidP="00F57DAB">
      <w:pPr>
        <w:pStyle w:val="ListParagraph"/>
        <w:numPr>
          <w:ilvl w:val="0"/>
          <w:numId w:val="49"/>
        </w:numPr>
        <w:rPr>
          <w:rFonts w:asciiTheme="majorHAnsi" w:hAnsiTheme="majorHAnsi" w:cstheme="majorHAnsi"/>
        </w:rPr>
      </w:pPr>
      <w:r w:rsidRPr="00A61669">
        <w:rPr>
          <w:rFonts w:asciiTheme="majorHAnsi" w:hAnsiTheme="majorHAnsi" w:cstheme="majorHAnsi"/>
        </w:rPr>
        <w:t>Sydney early migration and technology trials run in parallel from week 4</w:t>
      </w:r>
    </w:p>
    <w:p w14:paraId="000007B9" w14:textId="000007BA" w:rsidR="000B0F63" w:rsidRPr="00A61669" w:rsidRDefault="1BAB210A" w:rsidP="00E40261">
      <w:pPr>
        <w:pStyle w:val="Heading2"/>
        <w:jc w:val="both"/>
        <w:rPr>
          <w:rFonts w:asciiTheme="majorHAnsi" w:hAnsiTheme="majorHAnsi" w:cstheme="majorHAnsi"/>
        </w:rPr>
      </w:pPr>
      <w:bookmarkStart w:id="253" w:name="_Toc232"/>
      <w:bookmarkStart w:id="254" w:name="_Toc227771016"/>
      <w:r w:rsidRPr="00A61669">
        <w:rPr>
          <w:rFonts w:asciiTheme="majorHAnsi" w:hAnsiTheme="majorHAnsi" w:cstheme="majorHAnsi"/>
        </w:rPr>
        <w:t>Foundational Actions</w:t>
      </w:r>
      <w:bookmarkEnd w:id="253"/>
      <w:bookmarkEnd w:id="254"/>
    </w:p>
    <w:p w14:paraId="000007BB" w14:textId="000007BC" w:rsidR="000B0F63" w:rsidRPr="00A61669" w:rsidRDefault="1BAB210A" w:rsidP="00E40261">
      <w:pPr>
        <w:pStyle w:val="Heading3"/>
        <w:jc w:val="both"/>
        <w:rPr>
          <w:rFonts w:asciiTheme="majorHAnsi" w:hAnsiTheme="majorHAnsi" w:cstheme="majorHAnsi"/>
        </w:rPr>
      </w:pPr>
      <w:bookmarkStart w:id="255" w:name="_Toc233"/>
      <w:bookmarkStart w:id="256" w:name="_Toc227771017"/>
      <w:r w:rsidRPr="00A61669">
        <w:rPr>
          <w:rFonts w:asciiTheme="majorHAnsi" w:hAnsiTheme="majorHAnsi" w:cstheme="majorHAnsi"/>
        </w:rPr>
        <w:t>Modernise legacy operating systems</w:t>
      </w:r>
      <w:bookmarkEnd w:id="255"/>
      <w:bookmarkEnd w:id="256"/>
    </w:p>
    <w:p w14:paraId="000007BD" w14:textId="000007BE" w:rsidR="000B0F63" w:rsidRPr="00A61669" w:rsidRDefault="00C05D22" w:rsidP="00E40261">
      <w:pPr>
        <w:jc w:val="both"/>
        <w:rPr>
          <w:rFonts w:asciiTheme="majorHAnsi" w:hAnsiTheme="majorHAnsi" w:cstheme="majorHAnsi"/>
        </w:rPr>
      </w:pPr>
      <w:r w:rsidRPr="00A61669">
        <w:rPr>
          <w:rFonts w:asciiTheme="majorHAnsi" w:hAnsiTheme="majorHAnsi" w:cstheme="majorHAnsi"/>
        </w:rPr>
        <w:t>Older OS versions cannot be lifted to cloud as-is. Replatforming to supported versions is a per-server activity. Starting early avoids it becoming a critical path blocker.</w:t>
      </w:r>
    </w:p>
    <w:p w14:paraId="000007BF" w14:textId="000007C0" w:rsidR="000B0F63" w:rsidRPr="00A61669" w:rsidRDefault="1BAB210A" w:rsidP="00E40261">
      <w:pPr>
        <w:pStyle w:val="Heading3"/>
        <w:jc w:val="both"/>
        <w:rPr>
          <w:rFonts w:asciiTheme="majorHAnsi" w:hAnsiTheme="majorHAnsi" w:cstheme="majorHAnsi"/>
        </w:rPr>
      </w:pPr>
      <w:bookmarkStart w:id="257" w:name="_Toc234"/>
      <w:bookmarkStart w:id="258" w:name="_Toc227771018"/>
      <w:r w:rsidRPr="00A61669">
        <w:rPr>
          <w:rFonts w:asciiTheme="majorHAnsi" w:hAnsiTheme="majorHAnsi" w:cstheme="majorHAnsi"/>
        </w:rPr>
        <w:t>Establish cloud governance</w:t>
      </w:r>
      <w:bookmarkEnd w:id="257"/>
      <w:bookmarkEnd w:id="258"/>
    </w:p>
    <w:p w14:paraId="000007C1" w14:textId="000007C2" w:rsidR="000B0F63" w:rsidRPr="00A61669" w:rsidRDefault="00C05D22" w:rsidP="00E40261">
      <w:pPr>
        <w:jc w:val="both"/>
        <w:rPr>
          <w:rFonts w:asciiTheme="majorHAnsi" w:hAnsiTheme="majorHAnsi" w:cstheme="majorHAnsi"/>
        </w:rPr>
      </w:pPr>
      <w:r w:rsidRPr="00A61669">
        <w:rPr>
          <w:rFonts w:asciiTheme="majorHAnsi" w:hAnsiTheme="majorHAnsi" w:cstheme="majorHAnsi"/>
        </w:rPr>
        <w:t>Define the cloud operating model before migrating workloads: who provisions, who approves, who pays. Establish tagging and labelling standards for cost attribution. Implement FinOps practice from day one. Define security baselines and compliance requirements.</w:t>
      </w:r>
    </w:p>
    <w:p w14:paraId="000007C3" w14:textId="000007C4" w:rsidR="000B0F63" w:rsidRPr="00A61669" w:rsidRDefault="1BAB210A" w:rsidP="00E40261">
      <w:pPr>
        <w:pStyle w:val="Heading3"/>
        <w:jc w:val="both"/>
        <w:rPr>
          <w:rFonts w:asciiTheme="majorHAnsi" w:hAnsiTheme="majorHAnsi" w:cstheme="majorHAnsi"/>
        </w:rPr>
      </w:pPr>
      <w:bookmarkStart w:id="259" w:name="_Toc235"/>
      <w:bookmarkStart w:id="260" w:name="_Toc227771019"/>
      <w:r w:rsidRPr="00A61669">
        <w:rPr>
          <w:rFonts w:asciiTheme="majorHAnsi" w:hAnsiTheme="majorHAnsi" w:cstheme="majorHAnsi"/>
        </w:rPr>
        <w:t>Prepare the cloud landing zone</w:t>
      </w:r>
      <w:bookmarkEnd w:id="259"/>
      <w:bookmarkEnd w:id="260"/>
    </w:p>
    <w:p w14:paraId="000007C5" w14:textId="000007C6" w:rsidR="000B0F63" w:rsidRPr="00A61669" w:rsidRDefault="00C05D22" w:rsidP="00E40261">
      <w:pPr>
        <w:jc w:val="both"/>
        <w:rPr>
          <w:rFonts w:asciiTheme="majorHAnsi" w:hAnsiTheme="majorHAnsi" w:cstheme="majorHAnsi"/>
        </w:rPr>
      </w:pPr>
      <w:r w:rsidRPr="00A61669">
        <w:rPr>
          <w:rFonts w:asciiTheme="majorHAnsi" w:hAnsiTheme="majorHAnsi" w:cstheme="majorHAnsi"/>
        </w:rPr>
        <w:t>A cloud landing zone is the standardised environment into which workloads are migrated. It includes network topology, IAM, security controls, logging and monitoring foundations, and cost management. Getting the landing zone right before migration begins avoids expensive redesign once workloads are running.</w:t>
      </w:r>
    </w:p>
    <w:p w14:paraId="000007C7" w14:textId="000007C8" w:rsidR="000B0F63" w:rsidRPr="00A61669" w:rsidRDefault="1BAB210A" w:rsidP="00E40261">
      <w:pPr>
        <w:pStyle w:val="Heading3"/>
        <w:jc w:val="both"/>
        <w:rPr>
          <w:rFonts w:asciiTheme="majorHAnsi" w:hAnsiTheme="majorHAnsi" w:cstheme="majorHAnsi"/>
        </w:rPr>
      </w:pPr>
      <w:bookmarkStart w:id="261" w:name="_Toc236"/>
      <w:bookmarkStart w:id="262" w:name="_Toc227771020"/>
      <w:r w:rsidRPr="00A61669">
        <w:rPr>
          <w:rFonts w:asciiTheme="majorHAnsi" w:hAnsiTheme="majorHAnsi" w:cstheme="majorHAnsi"/>
        </w:rPr>
        <w:t>Adopt automation tooling</w:t>
      </w:r>
      <w:bookmarkEnd w:id="261"/>
      <w:bookmarkEnd w:id="262"/>
    </w:p>
    <w:p w14:paraId="000007C9" w14:textId="000007CA" w:rsidR="000B0F63" w:rsidRPr="00A61669" w:rsidRDefault="00C05D22" w:rsidP="00E40261">
      <w:pPr>
        <w:jc w:val="both"/>
        <w:rPr>
          <w:rFonts w:asciiTheme="majorHAnsi" w:hAnsiTheme="majorHAnsi" w:cstheme="majorHAnsi"/>
        </w:rPr>
      </w:pPr>
      <w:r w:rsidRPr="00A61669">
        <w:rPr>
          <w:rFonts w:asciiTheme="majorHAnsi" w:hAnsiTheme="majorHAnsi" w:cstheme="majorHAnsi"/>
        </w:rPr>
        <w:t>Infrastructure-as-Code for all resource provisioning. CI/CD pipelines for infrastructure deployment. Automated compliance checking (policy-as-code). Cloud-native monitoring and alerting to replace SolarWinds and Zabbix.</w:t>
      </w:r>
    </w:p>
    <w:p w14:paraId="000007CB" w14:textId="000007CC" w:rsidR="000B0F63" w:rsidRPr="00A61669" w:rsidRDefault="1BAB210A" w:rsidP="00E40261">
      <w:pPr>
        <w:pStyle w:val="Heading3"/>
        <w:jc w:val="both"/>
        <w:rPr>
          <w:rFonts w:asciiTheme="majorHAnsi" w:hAnsiTheme="majorHAnsi" w:cstheme="majorHAnsi"/>
        </w:rPr>
      </w:pPr>
      <w:bookmarkStart w:id="263" w:name="_Toc237"/>
      <w:bookmarkStart w:id="264" w:name="_Toc227771021"/>
      <w:r w:rsidRPr="00A61669">
        <w:rPr>
          <w:rFonts w:asciiTheme="majorHAnsi" w:hAnsiTheme="majorHAnsi" w:cstheme="majorHAnsi"/>
        </w:rPr>
        <w:t>Staff training</w:t>
      </w:r>
      <w:bookmarkEnd w:id="263"/>
      <w:bookmarkEnd w:id="264"/>
    </w:p>
    <w:p w14:paraId="000007CD" w14:textId="000007CE" w:rsidR="000B0F63" w:rsidRPr="00A61669" w:rsidRDefault="00C05D22" w:rsidP="00E40261">
      <w:pPr>
        <w:jc w:val="both"/>
        <w:rPr>
          <w:rFonts w:asciiTheme="majorHAnsi" w:hAnsiTheme="majorHAnsi" w:cstheme="majorHAnsi"/>
        </w:rPr>
      </w:pPr>
      <w:r w:rsidRPr="00A61669">
        <w:rPr>
          <w:rFonts w:asciiTheme="majorHAnsi" w:hAnsiTheme="majorHAnsi" w:cstheme="majorHAnsi"/>
        </w:rPr>
        <w:t>Cloud platform certification programme for the infrastructure team. Kubernetes training to support the container strategy. FinOps training for finance and technology leadership. Security training for the cloud-native security model.</w:t>
      </w:r>
    </w:p>
    <w:p w14:paraId="1C886472" w14:textId="31A798C0" w:rsidR="00DE4A60" w:rsidRDefault="00DE4A60" w:rsidP="00DE4A60">
      <w:pPr>
        <w:pStyle w:val="Heading2"/>
      </w:pPr>
      <w:r>
        <w:t xml:space="preserve">Part 2 </w:t>
      </w:r>
      <w:r w:rsidRPr="00DE4A60">
        <w:t>Entry</w:t>
      </w:r>
      <w:r>
        <w:t xml:space="preserve"> Point</w:t>
      </w:r>
    </w:p>
    <w:p w14:paraId="4D771DDD" w14:textId="77777777" w:rsidR="003E7C8E" w:rsidRPr="003E7C8E" w:rsidRDefault="003E7C8E" w:rsidP="003E7C8E">
      <w:r w:rsidRPr="003E7C8E">
        <w:t>Part 1 has delivered a clear assessment of the estate and a set of prioritised recommendations. Part 2 converts that into a fully executable migration plan, the definitive blueprint against which the migration programme will be delivered.</w:t>
      </w:r>
    </w:p>
    <w:p w14:paraId="3289658D" w14:textId="77777777" w:rsidR="003E7C8E" w:rsidRPr="003E7C8E" w:rsidRDefault="003E7C8E" w:rsidP="003E7C8E">
      <w:r w:rsidRPr="003E7C8E">
        <w:t xml:space="preserve">Part 2 runs approximately 15 weeks across three parallel workstreams:  Infrastructure and Security Foundation, Migration Readiness of Applications, and Database Modernisation. </w:t>
      </w:r>
    </w:p>
    <w:p w14:paraId="76495F74" w14:textId="77777777" w:rsidR="003E7C8E" w:rsidRPr="003E7C8E" w:rsidRDefault="003E7C8E" w:rsidP="003E7C8E">
      <w:r w:rsidRPr="003E7C8E">
        <w:t xml:space="preserve">An early migration track will be initiated from week 4 to drive benefit realisation ahead of the main programme, our recommendation is the Sydney datacentre as a starting point. All findings will be used to inform the main migration programme. </w:t>
      </w:r>
    </w:p>
    <w:p w14:paraId="609F930C" w14:textId="77777777" w:rsidR="003E7C8E" w:rsidRPr="003E7C8E" w:rsidRDefault="003E7C8E" w:rsidP="003E7C8E">
      <w:r w:rsidRPr="003E7C8E">
        <w:t>The main migration will follow Part 2 as a separate engagement, delivered against the plan this phase produces.</w:t>
      </w:r>
    </w:p>
    <w:p w14:paraId="421B71E6" w14:textId="77777777" w:rsidR="00D75E58" w:rsidRPr="00D75E58" w:rsidRDefault="00D75E58" w:rsidP="00D75E58">
      <w:pPr>
        <w:pStyle w:val="Heading3"/>
      </w:pPr>
      <w:r w:rsidRPr="00D75E58">
        <w:t>Workstream 1: Infrastructure and Security Foundation</w:t>
      </w:r>
    </w:p>
    <w:p w14:paraId="7C8FC03C" w14:textId="77777777" w:rsidR="00D75E58" w:rsidRPr="00D75E58" w:rsidRDefault="00D75E58" w:rsidP="00F57DAB">
      <w:pPr>
        <w:pStyle w:val="ListParagraph"/>
        <w:numPr>
          <w:ilvl w:val="0"/>
          <w:numId w:val="51"/>
        </w:numPr>
      </w:pPr>
      <w:r w:rsidRPr="00D75E58">
        <w:t>Architect-led requirements workshops</w:t>
      </w:r>
    </w:p>
    <w:p w14:paraId="31CEC917" w14:textId="77777777" w:rsidR="00D75E58" w:rsidRPr="00D75E58" w:rsidRDefault="00D75E58" w:rsidP="00F57DAB">
      <w:pPr>
        <w:pStyle w:val="ListParagraph"/>
        <w:numPr>
          <w:ilvl w:val="0"/>
          <w:numId w:val="51"/>
        </w:numPr>
      </w:pPr>
      <w:r w:rsidRPr="00D75E58">
        <w:t>Landing zone design and deployment (network topology, IAM, security controls, logging, cost management)</w:t>
      </w:r>
    </w:p>
    <w:p w14:paraId="6505449B" w14:textId="77777777" w:rsidR="00D75E58" w:rsidRPr="00D75E58" w:rsidRDefault="00D75E58" w:rsidP="00F57DAB">
      <w:pPr>
        <w:pStyle w:val="ListParagraph"/>
        <w:numPr>
          <w:ilvl w:val="0"/>
          <w:numId w:val="51"/>
        </w:numPr>
      </w:pPr>
      <w:r w:rsidRPr="00D75E58">
        <w:t>Shared services and base infrastructure build</w:t>
      </w:r>
    </w:p>
    <w:p w14:paraId="1625D291" w14:textId="77777777" w:rsidR="00D75E58" w:rsidRPr="00D75E58" w:rsidRDefault="00D75E58" w:rsidP="00F57DAB">
      <w:pPr>
        <w:pStyle w:val="ListParagraph"/>
        <w:numPr>
          <w:ilvl w:val="0"/>
          <w:numId w:val="51"/>
        </w:numPr>
      </w:pPr>
      <w:r w:rsidRPr="00D75E58">
        <w:t>Additional infrastructure discovery (extending to the remaining ~1,500 catalogued servers not assessed in Part 1)</w:t>
      </w:r>
    </w:p>
    <w:p w14:paraId="440BB980" w14:textId="77777777" w:rsidR="00D75E58" w:rsidRPr="00D75E58" w:rsidRDefault="00D75E58" w:rsidP="00F57DAB">
      <w:pPr>
        <w:pStyle w:val="ListParagraph"/>
        <w:numPr>
          <w:ilvl w:val="0"/>
          <w:numId w:val="51"/>
        </w:numPr>
      </w:pPr>
      <w:r w:rsidRPr="00D75E58">
        <w:t>Legacy OS obsolescence assessment</w:t>
      </w:r>
    </w:p>
    <w:p w14:paraId="10D83F84" w14:textId="77777777" w:rsidR="00D75E58" w:rsidRPr="00D75E58" w:rsidRDefault="00D75E58" w:rsidP="00F57DAB">
      <w:pPr>
        <w:pStyle w:val="ListParagraph"/>
        <w:numPr>
          <w:ilvl w:val="0"/>
          <w:numId w:val="51"/>
        </w:numPr>
      </w:pPr>
      <w:r w:rsidRPr="00D75E58">
        <w:t>Right-sizing of workloads</w:t>
      </w:r>
    </w:p>
    <w:p w14:paraId="53096087" w14:textId="77777777" w:rsidR="00D75E58" w:rsidRPr="00D75E58" w:rsidRDefault="00D75E58" w:rsidP="00D75E58">
      <w:r w:rsidRPr="00D75E58">
        <w:t>Outcome: foundational baseline pre-migration, cloud-ready operating environment, governance and security guardrails live.</w:t>
      </w:r>
    </w:p>
    <w:p w14:paraId="1CAC7C2F" w14:textId="77777777" w:rsidR="00D75E58" w:rsidRPr="00D75E58" w:rsidRDefault="00D75E58" w:rsidP="00B81064">
      <w:pPr>
        <w:pStyle w:val="Heading3"/>
      </w:pPr>
      <w:r w:rsidRPr="00D75E58">
        <w:t>Workstream 2: Migration Readiness of Applications</w:t>
      </w:r>
    </w:p>
    <w:p w14:paraId="3E5036D6" w14:textId="77777777" w:rsidR="00D75E58" w:rsidRPr="00D75E58" w:rsidRDefault="00D75E58" w:rsidP="00F57DAB">
      <w:pPr>
        <w:pStyle w:val="ListParagraph"/>
        <w:numPr>
          <w:ilvl w:val="0"/>
          <w:numId w:val="52"/>
        </w:numPr>
      </w:pPr>
      <w:r w:rsidRPr="00D75E58">
        <w:t>Scoping and profiling workshops</w:t>
      </w:r>
    </w:p>
    <w:p w14:paraId="26547A39" w14:textId="77777777" w:rsidR="00D75E58" w:rsidRPr="00D75E58" w:rsidRDefault="00D75E58" w:rsidP="00F57DAB">
      <w:pPr>
        <w:pStyle w:val="ListParagraph"/>
        <w:numPr>
          <w:ilvl w:val="0"/>
          <w:numId w:val="52"/>
        </w:numPr>
      </w:pPr>
      <w:r w:rsidRPr="00D75E58">
        <w:t>7R disposition analysis across the full estate</w:t>
      </w:r>
    </w:p>
    <w:p w14:paraId="11E1A551" w14:textId="77777777" w:rsidR="00D75E58" w:rsidRPr="00D75E58" w:rsidRDefault="00D75E58" w:rsidP="00F57DAB">
      <w:pPr>
        <w:pStyle w:val="ListParagraph"/>
        <w:numPr>
          <w:ilvl w:val="0"/>
          <w:numId w:val="52"/>
        </w:numPr>
      </w:pPr>
      <w:r w:rsidRPr="00D75E58">
        <w:t>Application charter and co-migration group validation</w:t>
      </w:r>
    </w:p>
    <w:p w14:paraId="188FC847" w14:textId="77777777" w:rsidR="00D75E58" w:rsidRPr="00D75E58" w:rsidRDefault="00D75E58" w:rsidP="00F57DAB">
      <w:pPr>
        <w:pStyle w:val="ListParagraph"/>
        <w:numPr>
          <w:ilvl w:val="0"/>
          <w:numId w:val="52"/>
        </w:numPr>
      </w:pPr>
      <w:r w:rsidRPr="00D75E58">
        <w:t>Migration wave planning with timeline estimates</w:t>
      </w:r>
    </w:p>
    <w:p w14:paraId="5F0319F1" w14:textId="77777777" w:rsidR="00D75E58" w:rsidRPr="00D75E58" w:rsidRDefault="00D75E58" w:rsidP="00D75E58">
      <w:r w:rsidRPr="00D75E58">
        <w:t>Outcome: 7R analysis and application charter, migration plan and runbook, optimised workload sizing, per-server plan for end-of-life OS upgrade.</w:t>
      </w:r>
    </w:p>
    <w:p w14:paraId="4D0B2C20" w14:textId="77777777" w:rsidR="00D75E58" w:rsidRPr="00D75E58" w:rsidRDefault="00D75E58" w:rsidP="00B81064">
      <w:pPr>
        <w:pStyle w:val="Heading3"/>
      </w:pPr>
      <w:r w:rsidRPr="00D75E58">
        <w:t>Workstream 3: Database Modernisation</w:t>
      </w:r>
    </w:p>
    <w:p w14:paraId="2146F865" w14:textId="77777777" w:rsidR="00D75E58" w:rsidRPr="00D75E58" w:rsidRDefault="00D75E58" w:rsidP="00F57DAB">
      <w:pPr>
        <w:pStyle w:val="ListParagraph"/>
        <w:numPr>
          <w:ilvl w:val="0"/>
          <w:numId w:val="53"/>
        </w:numPr>
      </w:pPr>
      <w:r w:rsidRPr="00D75E58">
        <w:t>DMA data collection on Mail Online B-cluster (highest-priority action carried forward from Part 1)</w:t>
      </w:r>
    </w:p>
    <w:p w14:paraId="3AB3FE94" w14:textId="77777777" w:rsidR="00D75E58" w:rsidRPr="00D75E58" w:rsidRDefault="00D75E58" w:rsidP="00F57DAB">
      <w:pPr>
        <w:pStyle w:val="ListParagraph"/>
        <w:numPr>
          <w:ilvl w:val="0"/>
          <w:numId w:val="53"/>
        </w:numPr>
      </w:pPr>
      <w:r w:rsidRPr="00D75E58">
        <w:t>Complexity assessment and licence optimisation</w:t>
      </w:r>
    </w:p>
    <w:p w14:paraId="263A3CF9" w14:textId="77777777" w:rsidR="00D75E58" w:rsidRPr="00D75E58" w:rsidRDefault="00D75E58" w:rsidP="00F57DAB">
      <w:pPr>
        <w:pStyle w:val="ListParagraph"/>
        <w:numPr>
          <w:ilvl w:val="0"/>
          <w:numId w:val="53"/>
        </w:numPr>
      </w:pPr>
      <w:r w:rsidRPr="00D75E58">
        <w:t>Oracle DB modernisation strategy and SQL licensing decisions</w:t>
      </w:r>
    </w:p>
    <w:p w14:paraId="2341E1B1" w14:textId="77777777" w:rsidR="00D75E58" w:rsidRPr="00D75E58" w:rsidRDefault="00D75E58" w:rsidP="00F57DAB">
      <w:pPr>
        <w:pStyle w:val="ListParagraph"/>
        <w:numPr>
          <w:ilvl w:val="0"/>
          <w:numId w:val="53"/>
        </w:numPr>
      </w:pPr>
      <w:r w:rsidRPr="00D75E58">
        <w:t>Database migration roadmap</w:t>
      </w:r>
    </w:p>
    <w:p w14:paraId="317C16D9" w14:textId="77777777" w:rsidR="00D75E58" w:rsidRPr="00D75E58" w:rsidRDefault="00D75E58" w:rsidP="00D75E58">
      <w:r w:rsidRPr="00D75E58">
        <w:t>Outcome: per-cluster migration decisions for Oracle and SQL databases, database strategy and cost opportunities.</w:t>
      </w:r>
    </w:p>
    <w:p w14:paraId="148C4354" w14:textId="77777777" w:rsidR="00D75E58" w:rsidRPr="00D75E58" w:rsidRDefault="00D75E58" w:rsidP="00B81064">
      <w:pPr>
        <w:pStyle w:val="Heading3"/>
      </w:pPr>
      <w:r w:rsidRPr="00D75E58">
        <w:t>Quick Win Migration and Technology Trials (from week 4)</w:t>
      </w:r>
    </w:p>
    <w:p w14:paraId="601AF598" w14:textId="77777777" w:rsidR="00D75E58" w:rsidRPr="00D75E58" w:rsidRDefault="00D75E58" w:rsidP="00D75E58">
      <w:r w:rsidRPr="00D75E58">
        <w:t>Sydney is the early migration candidate. It is an independent environment with minimal dependencies, making it suitable for parallel execution while the main planning workstreams progress.</w:t>
      </w:r>
    </w:p>
    <w:p w14:paraId="68BE01F0" w14:textId="77777777" w:rsidR="00D75E58" w:rsidRPr="00D75E58" w:rsidRDefault="00D75E58" w:rsidP="00F57DAB">
      <w:pPr>
        <w:pStyle w:val="ListParagraph"/>
        <w:numPr>
          <w:ilvl w:val="0"/>
          <w:numId w:val="54"/>
        </w:numPr>
      </w:pPr>
      <w:r w:rsidRPr="00D75E58">
        <w:t>Architect-led workshops for requirements gathering</w:t>
      </w:r>
    </w:p>
    <w:p w14:paraId="5C5D3BE3" w14:textId="77777777" w:rsidR="00D75E58" w:rsidRPr="00D75E58" w:rsidRDefault="00D75E58" w:rsidP="00F57DAB">
      <w:pPr>
        <w:pStyle w:val="ListParagraph"/>
        <w:numPr>
          <w:ilvl w:val="0"/>
          <w:numId w:val="54"/>
        </w:numPr>
      </w:pPr>
      <w:r w:rsidRPr="00D75E58">
        <w:t>Landing zone design and deployment</w:t>
      </w:r>
    </w:p>
    <w:p w14:paraId="7FCF5C49" w14:textId="77777777" w:rsidR="00D75E58" w:rsidRPr="00D75E58" w:rsidRDefault="00D75E58" w:rsidP="00F57DAB">
      <w:pPr>
        <w:pStyle w:val="ListParagraph"/>
        <w:numPr>
          <w:ilvl w:val="0"/>
          <w:numId w:val="54"/>
        </w:numPr>
      </w:pPr>
      <w:r w:rsidRPr="00D75E58">
        <w:t>Shared services and base infrastructure build</w:t>
      </w:r>
    </w:p>
    <w:p w14:paraId="51146124" w14:textId="77777777" w:rsidR="00D75E58" w:rsidRPr="00D75E58" w:rsidRDefault="00D75E58" w:rsidP="00F57DAB">
      <w:pPr>
        <w:pStyle w:val="ListParagraph"/>
        <w:numPr>
          <w:ilvl w:val="0"/>
          <w:numId w:val="54"/>
        </w:numPr>
      </w:pPr>
      <w:r w:rsidRPr="00D75E58">
        <w:t>Additional infrastructure discovery</w:t>
      </w:r>
    </w:p>
    <w:p w14:paraId="15DF8F67" w14:textId="77777777" w:rsidR="00D75E58" w:rsidRPr="00D75E58" w:rsidRDefault="00D75E58" w:rsidP="00D75E58">
      <w:r w:rsidRPr="00D75E58">
        <w:t>Outcomes: £40K per year cost savings from datacentre exit, validate tooling and runbooks ahead of main programme, inform full migration, support customer cloud projects.</w:t>
      </w:r>
    </w:p>
    <w:p w14:paraId="0BA1E2F6" w14:textId="77777777" w:rsidR="00D75E58" w:rsidRPr="00D75E58" w:rsidRDefault="00D75E58" w:rsidP="00D75E58">
      <w:r w:rsidRPr="00D75E58">
        <w:t>Rackspace will look for early benefit realisation (Sydney and other opportunities for early savings) during Part 2.</w:t>
      </w:r>
    </w:p>
    <w:p w14:paraId="1CDEC27F" w14:textId="77777777" w:rsidR="00DE4A60" w:rsidRPr="00376CF1" w:rsidRDefault="00DE4A60" w:rsidP="00B81064">
      <w:pPr>
        <w:pStyle w:val="Heading3"/>
        <w:rPr>
          <w:b w:val="0"/>
          <w:bCs w:val="0"/>
        </w:rPr>
      </w:pPr>
      <w:r w:rsidRPr="00D75E58">
        <w:t>Part 2 Deliverables</w:t>
      </w:r>
    </w:p>
    <w:p w14:paraId="097F3A5B" w14:textId="77777777" w:rsidR="00D75E58" w:rsidRPr="00D75E58" w:rsidRDefault="00D75E58" w:rsidP="00F57DAB">
      <w:pPr>
        <w:pStyle w:val="ListParagraph"/>
        <w:numPr>
          <w:ilvl w:val="0"/>
          <w:numId w:val="55"/>
        </w:numPr>
      </w:pPr>
      <w:r w:rsidRPr="00D75E58">
        <w:t>7R analysis and application charter</w:t>
      </w:r>
    </w:p>
    <w:p w14:paraId="70EE7CB0" w14:textId="77777777" w:rsidR="00D75E58" w:rsidRPr="00D75E58" w:rsidRDefault="00D75E58" w:rsidP="00F57DAB">
      <w:pPr>
        <w:pStyle w:val="ListParagraph"/>
        <w:numPr>
          <w:ilvl w:val="0"/>
          <w:numId w:val="55"/>
        </w:numPr>
      </w:pPr>
      <w:r w:rsidRPr="00D75E58">
        <w:t>Migration plan and runbook</w:t>
      </w:r>
    </w:p>
    <w:p w14:paraId="08325EA8" w14:textId="77777777" w:rsidR="00DE4A60" w:rsidRDefault="00DE4A60" w:rsidP="00F57DAB">
      <w:pPr>
        <w:pStyle w:val="ListParagraph"/>
        <w:numPr>
          <w:ilvl w:val="0"/>
          <w:numId w:val="55"/>
        </w:numPr>
      </w:pPr>
      <w:r>
        <w:t>Optimised workload sizing</w:t>
      </w:r>
    </w:p>
    <w:p w14:paraId="0F660A1B" w14:textId="77777777" w:rsidR="00D75E58" w:rsidRPr="00D75E58" w:rsidRDefault="00D75E58" w:rsidP="00F57DAB">
      <w:pPr>
        <w:pStyle w:val="ListParagraph"/>
        <w:numPr>
          <w:ilvl w:val="0"/>
          <w:numId w:val="55"/>
        </w:numPr>
      </w:pPr>
      <w:r w:rsidRPr="00D75E58">
        <w:t>Per-server plan for end-of-life OS upgrade</w:t>
      </w:r>
    </w:p>
    <w:p w14:paraId="589E74B1" w14:textId="77777777" w:rsidR="00DE4A60" w:rsidRDefault="00DE4A60" w:rsidP="00F57DAB">
      <w:pPr>
        <w:pStyle w:val="ListParagraph"/>
        <w:numPr>
          <w:ilvl w:val="0"/>
          <w:numId w:val="55"/>
        </w:numPr>
      </w:pPr>
      <w:r>
        <w:t>Per-cluster migration decisions for Oracle and SQL databases</w:t>
      </w:r>
    </w:p>
    <w:p w14:paraId="51EF7DB2" w14:textId="77777777" w:rsidR="00D75E58" w:rsidRPr="00D75E58" w:rsidRDefault="00D75E58" w:rsidP="00F57DAB">
      <w:pPr>
        <w:pStyle w:val="ListParagraph"/>
        <w:numPr>
          <w:ilvl w:val="0"/>
          <w:numId w:val="55"/>
        </w:numPr>
      </w:pPr>
      <w:r w:rsidRPr="00D75E58">
        <w:t>Database strategy and cost opportunities</w:t>
      </w:r>
    </w:p>
    <w:p w14:paraId="6BB5F5DF" w14:textId="77777777" w:rsidR="00D75E58" w:rsidRPr="00D75E58" w:rsidRDefault="00D75E58" w:rsidP="00F57DAB">
      <w:pPr>
        <w:pStyle w:val="ListParagraph"/>
        <w:numPr>
          <w:ilvl w:val="0"/>
          <w:numId w:val="55"/>
        </w:numPr>
      </w:pPr>
      <w:r w:rsidRPr="00D75E58">
        <w:t>Migration wave sequencing with timeline estimates</w:t>
      </w:r>
    </w:p>
    <w:p w14:paraId="3EA64E8B" w14:textId="77777777" w:rsidR="00DE4A60" w:rsidRDefault="00DE4A60" w:rsidP="00F57DAB">
      <w:pPr>
        <w:pStyle w:val="ListParagraph"/>
        <w:numPr>
          <w:ilvl w:val="0"/>
          <w:numId w:val="55"/>
        </w:numPr>
      </w:pPr>
      <w:r>
        <w:t>Final reporting and executive playback</w:t>
      </w:r>
    </w:p>
    <w:p w14:paraId="0D1FFEF2" w14:textId="77777777" w:rsidR="00DE4A60" w:rsidRDefault="00DE4A60" w:rsidP="00B81064">
      <w:pPr>
        <w:pStyle w:val="Heading3"/>
      </w:pPr>
      <w:r>
        <w:t>Indicative Timeline</w:t>
      </w:r>
    </w:p>
    <w:p w14:paraId="2D87AA45" w14:textId="77777777" w:rsidR="00DE4A60" w:rsidRDefault="00DE4A60" w:rsidP="00DE4A60">
      <w:r>
        <w:t>The migration programme has three phases: planning, execution, and optimisation.</w:t>
      </w:r>
    </w:p>
    <w:p w14:paraId="21B9E058" w14:textId="77777777" w:rsidR="00DE4A60" w:rsidRDefault="00DE4A60" w:rsidP="00DE4A60">
      <w:r>
        <w:t>Part 2 (planning and design) runs approximately 15 weeks. It produces the landing zone design, per-application migration strategies, cohort sequencing, and a realistic datacentre exit plan.</w:t>
      </w:r>
    </w:p>
    <w:p w14:paraId="22514986" w14:textId="6D1896F3" w:rsidR="00DE4A60" w:rsidRDefault="00DE4A60" w:rsidP="00DE4A60">
      <w:r>
        <w:t>Migration execution follows Part 2 and is expected to run 12 to 18 months depending on the Oracle path decision, Atex unicast confirmation, and the pace at which Mail Online sub-components can be sequenced. The UK datacentre leases expire in November 2027. Whether full exit is achievable by that date depends on when Part 2 starts and how quickly the critical decisions are made.</w:t>
      </w:r>
    </w:p>
    <w:p w14:paraId="449E4CF0" w14:textId="77777777" w:rsidR="00DE4A60" w:rsidRDefault="00DE4A60" w:rsidP="00DE4A60">
      <w:r>
        <w:t>Optimisation follows migration and includes FinOps maturity, PostgreSQL modernisation if the path is chosen, and Oracle support contract decisions.</w:t>
      </w:r>
    </w:p>
    <w:p w14:paraId="2CCDFBDF" w14:textId="77777777" w:rsidR="00DE4A60" w:rsidRDefault="00DE4A60" w:rsidP="00DE4A60">
      <w:r>
        <w:t>The key dependency is Part 2 start date. Every month of delay compresses the execution window against the November 2027 lease expiry.</w:t>
      </w:r>
    </w:p>
    <w:p w14:paraId="5D488D70" w14:textId="77777777" w:rsidR="000B0F63" w:rsidRDefault="1BAB210A" w:rsidP="00B81064">
      <w:pPr>
        <w:pStyle w:val="Heading3"/>
      </w:pPr>
      <w:r>
        <w:t xml:space="preserve">Continuity Into </w:t>
      </w:r>
      <w:r w:rsidR="00100959">
        <w:t>Part 2</w:t>
      </w:r>
    </w:p>
    <w:p w14:paraId="5BA49FDA" w14:textId="0A986B55" w:rsidR="00D75E58" w:rsidRPr="00D75E58" w:rsidRDefault="00D75E58" w:rsidP="00D75E58">
      <w:r w:rsidRPr="00D75E58">
        <w:t xml:space="preserve">The observations from Part 1 (the multicast constraint, </w:t>
      </w:r>
      <w:r w:rsidR="00134469">
        <w:t>Mail Online</w:t>
      </w:r>
      <w:r w:rsidRPr="00D75E58">
        <w:t>'s dual ownership, the Oracle B-cluster data gap, Guardicore micro-segmentation, F5 iRule complexity, the ECO3 hardcoded IP pattern, and the Solaris legacy stack) directly inform how Part 2 is scoped. Part 2 activities can be planned against these known challenges rather than re-discovered.</w:t>
      </w:r>
    </w:p>
    <w:p w14:paraId="49A5A695" w14:textId="5D6BF6BF" w:rsidR="00376CF1" w:rsidRDefault="00D75E58" w:rsidP="00D75E58">
      <w:r w:rsidRPr="00D75E58">
        <w:t>Part 2 is a separately proposed engagement. Precise scope, pricing, and timeline are delivered in a separate Part 2 proposal from Rackspace's pre-sales team.</w:t>
      </w:r>
    </w:p>
    <w:p w14:paraId="708FECF5" w14:textId="77777777" w:rsidR="00376CF1" w:rsidRPr="00A61669" w:rsidRDefault="00376CF1" w:rsidP="00376CF1">
      <w:pPr>
        <w:rPr>
          <w:rFonts w:asciiTheme="majorHAnsi" w:hAnsiTheme="majorHAnsi" w:cstheme="majorHAnsi"/>
        </w:rPr>
      </w:pPr>
    </w:p>
    <w:p w14:paraId="12C1530E" w14:textId="77777777" w:rsidR="00376CF1" w:rsidRPr="00A61669" w:rsidRDefault="00376CF1" w:rsidP="00376CF1">
      <w:pPr>
        <w:rPr>
          <w:rFonts w:asciiTheme="majorHAnsi" w:hAnsiTheme="majorHAnsi" w:cstheme="majorHAnsi"/>
        </w:rPr>
      </w:pPr>
    </w:p>
    <w:p w14:paraId="1C5ED1EB" w14:textId="77777777" w:rsidR="00376CF1" w:rsidRPr="00A61669" w:rsidRDefault="00376CF1" w:rsidP="00A46627">
      <w:pPr>
        <w:pStyle w:val="Heading1"/>
        <w:rPr>
          <w:rFonts w:asciiTheme="majorHAnsi" w:hAnsiTheme="majorHAnsi" w:cstheme="majorHAnsi"/>
        </w:rPr>
      </w:pPr>
    </w:p>
    <w:p w14:paraId="4C6C14FD" w14:textId="77777777" w:rsidR="00376CF1" w:rsidRDefault="00376CF1" w:rsidP="00376CF1">
      <w:pPr>
        <w:rPr>
          <w:rFonts w:asciiTheme="majorHAnsi" w:hAnsiTheme="majorHAnsi" w:cstheme="majorHAnsi"/>
        </w:rPr>
      </w:pPr>
    </w:p>
    <w:p w14:paraId="721A0F52" w14:textId="77777777" w:rsidR="00376CF1" w:rsidRDefault="00376CF1" w:rsidP="00376CF1">
      <w:pPr>
        <w:rPr>
          <w:rFonts w:asciiTheme="majorHAnsi" w:hAnsiTheme="majorHAnsi" w:cstheme="majorHAnsi"/>
        </w:rPr>
      </w:pPr>
    </w:p>
    <w:p w14:paraId="34D8DB07" w14:textId="77777777" w:rsidR="00376CF1" w:rsidRDefault="00376CF1" w:rsidP="00376CF1">
      <w:pPr>
        <w:rPr>
          <w:rFonts w:asciiTheme="majorHAnsi" w:hAnsiTheme="majorHAnsi" w:cstheme="majorHAnsi"/>
        </w:rPr>
      </w:pPr>
    </w:p>
    <w:p w14:paraId="79AF9FC2" w14:textId="77777777" w:rsidR="00376CF1" w:rsidRDefault="00376CF1" w:rsidP="00376CF1">
      <w:pPr>
        <w:rPr>
          <w:rFonts w:asciiTheme="majorHAnsi" w:hAnsiTheme="majorHAnsi" w:cstheme="majorHAnsi"/>
        </w:rPr>
      </w:pPr>
    </w:p>
    <w:p w14:paraId="096B681A" w14:textId="77777777" w:rsidR="00376CF1" w:rsidRDefault="00376CF1" w:rsidP="00376CF1">
      <w:pPr>
        <w:rPr>
          <w:rFonts w:asciiTheme="majorHAnsi" w:hAnsiTheme="majorHAnsi" w:cstheme="majorHAnsi"/>
        </w:rPr>
      </w:pPr>
    </w:p>
    <w:p w14:paraId="32EF0C5C" w14:textId="77777777" w:rsidR="00376CF1" w:rsidRDefault="00376CF1" w:rsidP="00376CF1">
      <w:pPr>
        <w:rPr>
          <w:rFonts w:asciiTheme="majorHAnsi" w:hAnsiTheme="majorHAnsi" w:cstheme="majorHAnsi"/>
        </w:rPr>
      </w:pPr>
    </w:p>
    <w:p w14:paraId="54D04707" w14:textId="77777777" w:rsidR="00570DAF" w:rsidRDefault="00570DAF" w:rsidP="00376CF1">
      <w:pPr>
        <w:rPr>
          <w:rFonts w:asciiTheme="majorHAnsi" w:hAnsiTheme="majorHAnsi" w:cstheme="majorHAnsi"/>
        </w:rPr>
      </w:pPr>
    </w:p>
    <w:p w14:paraId="57F92356" w14:textId="77777777" w:rsidR="00570DAF" w:rsidRDefault="00570DAF" w:rsidP="00376CF1">
      <w:pPr>
        <w:rPr>
          <w:rFonts w:asciiTheme="majorHAnsi" w:hAnsiTheme="majorHAnsi" w:cstheme="majorHAnsi"/>
        </w:rPr>
      </w:pPr>
    </w:p>
    <w:p w14:paraId="65C845D5" w14:textId="77777777" w:rsidR="00570DAF" w:rsidRDefault="00570DAF" w:rsidP="00376CF1">
      <w:pPr>
        <w:rPr>
          <w:rFonts w:asciiTheme="majorHAnsi" w:hAnsiTheme="majorHAnsi" w:cstheme="majorHAnsi"/>
        </w:rPr>
      </w:pPr>
    </w:p>
    <w:p w14:paraId="60ABE9AB" w14:textId="77777777" w:rsidR="00570DAF" w:rsidRDefault="00570DAF" w:rsidP="00376CF1">
      <w:pPr>
        <w:rPr>
          <w:rFonts w:asciiTheme="majorHAnsi" w:hAnsiTheme="majorHAnsi" w:cstheme="majorHAnsi"/>
        </w:rPr>
      </w:pPr>
    </w:p>
    <w:p w14:paraId="59653AEA" w14:textId="77777777" w:rsidR="00570DAF" w:rsidRDefault="00570DAF" w:rsidP="00376CF1">
      <w:pPr>
        <w:rPr>
          <w:rFonts w:asciiTheme="majorHAnsi" w:hAnsiTheme="majorHAnsi" w:cstheme="majorHAnsi"/>
        </w:rPr>
      </w:pPr>
    </w:p>
    <w:p w14:paraId="7EA48657" w14:textId="4676986C" w:rsidR="00C515CD" w:rsidRDefault="00C515CD" w:rsidP="00C515CD">
      <w:pPr>
        <w:pStyle w:val="Heading1"/>
        <w:jc w:val="both"/>
      </w:pPr>
      <w:bookmarkStart w:id="265" w:name="_Toc228549364"/>
      <w:r>
        <w:rPr>
          <w:rFonts w:asciiTheme="majorHAnsi" w:hAnsiTheme="majorHAnsi" w:cstheme="majorHAnsi"/>
        </w:rPr>
        <w:t xml:space="preserve">Section 12 </w:t>
      </w:r>
      <w:r w:rsidRPr="00C515CD">
        <w:rPr>
          <w:rFonts w:asciiTheme="majorHAnsi" w:hAnsiTheme="majorHAnsi" w:cstheme="majorHAnsi"/>
        </w:rPr>
        <w:t>Conclusion</w:t>
      </w:r>
      <w:bookmarkEnd w:id="265"/>
      <w:r>
        <w:t xml:space="preserve"> </w:t>
      </w:r>
    </w:p>
    <w:p w14:paraId="2BA81028" w14:textId="676A935F" w:rsidR="00C515CD" w:rsidRPr="00C515CD" w:rsidRDefault="00C515CD" w:rsidP="00C515CD">
      <w:r w:rsidRPr="00C515CD">
        <w:t>The estate is ready to move. 3,038 servers profiled. 39 applications workshopped. The discovery and analysis is comprehensive enough to make a hyperscaler recommendation and begin planning the next phase.</w:t>
      </w:r>
    </w:p>
    <w:p w14:paraId="05D9AC6E" w14:textId="77777777" w:rsidR="00C515CD" w:rsidRPr="00C515CD" w:rsidRDefault="00C515CD" w:rsidP="00C515CD">
      <w:r w:rsidRPr="00C515CD">
        <w:t>AWS is the recommended platform. Weighted scoring: AWS 88%, GCP 85%, Azure 85%. AWS is the only platform that runs all 39 applications without refactoring. Native multicast support avoids the Atex redesign required on GCP and Azure. The existing AWS footprint (video streaming, Direct Connect, internal team knowledge) accelerates time to value. GCP is retained for data analytics where it is already established.</w:t>
      </w:r>
    </w:p>
    <w:p w14:paraId="6C41DA94" w14:textId="77777777" w:rsidR="00C515CD" w:rsidRPr="00C515CD" w:rsidRDefault="00C515CD" w:rsidP="00C515CD">
      <w:r w:rsidRPr="00C515CD">
        <w:t>The levers to reduce cost sit in cloud. The cloud figure carries forward operational costs (database support, security tooling) that reduce or disappear post-migration. The optimisation levers (contract negotiation, right-sizing, storage tiering, Oracle modernisation, PaaS adoption) only exist in cloud. They do not exist on premises.</w:t>
      </w:r>
    </w:p>
    <w:p w14:paraId="6FFAA51E" w14:textId="77777777" w:rsidR="00C515CD" w:rsidRPr="00C515CD" w:rsidRDefault="00C515CD" w:rsidP="00C515CD">
      <w:r w:rsidRPr="00C515CD">
        <w:t>The organisation is at the start of its cloud journey. Readiness score: 2.1 out of 5. This is expected for an organisation only just preparing to move to cloud. The next steps undertaken in Part 2 will begin to address the uplift required to move to full readiness.</w:t>
      </w:r>
    </w:p>
    <w:p w14:paraId="1BB18978" w14:textId="77777777" w:rsidR="00C515CD" w:rsidRPr="00C515CD" w:rsidRDefault="00C515CD" w:rsidP="00C515CD">
      <w:r w:rsidRPr="00C515CD">
        <w:t>These things must be in place before Part 2 starts:</w:t>
      </w:r>
    </w:p>
    <w:p w14:paraId="0BC11C51" w14:textId="77777777" w:rsidR="00C515CD" w:rsidRPr="00C515CD" w:rsidRDefault="00C515CD" w:rsidP="00F57DAB">
      <w:pPr>
        <w:pStyle w:val="ListParagraph"/>
        <w:numPr>
          <w:ilvl w:val="0"/>
          <w:numId w:val="56"/>
        </w:numPr>
      </w:pPr>
      <w:r w:rsidRPr="00C515CD">
        <w:t>Confirmation of primary cloud platform. The scoring, technical fit, cost position, and estate constraints all point towards AWS. GCP is retained for analytics.</w:t>
      </w:r>
    </w:p>
    <w:p w14:paraId="0A6806F4" w14:textId="77777777" w:rsidR="00C515CD" w:rsidRPr="00C515CD" w:rsidRDefault="00C515CD" w:rsidP="00F57DAB">
      <w:pPr>
        <w:pStyle w:val="ListParagraph"/>
        <w:numPr>
          <w:ilvl w:val="0"/>
          <w:numId w:val="56"/>
        </w:numPr>
      </w:pPr>
      <w:r w:rsidRPr="00C515CD">
        <w:t>CPO and CTO joint programme sponsorship confirmed. People readiness is at 1.2. Without a named sponsor with authority across both CPO and CTO domains, the training plan, change management, and operating model definition will not progress.</w:t>
      </w:r>
    </w:p>
    <w:p w14:paraId="53DF629B" w14:textId="77777777" w:rsidR="00C515CD" w:rsidRPr="00C515CD" w:rsidRDefault="00C515CD" w:rsidP="00C515CD">
      <w:r w:rsidRPr="00C515CD">
        <w:t>Quick wins to run in parallel with Part 2 planning:</w:t>
      </w:r>
    </w:p>
    <w:p w14:paraId="36F7AD10" w14:textId="77777777" w:rsidR="00C515CD" w:rsidRPr="00C515CD" w:rsidRDefault="00C515CD" w:rsidP="00F57DAB">
      <w:pPr>
        <w:pStyle w:val="ListParagraph"/>
        <w:numPr>
          <w:ilvl w:val="0"/>
          <w:numId w:val="57"/>
        </w:numPr>
      </w:pPr>
      <w:r w:rsidRPr="00C515CD">
        <w:t>Sydney datacentre: 4 servers, flexible contract. This proves the model and delivers early value while the main estate is being planned.</w:t>
      </w:r>
    </w:p>
    <w:p w14:paraId="56B70C36" w14:textId="77777777" w:rsidR="00C515CD" w:rsidRPr="00C515CD" w:rsidRDefault="00C515CD" w:rsidP="00C515CD">
      <w:r w:rsidRPr="00C515CD">
        <w:t>Part 2 delivers the execution plan: 7R disposition for all 39 applications, migration wave sequencing, dual-run cost modelling, landing zone design, database modernisation assessment, and per-server remediation plans for legacy OS.</w:t>
      </w:r>
    </w:p>
    <w:p w14:paraId="00000843" w14:textId="6F02DEBE" w:rsidR="000B0F63" w:rsidRDefault="00E37C4B" w:rsidP="00C515CD">
      <w:r w:rsidRPr="00C515CD">
        <w:t xml:space="preserve">For </w:t>
      </w:r>
      <w:r>
        <w:t>DMG Media</w:t>
      </w:r>
      <w:r w:rsidRPr="00C515CD">
        <w:t xml:space="preserve">, public cloud is a business decision, not just a technology upgrade. AWS is recommended because it fits the estate, minimises migration risk, and </w:t>
      </w:r>
      <w:r w:rsidR="00C515CD" w:rsidRPr="00C515CD">
        <w:t>provides the platform on which cost reduction,</w:t>
      </w:r>
      <w:r w:rsidRPr="00C515CD">
        <w:t xml:space="preserve"> operational </w:t>
      </w:r>
      <w:r w:rsidR="00C515CD" w:rsidRPr="00C515CD">
        <w:t>simplification, and long-term growth are achievable.</w:t>
      </w:r>
      <w:r w:rsidR="00C05D22">
        <w:br w:type="page"/>
      </w:r>
    </w:p>
    <w:p w14:paraId="00000845" w14:textId="00000846" w:rsidR="000B0F63" w:rsidRPr="00A61669" w:rsidRDefault="1BAB210A" w:rsidP="00E40261">
      <w:pPr>
        <w:pStyle w:val="Heading1"/>
        <w:jc w:val="both"/>
        <w:rPr>
          <w:rFonts w:asciiTheme="majorHAnsi" w:hAnsiTheme="majorHAnsi" w:cstheme="majorHAnsi"/>
        </w:rPr>
      </w:pPr>
      <w:bookmarkStart w:id="266" w:name="_Toc247"/>
      <w:bookmarkStart w:id="267" w:name="_Toc227771031"/>
      <w:bookmarkStart w:id="268" w:name="_Toc228549365"/>
      <w:r w:rsidRPr="00A61669">
        <w:rPr>
          <w:rFonts w:asciiTheme="majorHAnsi" w:hAnsiTheme="majorHAnsi" w:cstheme="majorHAnsi"/>
        </w:rPr>
        <w:t>Appendices</w:t>
      </w:r>
      <w:bookmarkEnd w:id="266"/>
      <w:bookmarkEnd w:id="267"/>
      <w:bookmarkEnd w:id="268"/>
    </w:p>
    <w:p w14:paraId="00000847" w14:textId="00000848" w:rsidR="000B0F63" w:rsidRPr="00A61669" w:rsidRDefault="1BAB210A" w:rsidP="005B6077">
      <w:pPr>
        <w:pStyle w:val="Heading6"/>
        <w:rPr>
          <w:rStyle w:val="BookTitle"/>
          <w:rFonts w:cstheme="majorHAnsi"/>
        </w:rPr>
      </w:pPr>
      <w:bookmarkStart w:id="269" w:name="_Toc248"/>
      <w:bookmarkStart w:id="270" w:name="_Toc227771032"/>
      <w:bookmarkStart w:id="271" w:name="_Toc228549366"/>
      <w:r w:rsidRPr="00A61669">
        <w:rPr>
          <w:rStyle w:val="BookTitle"/>
          <w:rFonts w:cstheme="majorHAnsi"/>
        </w:rPr>
        <w:t>Appendix A: TCO Methodology and Detail</w:t>
      </w:r>
      <w:bookmarkEnd w:id="269"/>
      <w:bookmarkEnd w:id="270"/>
      <w:bookmarkEnd w:id="271"/>
    </w:p>
    <w:p w14:paraId="00000849" w14:textId="0000084A" w:rsidR="000B0F63" w:rsidRPr="00A61669" w:rsidRDefault="1BAB210A" w:rsidP="00E40261">
      <w:pPr>
        <w:pStyle w:val="Heading3"/>
        <w:jc w:val="both"/>
        <w:rPr>
          <w:rFonts w:asciiTheme="majorHAnsi" w:hAnsiTheme="majorHAnsi" w:cstheme="majorHAnsi"/>
        </w:rPr>
      </w:pPr>
      <w:bookmarkStart w:id="272" w:name="_Toc249"/>
      <w:bookmarkStart w:id="273" w:name="_Toc227771033"/>
      <w:r w:rsidRPr="00A61669">
        <w:rPr>
          <w:rFonts w:asciiTheme="majorHAnsi" w:hAnsiTheme="majorHAnsi" w:cstheme="majorHAnsi"/>
        </w:rPr>
        <w:t>Approach</w:t>
      </w:r>
      <w:bookmarkEnd w:id="272"/>
      <w:bookmarkEnd w:id="273"/>
    </w:p>
    <w:p w14:paraId="0000084B" w14:textId="0000084C" w:rsidR="000B0F63" w:rsidRPr="00A61669" w:rsidRDefault="00C05D22" w:rsidP="00E40261">
      <w:pPr>
        <w:jc w:val="both"/>
        <w:rPr>
          <w:rFonts w:asciiTheme="majorHAnsi" w:hAnsiTheme="majorHAnsi" w:cstheme="majorHAnsi"/>
        </w:rPr>
      </w:pPr>
      <w:r w:rsidRPr="00A61669">
        <w:rPr>
          <w:rFonts w:asciiTheme="majorHAnsi" w:hAnsiTheme="majorHAnsi" w:cstheme="majorHAnsi"/>
        </w:rPr>
        <w:t>The TCO analysis priced all 3,038 in-scope servers independently across three clouds using live pricing APIs. Each cloud's own assessment tool recommended instance types from the same source data, and those recommendations were then priced against public API rates to normalise the comparison.</w:t>
      </w:r>
    </w:p>
    <w:tbl>
      <w:tblPr>
        <w:tblW w:w="9720" w:type="dxa"/>
        <w:tblCellMar>
          <w:top w:w="100" w:type="dxa"/>
          <w:left w:w="100" w:type="dxa"/>
          <w:bottom w:w="100" w:type="dxa"/>
          <w:right w:w="100" w:type="dxa"/>
        </w:tblCellMar>
        <w:tblLook w:val="04A0" w:firstRow="1" w:lastRow="0" w:firstColumn="1" w:lastColumn="0" w:noHBand="0" w:noVBand="1"/>
      </w:tblPr>
      <w:tblGrid>
        <w:gridCol w:w="3240"/>
        <w:gridCol w:w="3240"/>
        <w:gridCol w:w="3240"/>
      </w:tblGrid>
      <w:tr w:rsidR="006860A9" w14:paraId="386E1065" w14:textId="77777777" w:rsidTr="1524DEBB">
        <w:trPr>
          <w:cantSplit/>
        </w:trPr>
        <w:tc>
          <w:tcPr>
            <w:tcW w:w="3240" w:type="dxa"/>
            <w:shd w:val="clear" w:color="auto" w:fill="D9D9D9" w:themeFill="background1" w:themeFillShade="D9"/>
            <w:tcMar>
              <w:top w:w="100" w:type="dxa"/>
              <w:left w:w="100" w:type="dxa"/>
              <w:bottom w:w="100" w:type="dxa"/>
              <w:right w:w="100" w:type="dxa"/>
            </w:tcMar>
          </w:tcPr>
          <w:p w14:paraId="0000084D" w14:textId="0000084E"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Cloud</w:t>
            </w:r>
          </w:p>
        </w:tc>
        <w:tc>
          <w:tcPr>
            <w:tcW w:w="3240" w:type="dxa"/>
            <w:shd w:val="clear" w:color="auto" w:fill="D9D9D9" w:themeFill="background1" w:themeFillShade="D9"/>
            <w:tcMar>
              <w:top w:w="100" w:type="dxa"/>
              <w:left w:w="100" w:type="dxa"/>
              <w:bottom w:w="100" w:type="dxa"/>
              <w:right w:w="100" w:type="dxa"/>
            </w:tcMar>
          </w:tcPr>
          <w:p w14:paraId="0000084F" w14:textId="00000850"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Pricing source</w:t>
            </w:r>
          </w:p>
        </w:tc>
        <w:tc>
          <w:tcPr>
            <w:tcW w:w="3240" w:type="dxa"/>
            <w:shd w:val="clear" w:color="auto" w:fill="D9D9D9" w:themeFill="background1" w:themeFillShade="D9"/>
            <w:tcMar>
              <w:top w:w="100" w:type="dxa"/>
              <w:left w:w="100" w:type="dxa"/>
              <w:bottom w:w="100" w:type="dxa"/>
              <w:right w:w="100" w:type="dxa"/>
            </w:tcMar>
          </w:tcPr>
          <w:p w14:paraId="00000851" w14:textId="00000852"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Currency handling</w:t>
            </w:r>
          </w:p>
        </w:tc>
      </w:tr>
      <w:tr w:rsidR="006A6D07" w14:paraId="4155FBA2" w14:textId="77777777" w:rsidTr="1524DEBB">
        <w:tc>
          <w:tcPr>
            <w:tcW w:w="3240" w:type="dxa"/>
            <w:tcMar>
              <w:top w:w="100" w:type="dxa"/>
              <w:left w:w="100" w:type="dxa"/>
              <w:bottom w:w="100" w:type="dxa"/>
              <w:right w:w="100" w:type="dxa"/>
            </w:tcMar>
          </w:tcPr>
          <w:p w14:paraId="00000853" w14:textId="00000854"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GCP</w:t>
            </w:r>
          </w:p>
        </w:tc>
        <w:tc>
          <w:tcPr>
            <w:tcW w:w="3240" w:type="dxa"/>
            <w:tcMar>
              <w:top w:w="100" w:type="dxa"/>
              <w:left w:w="100" w:type="dxa"/>
              <w:bottom w:w="100" w:type="dxa"/>
              <w:right w:w="100" w:type="dxa"/>
            </w:tcMar>
          </w:tcPr>
          <w:p w14:paraId="00000855" w14:textId="00000856"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lang w:val="en-GB"/>
              </w:rPr>
              <w:t>Cloud Billing Catalog API</w:t>
            </w:r>
          </w:p>
        </w:tc>
        <w:tc>
          <w:tcPr>
            <w:tcW w:w="3240" w:type="dxa"/>
            <w:tcMar>
              <w:top w:w="100" w:type="dxa"/>
              <w:left w:w="100" w:type="dxa"/>
              <w:bottom w:w="100" w:type="dxa"/>
              <w:right w:w="100" w:type="dxa"/>
            </w:tcMar>
          </w:tcPr>
          <w:p w14:paraId="00000857" w14:textId="3696104F" w:rsidR="000B0F63" w:rsidRPr="00A61669" w:rsidRDefault="00312BB7" w:rsidP="00E40261">
            <w:pPr>
              <w:pStyle w:val="TableInfo"/>
              <w:jc w:val="both"/>
              <w:rPr>
                <w:rFonts w:asciiTheme="majorHAnsi" w:hAnsiTheme="majorHAnsi" w:cstheme="majorHAnsi"/>
              </w:rPr>
            </w:pPr>
            <w:r w:rsidRPr="00A61669">
              <w:rPr>
                <w:rFonts w:asciiTheme="majorHAnsi" w:hAnsiTheme="majorHAnsi" w:cstheme="majorHAnsi"/>
              </w:rPr>
              <w:t>£</w:t>
            </w:r>
            <w:r w:rsidR="00C05D22" w:rsidRPr="00A61669">
              <w:rPr>
                <w:rFonts w:asciiTheme="majorHAnsi" w:hAnsiTheme="majorHAnsi" w:cstheme="majorHAnsi"/>
              </w:rPr>
              <w:t>native, no conversion</w:t>
            </w:r>
          </w:p>
        </w:tc>
      </w:tr>
      <w:tr w:rsidR="006A6D07" w14:paraId="43C7F467" w14:textId="77777777" w:rsidTr="1524DEBB">
        <w:tc>
          <w:tcPr>
            <w:tcW w:w="3240" w:type="dxa"/>
            <w:tcMar>
              <w:top w:w="100" w:type="dxa"/>
              <w:left w:w="100" w:type="dxa"/>
              <w:bottom w:w="100" w:type="dxa"/>
              <w:right w:w="100" w:type="dxa"/>
            </w:tcMar>
          </w:tcPr>
          <w:p w14:paraId="00000859" w14:textId="0000085A"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AWS</w:t>
            </w:r>
          </w:p>
        </w:tc>
        <w:tc>
          <w:tcPr>
            <w:tcW w:w="3240" w:type="dxa"/>
            <w:tcMar>
              <w:top w:w="100" w:type="dxa"/>
              <w:left w:w="100" w:type="dxa"/>
              <w:bottom w:w="100" w:type="dxa"/>
              <w:right w:w="100" w:type="dxa"/>
            </w:tcMar>
          </w:tcPr>
          <w:p w14:paraId="0000085B" w14:textId="0000085C"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AWS Price List API</w:t>
            </w:r>
          </w:p>
        </w:tc>
        <w:tc>
          <w:tcPr>
            <w:tcW w:w="3240" w:type="dxa"/>
            <w:tcMar>
              <w:top w:w="100" w:type="dxa"/>
              <w:left w:w="100" w:type="dxa"/>
              <w:bottom w:w="100" w:type="dxa"/>
              <w:right w:w="100" w:type="dxa"/>
            </w:tcMar>
          </w:tcPr>
          <w:p w14:paraId="0000085D" w14:textId="0000085E"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USD, converted at 0.755 GBP/USD (April 2026 corporate average)</w:t>
            </w:r>
          </w:p>
        </w:tc>
      </w:tr>
      <w:tr w:rsidR="006A6D07" w14:paraId="7CA9CDD4" w14:textId="77777777" w:rsidTr="1524DEBB">
        <w:tc>
          <w:tcPr>
            <w:tcW w:w="3240" w:type="dxa"/>
            <w:tcMar>
              <w:top w:w="100" w:type="dxa"/>
              <w:left w:w="100" w:type="dxa"/>
              <w:bottom w:w="100" w:type="dxa"/>
              <w:right w:w="100" w:type="dxa"/>
            </w:tcMar>
          </w:tcPr>
          <w:p w14:paraId="0000085F" w14:textId="00000860"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Azure</w:t>
            </w:r>
          </w:p>
        </w:tc>
        <w:tc>
          <w:tcPr>
            <w:tcW w:w="3240" w:type="dxa"/>
            <w:tcMar>
              <w:top w:w="100" w:type="dxa"/>
              <w:left w:w="100" w:type="dxa"/>
              <w:bottom w:w="100" w:type="dxa"/>
              <w:right w:w="100" w:type="dxa"/>
            </w:tcMar>
          </w:tcPr>
          <w:p w14:paraId="00000861" w14:textId="00000862"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Retail Prices REST API</w:t>
            </w:r>
          </w:p>
        </w:tc>
        <w:tc>
          <w:tcPr>
            <w:tcW w:w="3240" w:type="dxa"/>
            <w:tcMar>
              <w:top w:w="100" w:type="dxa"/>
              <w:left w:w="100" w:type="dxa"/>
              <w:bottom w:w="100" w:type="dxa"/>
              <w:right w:w="100" w:type="dxa"/>
            </w:tcMar>
          </w:tcPr>
          <w:p w14:paraId="00000863" w14:textId="2EEB0D33" w:rsidR="000B0F63" w:rsidRPr="00A61669" w:rsidRDefault="00312BB7" w:rsidP="00E40261">
            <w:pPr>
              <w:pStyle w:val="TableInfo"/>
              <w:jc w:val="both"/>
              <w:rPr>
                <w:rFonts w:asciiTheme="majorHAnsi" w:hAnsiTheme="majorHAnsi" w:cstheme="majorHAnsi"/>
              </w:rPr>
            </w:pPr>
            <w:r w:rsidRPr="00A61669">
              <w:rPr>
                <w:rFonts w:asciiTheme="majorHAnsi" w:hAnsiTheme="majorHAnsi" w:cstheme="majorHAnsi"/>
              </w:rPr>
              <w:t>£</w:t>
            </w:r>
            <w:r w:rsidR="00C05D22" w:rsidRPr="00A61669">
              <w:rPr>
                <w:rFonts w:asciiTheme="majorHAnsi" w:hAnsiTheme="majorHAnsi" w:cstheme="majorHAnsi"/>
              </w:rPr>
              <w:t>native, no conversion</w:t>
            </w:r>
          </w:p>
        </w:tc>
      </w:tr>
    </w:tbl>
    <w:p w14:paraId="00000865" w14:textId="00000866" w:rsidR="000B0F63" w:rsidRPr="00A61669" w:rsidRDefault="1BAB210A" w:rsidP="00E40261">
      <w:pPr>
        <w:pStyle w:val="Heading3"/>
        <w:jc w:val="both"/>
        <w:rPr>
          <w:rFonts w:asciiTheme="majorHAnsi" w:hAnsiTheme="majorHAnsi" w:cstheme="majorHAnsi"/>
        </w:rPr>
      </w:pPr>
      <w:bookmarkStart w:id="274" w:name="_Toc250"/>
      <w:bookmarkStart w:id="275" w:name="_Toc227771034"/>
      <w:r w:rsidRPr="00A61669">
        <w:rPr>
          <w:rFonts w:asciiTheme="majorHAnsi" w:hAnsiTheme="majorHAnsi" w:cstheme="majorHAnsi"/>
        </w:rPr>
        <w:t>Assumptions</w:t>
      </w:r>
      <w:bookmarkEnd w:id="274"/>
      <w:bookmarkEnd w:id="275"/>
    </w:p>
    <w:p w14:paraId="00000867" w14:textId="00000868" w:rsidR="000B0F63" w:rsidRPr="00A61669" w:rsidRDefault="00C05D22" w:rsidP="00F57DAB">
      <w:pPr>
        <w:pStyle w:val="ListBullet"/>
        <w:numPr>
          <w:ilvl w:val="0"/>
          <w:numId w:val="33"/>
        </w:numPr>
        <w:jc w:val="both"/>
        <w:rPr>
          <w:rFonts w:asciiTheme="majorHAnsi" w:hAnsiTheme="majorHAnsi" w:cstheme="majorHAnsi"/>
        </w:rPr>
      </w:pPr>
      <w:r w:rsidRPr="00A61669">
        <w:rPr>
          <w:rFonts w:asciiTheme="majorHAnsi" w:hAnsiTheme="majorHAnsi" w:cstheme="majorHAnsi"/>
          <w:b/>
        </w:rPr>
        <w:t>Tool-based sizing</w:t>
      </w:r>
      <w:r w:rsidRPr="00A61669">
        <w:rPr>
          <w:rFonts w:asciiTheme="majorHAnsi" w:hAnsiTheme="majorHAnsi" w:cstheme="majorHAnsi"/>
        </w:rPr>
        <w:t>: servers priced at instance types recommended by each cloud's own TCO toolkit.</w:t>
      </w:r>
    </w:p>
    <w:p w14:paraId="00000869" w14:textId="0000086A" w:rsidR="000B0F63" w:rsidRPr="00A61669" w:rsidRDefault="00C05D22" w:rsidP="00F57DAB">
      <w:pPr>
        <w:pStyle w:val="ListBullet"/>
        <w:numPr>
          <w:ilvl w:val="0"/>
          <w:numId w:val="33"/>
        </w:numPr>
        <w:jc w:val="both"/>
        <w:rPr>
          <w:rFonts w:asciiTheme="majorHAnsi" w:hAnsiTheme="majorHAnsi" w:cstheme="majorHAnsi"/>
        </w:rPr>
      </w:pPr>
      <w:r w:rsidRPr="00A61669">
        <w:rPr>
          <w:rFonts w:asciiTheme="majorHAnsi" w:hAnsiTheme="majorHAnsi" w:cstheme="majorHAnsi"/>
          <w:b/>
        </w:rPr>
        <w:t>SSD baseline across all clouds</w:t>
      </w:r>
      <w:r w:rsidRPr="00A61669">
        <w:rPr>
          <w:rFonts w:asciiTheme="majorHAnsi" w:hAnsiTheme="majorHAnsi" w:cstheme="majorHAnsi"/>
        </w:rPr>
        <w:t>: GCP Balanced PD / Hyperdisk Balanced, AWS gp3, Azure Premium SSD. IOPS matched at 80,000 per disk where needed.</w:t>
      </w:r>
    </w:p>
    <w:p w14:paraId="0000086B" w14:textId="481A7D66" w:rsidR="000B0F63" w:rsidRPr="00A61669" w:rsidRDefault="00C05D22" w:rsidP="00F57DAB">
      <w:pPr>
        <w:pStyle w:val="ListBullet"/>
        <w:numPr>
          <w:ilvl w:val="0"/>
          <w:numId w:val="33"/>
        </w:numPr>
        <w:jc w:val="both"/>
        <w:rPr>
          <w:rFonts w:asciiTheme="majorHAnsi" w:hAnsiTheme="majorHAnsi" w:cstheme="majorHAnsi"/>
        </w:rPr>
      </w:pPr>
      <w:r w:rsidRPr="00A61669">
        <w:rPr>
          <w:rFonts w:asciiTheme="majorHAnsi" w:hAnsiTheme="majorHAnsi" w:cstheme="majorHAnsi"/>
          <w:b/>
        </w:rPr>
        <w:t>PAYG operating system in the baseline</w:t>
      </w:r>
      <w:r w:rsidRPr="00A61669">
        <w:rPr>
          <w:rFonts w:asciiTheme="majorHAnsi" w:hAnsiTheme="majorHAnsi" w:cstheme="majorHAnsi"/>
        </w:rPr>
        <w:t xml:space="preserve">: Windows and RHEL at </w:t>
      </w:r>
      <w:r w:rsidR="00AF0604" w:rsidRPr="00A61669">
        <w:rPr>
          <w:rFonts w:asciiTheme="majorHAnsi" w:hAnsiTheme="majorHAnsi" w:cstheme="majorHAnsi"/>
        </w:rPr>
        <w:t>Pay-as-you-go</w:t>
      </w:r>
      <w:r w:rsidR="000864A0" w:rsidRPr="00A61669">
        <w:rPr>
          <w:rFonts w:asciiTheme="majorHAnsi" w:hAnsiTheme="majorHAnsi" w:cstheme="majorHAnsi"/>
        </w:rPr>
        <w:t xml:space="preserve"> </w:t>
      </w:r>
      <w:r w:rsidRPr="00A61669">
        <w:rPr>
          <w:rFonts w:asciiTheme="majorHAnsi" w:hAnsiTheme="majorHAnsi" w:cstheme="majorHAnsi"/>
        </w:rPr>
        <w:t>rates. BYOL modelled separately.</w:t>
      </w:r>
    </w:p>
    <w:p w14:paraId="0000086D" w14:textId="0000086E" w:rsidR="000B0F63" w:rsidRPr="00A61669" w:rsidRDefault="00C05D22" w:rsidP="00F57DAB">
      <w:pPr>
        <w:pStyle w:val="ListBullet"/>
        <w:numPr>
          <w:ilvl w:val="0"/>
          <w:numId w:val="33"/>
        </w:numPr>
        <w:jc w:val="both"/>
        <w:rPr>
          <w:rFonts w:asciiTheme="majorHAnsi" w:hAnsiTheme="majorHAnsi" w:cstheme="majorHAnsi"/>
        </w:rPr>
      </w:pPr>
      <w:r w:rsidRPr="00A61669">
        <w:rPr>
          <w:rFonts w:asciiTheme="majorHAnsi" w:hAnsiTheme="majorHAnsi" w:cstheme="majorHAnsi"/>
          <w:b/>
        </w:rPr>
        <w:t>3-year committed pricing</w:t>
      </w:r>
      <w:r w:rsidRPr="00A61669">
        <w:rPr>
          <w:rFonts w:asciiTheme="majorHAnsi" w:hAnsiTheme="majorHAnsi" w:cstheme="majorHAnsi"/>
        </w:rPr>
        <w:t>: GCP 3-year CUD, AWS 3-year Standard Reserved, Azure 3-year Reserved VM Instances.</w:t>
      </w:r>
    </w:p>
    <w:p w14:paraId="0000086F" w14:textId="19326666" w:rsidR="000B0F63" w:rsidRPr="00A61669" w:rsidRDefault="00C05D22" w:rsidP="00F57DAB">
      <w:pPr>
        <w:pStyle w:val="ListBullet"/>
        <w:numPr>
          <w:ilvl w:val="0"/>
          <w:numId w:val="33"/>
        </w:numPr>
        <w:jc w:val="both"/>
        <w:rPr>
          <w:rFonts w:asciiTheme="majorHAnsi" w:hAnsiTheme="majorHAnsi" w:cstheme="majorHAnsi"/>
        </w:rPr>
      </w:pPr>
      <w:r w:rsidRPr="00A61669">
        <w:rPr>
          <w:rFonts w:asciiTheme="majorHAnsi" w:hAnsiTheme="majorHAnsi" w:cstheme="majorHAnsi"/>
          <w:b/>
        </w:rPr>
        <w:t>Single FX rate</w:t>
      </w:r>
      <w:r w:rsidRPr="00A61669">
        <w:rPr>
          <w:rFonts w:asciiTheme="majorHAnsi" w:hAnsiTheme="majorHAnsi" w:cstheme="majorHAnsi"/>
        </w:rPr>
        <w:t xml:space="preserve">: USD to </w:t>
      </w:r>
      <w:r w:rsidR="1207DF71" w:rsidRPr="27AA14E8">
        <w:rPr>
          <w:rFonts w:asciiTheme="majorHAnsi" w:hAnsiTheme="majorHAnsi" w:cstheme="majorBidi"/>
        </w:rPr>
        <w:t xml:space="preserve">GBP </w:t>
      </w:r>
      <w:r w:rsidRPr="00A61669">
        <w:rPr>
          <w:rFonts w:asciiTheme="majorHAnsi" w:hAnsiTheme="majorHAnsi" w:cstheme="majorHAnsi"/>
        </w:rPr>
        <w:t>at 0.755 (April 2026 average). Applied to AWS pricing only.</w:t>
      </w:r>
    </w:p>
    <w:p w14:paraId="00000871" w14:textId="00000872" w:rsidR="000B0F63" w:rsidRPr="00A61669" w:rsidRDefault="00C05D22" w:rsidP="00F57DAB">
      <w:pPr>
        <w:pStyle w:val="ListBullet"/>
        <w:numPr>
          <w:ilvl w:val="0"/>
          <w:numId w:val="33"/>
        </w:numPr>
        <w:jc w:val="both"/>
        <w:rPr>
          <w:rFonts w:asciiTheme="majorHAnsi" w:hAnsiTheme="majorHAnsi" w:cstheme="majorHAnsi"/>
        </w:rPr>
      </w:pPr>
      <w:r w:rsidRPr="00A61669">
        <w:rPr>
          <w:rFonts w:asciiTheme="majorHAnsi" w:hAnsiTheme="majorHAnsi" w:cstheme="majorHAnsi"/>
          <w:b/>
        </w:rPr>
        <w:t>No Azure Hybrid Benefit in the baseline</w:t>
      </w:r>
      <w:r w:rsidRPr="00A61669">
        <w:rPr>
          <w:rFonts w:asciiTheme="majorHAnsi" w:hAnsiTheme="majorHAnsi" w:cstheme="majorHAnsi"/>
        </w:rPr>
        <w:t>: AHB not applied because Software Assurance status is unverified.</w:t>
      </w:r>
    </w:p>
    <w:p w14:paraId="00000873" w14:textId="00000874" w:rsidR="000B0F63" w:rsidRPr="00A61669" w:rsidRDefault="00C05D22" w:rsidP="00F57DAB">
      <w:pPr>
        <w:pStyle w:val="ListBullet"/>
        <w:numPr>
          <w:ilvl w:val="0"/>
          <w:numId w:val="33"/>
        </w:numPr>
        <w:jc w:val="both"/>
        <w:rPr>
          <w:rFonts w:asciiTheme="majorHAnsi" w:hAnsiTheme="majorHAnsi" w:cstheme="majorHAnsi"/>
        </w:rPr>
      </w:pPr>
      <w:r w:rsidRPr="00A61669">
        <w:rPr>
          <w:rFonts w:asciiTheme="majorHAnsi" w:hAnsiTheme="majorHAnsi" w:cstheme="majorHAnsi"/>
          <w:b/>
        </w:rPr>
        <w:t>Physical servers at provisioned specification</w:t>
      </w:r>
      <w:r w:rsidRPr="00A61669">
        <w:rPr>
          <w:rFonts w:asciiTheme="majorHAnsi" w:hAnsiTheme="majorHAnsi" w:cstheme="majorHAnsi"/>
        </w:rPr>
        <w:t>: 38 manually collected servers sized at provisioned CPU, memory, storage.</w:t>
      </w:r>
    </w:p>
    <w:p w14:paraId="00000875" w14:textId="00000876" w:rsidR="000B0F63" w:rsidRPr="00A61669" w:rsidRDefault="00C05D22" w:rsidP="00F57DAB">
      <w:pPr>
        <w:pStyle w:val="ListBullet"/>
        <w:numPr>
          <w:ilvl w:val="0"/>
          <w:numId w:val="33"/>
        </w:numPr>
        <w:jc w:val="both"/>
        <w:rPr>
          <w:rFonts w:asciiTheme="majorHAnsi" w:hAnsiTheme="majorHAnsi" w:cstheme="majorHAnsi"/>
        </w:rPr>
      </w:pPr>
      <w:r w:rsidRPr="00A61669">
        <w:rPr>
          <w:rFonts w:asciiTheme="majorHAnsi" w:hAnsiTheme="majorHAnsi" w:cstheme="majorHAnsi"/>
        </w:rPr>
        <w:t>Burstable VM families excluded by team agreement as not production-grade.</w:t>
      </w:r>
    </w:p>
    <w:p w14:paraId="00000877" w14:textId="00000878" w:rsidR="000B0F63" w:rsidRPr="00A61669" w:rsidRDefault="1BAB210A" w:rsidP="00E40261">
      <w:pPr>
        <w:pStyle w:val="Heading3"/>
        <w:jc w:val="both"/>
        <w:rPr>
          <w:rFonts w:asciiTheme="majorHAnsi" w:hAnsiTheme="majorHAnsi" w:cstheme="majorHAnsi"/>
        </w:rPr>
      </w:pPr>
      <w:bookmarkStart w:id="276" w:name="_Toc251"/>
      <w:bookmarkStart w:id="277" w:name="_Toc227771035"/>
      <w:r w:rsidRPr="00A61669">
        <w:rPr>
          <w:rFonts w:asciiTheme="majorHAnsi" w:hAnsiTheme="majorHAnsi" w:cstheme="majorHAnsi"/>
        </w:rPr>
        <w:t>Detailed TCO workbooks</w:t>
      </w:r>
      <w:bookmarkEnd w:id="276"/>
      <w:bookmarkEnd w:id="277"/>
    </w:p>
    <w:p w14:paraId="00000879" w14:textId="0000087A" w:rsidR="000B0F63" w:rsidRPr="00A61669" w:rsidRDefault="00C05D22" w:rsidP="00E40261">
      <w:pPr>
        <w:pStyle w:val="ListBullet"/>
        <w:jc w:val="both"/>
        <w:rPr>
          <w:rFonts w:asciiTheme="majorHAnsi" w:hAnsiTheme="majorHAnsi" w:cstheme="majorHAnsi"/>
        </w:rPr>
      </w:pPr>
      <w:r w:rsidRPr="00A61669">
        <w:rPr>
          <w:rFonts w:asciiTheme="majorHAnsi" w:hAnsiTheme="majorHAnsi" w:cstheme="majorHAnsi"/>
          <w:b/>
        </w:rPr>
        <w:t>DMG_TCO_Comparison.xlsx</w:t>
      </w:r>
      <w:r w:rsidRPr="00A61669">
        <w:rPr>
          <w:rFonts w:asciiTheme="majorHAnsi" w:hAnsiTheme="majorHAnsi" w:cstheme="majorHAnsi"/>
        </w:rPr>
        <w:t>: Summary, Rate Card, Repricing per region (London, NL/Ireland, Frankfurt), Methodology sheet.</w:t>
      </w:r>
    </w:p>
    <w:p w14:paraId="0000087B" w14:textId="0000087C" w:rsidR="000B0F63" w:rsidRPr="00A61669" w:rsidRDefault="00C05D22" w:rsidP="00E40261">
      <w:pPr>
        <w:pStyle w:val="ListBullet"/>
        <w:jc w:val="both"/>
        <w:rPr>
          <w:rFonts w:asciiTheme="majorHAnsi" w:hAnsiTheme="majorHAnsi" w:cstheme="majorHAnsi"/>
        </w:rPr>
      </w:pPr>
      <w:r w:rsidRPr="00A61669">
        <w:rPr>
          <w:rFonts w:asciiTheme="majorHAnsi" w:hAnsiTheme="majorHAnsi" w:cstheme="majorHAnsi"/>
          <w:b/>
        </w:rPr>
        <w:t>DMG_TCO_Optimized.xlsx</w:t>
      </w:r>
      <w:r w:rsidRPr="00A61669">
        <w:rPr>
          <w:rFonts w:asciiTheme="majorHAnsi" w:hAnsiTheme="majorHAnsi" w:cstheme="majorHAnsi"/>
        </w:rPr>
        <w:t>: Scenario Summary, Oracle Options, Migration Credits, Methodology. Windows BYOL, SQL Server licensing, Oracle migration scenarios, storage tiering, RHEL BYOL, Azure Dev/Test.</w:t>
      </w:r>
    </w:p>
    <w:p w14:paraId="000008B1" w14:textId="225D710E" w:rsidR="000B0F63" w:rsidRPr="00A61669" w:rsidRDefault="1BAB210A" w:rsidP="005B6077">
      <w:pPr>
        <w:pStyle w:val="Heading6"/>
        <w:rPr>
          <w:rStyle w:val="BookTitle"/>
          <w:rFonts w:cstheme="majorHAnsi"/>
        </w:rPr>
      </w:pPr>
      <w:bookmarkStart w:id="278" w:name="_Toc256"/>
      <w:bookmarkStart w:id="279" w:name="_Toc227771040"/>
      <w:bookmarkStart w:id="280" w:name="_Toc228549367"/>
      <w:r w:rsidRPr="00A61669">
        <w:rPr>
          <w:rStyle w:val="BookTitle"/>
          <w:rFonts w:cstheme="majorHAnsi"/>
        </w:rPr>
        <w:t xml:space="preserve">Appendix </w:t>
      </w:r>
      <w:r w:rsidR="00077901" w:rsidRPr="00A61669">
        <w:rPr>
          <w:rStyle w:val="BookTitle"/>
          <w:rFonts w:cstheme="majorHAnsi"/>
        </w:rPr>
        <w:t>B</w:t>
      </w:r>
      <w:r w:rsidRPr="00A61669">
        <w:rPr>
          <w:rStyle w:val="BookTitle"/>
          <w:rFonts w:cstheme="majorHAnsi"/>
        </w:rPr>
        <w:t>: Attached Workbooks</w:t>
      </w:r>
      <w:bookmarkEnd w:id="278"/>
      <w:bookmarkEnd w:id="279"/>
      <w:bookmarkEnd w:id="280"/>
    </w:p>
    <w:tbl>
      <w:tblPr>
        <w:tblW w:w="9720" w:type="dxa"/>
        <w:tblCellMar>
          <w:top w:w="100" w:type="dxa"/>
          <w:left w:w="100" w:type="dxa"/>
          <w:bottom w:w="100" w:type="dxa"/>
          <w:right w:w="100" w:type="dxa"/>
        </w:tblCellMar>
        <w:tblLook w:val="04A0" w:firstRow="1" w:lastRow="0" w:firstColumn="1" w:lastColumn="0" w:noHBand="0" w:noVBand="1"/>
      </w:tblPr>
      <w:tblGrid>
        <w:gridCol w:w="3660"/>
        <w:gridCol w:w="6060"/>
      </w:tblGrid>
      <w:tr w:rsidR="00AB10D7" w14:paraId="52E5ABDE" w14:textId="77777777" w:rsidTr="4F6768F0">
        <w:trPr>
          <w:cantSplit/>
        </w:trPr>
        <w:tc>
          <w:tcPr>
            <w:tcW w:w="3660" w:type="dxa"/>
            <w:shd w:val="clear" w:color="auto" w:fill="D9D9D9" w:themeFill="background1" w:themeFillShade="D9"/>
            <w:tcMar>
              <w:top w:w="100" w:type="dxa"/>
              <w:left w:w="100" w:type="dxa"/>
              <w:bottom w:w="100" w:type="dxa"/>
              <w:right w:w="100" w:type="dxa"/>
            </w:tcMar>
          </w:tcPr>
          <w:p w14:paraId="000008B3" w14:textId="000008B4"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Workbook</w:t>
            </w:r>
          </w:p>
        </w:tc>
        <w:tc>
          <w:tcPr>
            <w:tcW w:w="6060" w:type="dxa"/>
            <w:shd w:val="clear" w:color="auto" w:fill="D9D9D9" w:themeFill="background1" w:themeFillShade="D9"/>
            <w:tcMar>
              <w:top w:w="100" w:type="dxa"/>
              <w:left w:w="100" w:type="dxa"/>
              <w:bottom w:w="100" w:type="dxa"/>
              <w:right w:w="100" w:type="dxa"/>
            </w:tcMar>
          </w:tcPr>
          <w:p w14:paraId="000008B5" w14:textId="000008B6"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Contents</w:t>
            </w:r>
          </w:p>
        </w:tc>
      </w:tr>
      <w:tr w:rsidR="006A6D07" w14:paraId="50B5692C" w14:textId="77777777" w:rsidTr="4F6768F0">
        <w:tc>
          <w:tcPr>
            <w:tcW w:w="3660" w:type="dxa"/>
            <w:tcMar>
              <w:top w:w="100" w:type="dxa"/>
              <w:left w:w="100" w:type="dxa"/>
              <w:bottom w:w="100" w:type="dxa"/>
              <w:right w:w="100" w:type="dxa"/>
            </w:tcMar>
          </w:tcPr>
          <w:p w14:paraId="000008B7" w14:textId="000008B8"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DMG_InScope_Business_Summary.xlsx</w:t>
            </w:r>
          </w:p>
        </w:tc>
        <w:tc>
          <w:tcPr>
            <w:tcW w:w="6060" w:type="dxa"/>
            <w:tcMar>
              <w:top w:w="100" w:type="dxa"/>
              <w:left w:w="100" w:type="dxa"/>
              <w:bottom w:w="100" w:type="dxa"/>
              <w:right w:w="100" w:type="dxa"/>
            </w:tcMar>
          </w:tcPr>
          <w:p w14:paraId="000008B9" w14:textId="000008BA"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Executive Summary, Application Coverage, Per-Service Breakdown, Gap List, Database Discovery, Database Instance Inventory, App Dependency Matrix, Wave Planning (Summary), Raw Data</w:t>
            </w:r>
          </w:p>
        </w:tc>
      </w:tr>
      <w:tr w:rsidR="006A6D07" w14:paraId="7BB1D038" w14:textId="77777777" w:rsidTr="4F6768F0">
        <w:tc>
          <w:tcPr>
            <w:tcW w:w="3660" w:type="dxa"/>
            <w:tcMar>
              <w:top w:w="100" w:type="dxa"/>
              <w:left w:w="100" w:type="dxa"/>
              <w:bottom w:w="100" w:type="dxa"/>
              <w:right w:w="100" w:type="dxa"/>
            </w:tcMar>
          </w:tcPr>
          <w:p w14:paraId="000008BB" w14:textId="000008BC"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DMG_TCO_Comparison.xlsx</w:t>
            </w:r>
          </w:p>
        </w:tc>
        <w:tc>
          <w:tcPr>
            <w:tcW w:w="6060" w:type="dxa"/>
            <w:tcMar>
              <w:top w:w="100" w:type="dxa"/>
              <w:left w:w="100" w:type="dxa"/>
              <w:bottom w:w="100" w:type="dxa"/>
              <w:right w:w="100" w:type="dxa"/>
            </w:tcMar>
          </w:tcPr>
          <w:p w14:paraId="000008BD" w14:textId="000008BE"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Summary, Rate Card, Repricing per region (London, NL/Ireland, Frankfurt), Methodology. All 3,038 servers priced per region from live API rates.</w:t>
            </w:r>
          </w:p>
        </w:tc>
      </w:tr>
      <w:tr w:rsidR="006A6D07" w14:paraId="5093E24F" w14:textId="77777777" w:rsidTr="4F6768F0">
        <w:tc>
          <w:tcPr>
            <w:tcW w:w="3660" w:type="dxa"/>
            <w:tcMar>
              <w:top w:w="100" w:type="dxa"/>
              <w:left w:w="100" w:type="dxa"/>
              <w:bottom w:w="100" w:type="dxa"/>
              <w:right w:w="100" w:type="dxa"/>
            </w:tcMar>
          </w:tcPr>
          <w:p w14:paraId="000008BF" w14:textId="000008C0"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DMG_TCO_Optimized.xlsx</w:t>
            </w:r>
          </w:p>
        </w:tc>
        <w:tc>
          <w:tcPr>
            <w:tcW w:w="6060" w:type="dxa"/>
            <w:tcMar>
              <w:top w:w="100" w:type="dxa"/>
              <w:left w:w="100" w:type="dxa"/>
              <w:bottom w:w="100" w:type="dxa"/>
              <w:right w:w="100" w:type="dxa"/>
            </w:tcMar>
          </w:tcPr>
          <w:p w14:paraId="000008C1" w14:textId="0C31E17C"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lang w:val="en-GB"/>
              </w:rPr>
              <w:t xml:space="preserve">Scenario Summary, Oracle Options, Migration Credits, Methodology. Windows BYOL, SQL Server licensing, Oracle scenarios, storage tiering, RHEL BYOL, Azure Dev/Test. Includes Oracle support line </w:t>
            </w:r>
            <w:r w:rsidR="000C108A" w:rsidRPr="00A61669">
              <w:rPr>
                <w:rFonts w:asciiTheme="majorHAnsi" w:hAnsiTheme="majorHAnsi" w:cstheme="majorHAnsi"/>
                <w:lang w:val="en-GB"/>
              </w:rPr>
              <w:t>(</w:t>
            </w:r>
            <w:r w:rsidR="0FA103C5" w:rsidRPr="00A61669">
              <w:rPr>
                <w:rFonts w:asciiTheme="majorHAnsi" w:hAnsiTheme="majorHAnsi" w:cstheme="majorHAnsi"/>
                <w:lang w:val="en-GB"/>
              </w:rPr>
              <w:t>£</w:t>
            </w:r>
            <w:r w:rsidRPr="00A61669">
              <w:rPr>
                <w:rFonts w:asciiTheme="majorHAnsi" w:hAnsiTheme="majorHAnsi" w:cstheme="majorHAnsi"/>
                <w:lang w:val="en-GB"/>
              </w:rPr>
              <w:t>650K</w:t>
            </w:r>
            <w:r w:rsidR="001120CD" w:rsidRPr="00A61669">
              <w:rPr>
                <w:rFonts w:asciiTheme="majorHAnsi" w:hAnsiTheme="majorHAnsi" w:cstheme="majorHAnsi"/>
                <w:lang w:val="en-GB"/>
              </w:rPr>
              <w:t xml:space="preserve"> per year</w:t>
            </w:r>
            <w:r w:rsidRPr="00A61669">
              <w:rPr>
                <w:rFonts w:asciiTheme="majorHAnsi" w:hAnsiTheme="majorHAnsi" w:cstheme="majorHAnsi"/>
                <w:lang w:val="en-GB"/>
              </w:rPr>
              <w:t xml:space="preserve"> retained under BYOL).</w:t>
            </w:r>
          </w:p>
        </w:tc>
      </w:tr>
      <w:tr w:rsidR="006A6D07" w14:paraId="7B0EB202" w14:textId="77777777" w:rsidTr="4F6768F0">
        <w:tc>
          <w:tcPr>
            <w:tcW w:w="3660" w:type="dxa"/>
            <w:tcMar>
              <w:top w:w="100" w:type="dxa"/>
              <w:left w:w="100" w:type="dxa"/>
              <w:bottom w:w="100" w:type="dxa"/>
              <w:right w:w="100" w:type="dxa"/>
            </w:tcMar>
          </w:tcPr>
          <w:p w14:paraId="000008C3" w14:textId="000008C4"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DMG Weighted Selection Criteria.xlsx</w:t>
            </w:r>
          </w:p>
        </w:tc>
        <w:tc>
          <w:tcPr>
            <w:tcW w:w="6060" w:type="dxa"/>
            <w:tcMar>
              <w:top w:w="100" w:type="dxa"/>
              <w:left w:w="100" w:type="dxa"/>
              <w:bottom w:w="100" w:type="dxa"/>
              <w:right w:w="100" w:type="dxa"/>
            </w:tcMar>
          </w:tcPr>
          <w:p w14:paraId="000008C5" w14:textId="000008C6"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lang w:val="en-GB"/>
              </w:rPr>
              <w:t>Weighted hyperscaler scoring across mutually agreed parameters.</w:t>
            </w:r>
          </w:p>
        </w:tc>
      </w:tr>
    </w:tbl>
    <w:p w14:paraId="000008C7" w14:textId="1D7E7783" w:rsidR="000B0F63" w:rsidRPr="00A61669" w:rsidRDefault="1BAB210A" w:rsidP="005B6077">
      <w:pPr>
        <w:pStyle w:val="Heading6"/>
        <w:rPr>
          <w:rStyle w:val="BookTitle"/>
          <w:rFonts w:cstheme="majorHAnsi"/>
        </w:rPr>
      </w:pPr>
      <w:bookmarkStart w:id="281" w:name="_Toc257"/>
      <w:bookmarkStart w:id="282" w:name="_Toc227771041"/>
      <w:bookmarkStart w:id="283" w:name="_Toc228549368"/>
      <w:r w:rsidRPr="00A61669">
        <w:rPr>
          <w:rStyle w:val="BookTitle"/>
          <w:rFonts w:cstheme="majorHAnsi"/>
        </w:rPr>
        <w:t xml:space="preserve">Appendix </w:t>
      </w:r>
      <w:r w:rsidR="00EB7981" w:rsidRPr="00A61669">
        <w:rPr>
          <w:rStyle w:val="BookTitle"/>
          <w:rFonts w:cstheme="majorHAnsi"/>
        </w:rPr>
        <w:t>C</w:t>
      </w:r>
      <w:r w:rsidRPr="00A61669">
        <w:rPr>
          <w:rStyle w:val="BookTitle"/>
          <w:rFonts w:cstheme="majorHAnsi"/>
        </w:rPr>
        <w:t>: Open Items</w:t>
      </w:r>
      <w:bookmarkEnd w:id="281"/>
      <w:bookmarkEnd w:id="282"/>
      <w:bookmarkEnd w:id="283"/>
    </w:p>
    <w:tbl>
      <w:tblPr>
        <w:tblW w:w="9720" w:type="dxa"/>
        <w:tblCellMar>
          <w:top w:w="100" w:type="dxa"/>
          <w:left w:w="100" w:type="dxa"/>
          <w:bottom w:w="100" w:type="dxa"/>
          <w:right w:w="100" w:type="dxa"/>
        </w:tblCellMar>
        <w:tblLook w:val="04A0" w:firstRow="1" w:lastRow="0" w:firstColumn="1" w:lastColumn="0" w:noHBand="0" w:noVBand="1"/>
      </w:tblPr>
      <w:tblGrid>
        <w:gridCol w:w="3270"/>
        <w:gridCol w:w="1590"/>
        <w:gridCol w:w="3810"/>
        <w:gridCol w:w="1050"/>
      </w:tblGrid>
      <w:tr w:rsidR="003F69AC" w14:paraId="63954550" w14:textId="77777777" w:rsidTr="71FAEB21">
        <w:trPr>
          <w:cantSplit/>
        </w:trPr>
        <w:tc>
          <w:tcPr>
            <w:tcW w:w="3270" w:type="dxa"/>
            <w:shd w:val="clear" w:color="auto" w:fill="D9D9D9" w:themeFill="background1" w:themeFillShade="D9"/>
            <w:tcMar>
              <w:top w:w="100" w:type="dxa"/>
              <w:left w:w="100" w:type="dxa"/>
              <w:bottom w:w="100" w:type="dxa"/>
              <w:right w:w="100" w:type="dxa"/>
            </w:tcMar>
          </w:tcPr>
          <w:p w14:paraId="000008C9" w14:textId="000008CA"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Item</w:t>
            </w:r>
          </w:p>
        </w:tc>
        <w:tc>
          <w:tcPr>
            <w:tcW w:w="1590" w:type="dxa"/>
            <w:shd w:val="clear" w:color="auto" w:fill="D9D9D9" w:themeFill="background1" w:themeFillShade="D9"/>
            <w:tcMar>
              <w:top w:w="100" w:type="dxa"/>
              <w:left w:w="100" w:type="dxa"/>
              <w:bottom w:w="100" w:type="dxa"/>
              <w:right w:w="100" w:type="dxa"/>
            </w:tcMar>
          </w:tcPr>
          <w:p w14:paraId="000008CB" w14:textId="000008CC"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Status</w:t>
            </w:r>
          </w:p>
        </w:tc>
        <w:tc>
          <w:tcPr>
            <w:tcW w:w="3810" w:type="dxa"/>
            <w:shd w:val="clear" w:color="auto" w:fill="D9D9D9" w:themeFill="background1" w:themeFillShade="D9"/>
            <w:tcMar>
              <w:top w:w="100" w:type="dxa"/>
              <w:left w:w="100" w:type="dxa"/>
              <w:bottom w:w="100" w:type="dxa"/>
              <w:right w:w="100" w:type="dxa"/>
            </w:tcMar>
          </w:tcPr>
          <w:p w14:paraId="000008CD" w14:textId="000008CE"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Impact</w:t>
            </w:r>
          </w:p>
        </w:tc>
        <w:tc>
          <w:tcPr>
            <w:tcW w:w="1050" w:type="dxa"/>
            <w:shd w:val="clear" w:color="auto" w:fill="D9D9D9" w:themeFill="background1" w:themeFillShade="D9"/>
            <w:tcMar>
              <w:top w:w="100" w:type="dxa"/>
              <w:left w:w="100" w:type="dxa"/>
              <w:bottom w:w="100" w:type="dxa"/>
              <w:right w:w="100" w:type="dxa"/>
            </w:tcMar>
          </w:tcPr>
          <w:p w14:paraId="000008CF" w14:textId="000008D0"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Section</w:t>
            </w:r>
          </w:p>
        </w:tc>
      </w:tr>
      <w:tr w:rsidR="006A6D07" w14:paraId="48602364" w14:textId="77777777" w:rsidTr="71FAEB21">
        <w:tc>
          <w:tcPr>
            <w:tcW w:w="3270" w:type="dxa"/>
            <w:tcMar>
              <w:top w:w="100" w:type="dxa"/>
              <w:left w:w="100" w:type="dxa"/>
              <w:bottom w:w="100" w:type="dxa"/>
              <w:right w:w="100" w:type="dxa"/>
            </w:tcMar>
          </w:tcPr>
          <w:p w14:paraId="000008D1" w14:textId="000008D2"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lang w:val="en-GB"/>
              </w:rPr>
              <w:t>Microsoft SA formal confirmation (Bluesource)</w:t>
            </w:r>
          </w:p>
        </w:tc>
        <w:tc>
          <w:tcPr>
            <w:tcW w:w="1590" w:type="dxa"/>
            <w:tcMar>
              <w:top w:w="100" w:type="dxa"/>
              <w:left w:w="100" w:type="dxa"/>
              <w:bottom w:w="100" w:type="dxa"/>
              <w:right w:w="100" w:type="dxa"/>
            </w:tcMar>
          </w:tcPr>
          <w:p w14:paraId="000008D3" w14:textId="000008D4"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PENDING</w:t>
            </w:r>
          </w:p>
        </w:tc>
        <w:tc>
          <w:tcPr>
            <w:tcW w:w="3810" w:type="dxa"/>
            <w:tcMar>
              <w:top w:w="100" w:type="dxa"/>
              <w:left w:w="100" w:type="dxa"/>
              <w:bottom w:w="100" w:type="dxa"/>
              <w:right w:w="100" w:type="dxa"/>
            </w:tcMar>
          </w:tcPr>
          <w:p w14:paraId="000008D5" w14:textId="000008D6"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Unblocks BYOL modelling as certainty</w:t>
            </w:r>
          </w:p>
        </w:tc>
        <w:tc>
          <w:tcPr>
            <w:tcW w:w="1050" w:type="dxa"/>
            <w:tcMar>
              <w:top w:w="100" w:type="dxa"/>
              <w:left w:w="100" w:type="dxa"/>
              <w:bottom w:w="100" w:type="dxa"/>
              <w:right w:w="100" w:type="dxa"/>
            </w:tcMar>
          </w:tcPr>
          <w:p w14:paraId="000008D7" w14:textId="000008D8"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5, 6</w:t>
            </w:r>
          </w:p>
        </w:tc>
      </w:tr>
      <w:tr w:rsidR="006A6D07" w14:paraId="39DD115B" w14:textId="77777777" w:rsidTr="71FAEB21">
        <w:tc>
          <w:tcPr>
            <w:tcW w:w="3270" w:type="dxa"/>
            <w:tcMar>
              <w:top w:w="100" w:type="dxa"/>
              <w:left w:w="100" w:type="dxa"/>
              <w:bottom w:w="100" w:type="dxa"/>
              <w:right w:w="100" w:type="dxa"/>
            </w:tcMar>
          </w:tcPr>
          <w:p w14:paraId="000008D9" w14:textId="000008DA"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lang w:val="en-GB"/>
              </w:rPr>
              <w:t>Weighted hyperscaler scoring matrix</w:t>
            </w:r>
          </w:p>
        </w:tc>
        <w:tc>
          <w:tcPr>
            <w:tcW w:w="1590" w:type="dxa"/>
            <w:tcMar>
              <w:top w:w="100" w:type="dxa"/>
              <w:left w:w="100" w:type="dxa"/>
              <w:bottom w:w="100" w:type="dxa"/>
              <w:right w:w="100" w:type="dxa"/>
            </w:tcMar>
          </w:tcPr>
          <w:p w14:paraId="000008DB" w14:textId="000008DC"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COMPLETE</w:t>
            </w:r>
          </w:p>
        </w:tc>
        <w:tc>
          <w:tcPr>
            <w:tcW w:w="3810" w:type="dxa"/>
            <w:tcMar>
              <w:top w:w="100" w:type="dxa"/>
              <w:left w:w="100" w:type="dxa"/>
              <w:bottom w:w="100" w:type="dxa"/>
              <w:right w:w="100" w:type="dxa"/>
            </w:tcMar>
          </w:tcPr>
          <w:p w14:paraId="000008DD" w14:textId="000008DE"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Feeds Section 7 recommendation</w:t>
            </w:r>
          </w:p>
        </w:tc>
        <w:tc>
          <w:tcPr>
            <w:tcW w:w="1050" w:type="dxa"/>
            <w:tcMar>
              <w:top w:w="100" w:type="dxa"/>
              <w:left w:w="100" w:type="dxa"/>
              <w:bottom w:w="100" w:type="dxa"/>
              <w:right w:w="100" w:type="dxa"/>
            </w:tcMar>
          </w:tcPr>
          <w:p w14:paraId="000008DF" w14:textId="000008E0"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7</w:t>
            </w:r>
          </w:p>
        </w:tc>
      </w:tr>
      <w:tr w:rsidR="006A6D07" w14:paraId="5340245B" w14:textId="77777777" w:rsidTr="71FAEB21">
        <w:tc>
          <w:tcPr>
            <w:tcW w:w="3270" w:type="dxa"/>
            <w:tcMar>
              <w:top w:w="100" w:type="dxa"/>
              <w:left w:w="100" w:type="dxa"/>
              <w:bottom w:w="100" w:type="dxa"/>
              <w:right w:w="100" w:type="dxa"/>
            </w:tcMar>
          </w:tcPr>
          <w:p w14:paraId="000008E1" w14:textId="1AD41663" w:rsidR="000B0F63" w:rsidRPr="00A61669" w:rsidRDefault="00490323" w:rsidP="005672F1">
            <w:pPr>
              <w:pStyle w:val="TableInfo"/>
              <w:rPr>
                <w:rFonts w:asciiTheme="majorHAnsi" w:hAnsiTheme="majorHAnsi" w:cstheme="majorHAnsi"/>
              </w:rPr>
            </w:pPr>
            <w:r w:rsidRPr="00A61669">
              <w:rPr>
                <w:rFonts w:asciiTheme="majorHAnsi" w:hAnsiTheme="majorHAnsi" w:cstheme="majorHAnsi"/>
              </w:rPr>
              <w:t>Mail Online</w:t>
            </w:r>
            <w:r w:rsidR="00C05D22" w:rsidRPr="00A61669">
              <w:rPr>
                <w:rFonts w:asciiTheme="majorHAnsi" w:hAnsiTheme="majorHAnsi" w:cstheme="majorHAnsi"/>
              </w:rPr>
              <w:t xml:space="preserve"> Oracle B-cluster DMA assessment</w:t>
            </w:r>
          </w:p>
        </w:tc>
        <w:tc>
          <w:tcPr>
            <w:tcW w:w="1590" w:type="dxa"/>
            <w:tcMar>
              <w:top w:w="100" w:type="dxa"/>
              <w:left w:w="100" w:type="dxa"/>
              <w:bottom w:w="100" w:type="dxa"/>
              <w:right w:w="100" w:type="dxa"/>
            </w:tcMar>
          </w:tcPr>
          <w:p w14:paraId="000008E3" w14:textId="000008E4"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Not yet collected</w:t>
            </w:r>
          </w:p>
        </w:tc>
        <w:tc>
          <w:tcPr>
            <w:tcW w:w="3810" w:type="dxa"/>
            <w:tcMar>
              <w:top w:w="100" w:type="dxa"/>
              <w:left w:w="100" w:type="dxa"/>
              <w:bottom w:w="100" w:type="dxa"/>
              <w:right w:w="100" w:type="dxa"/>
            </w:tcMar>
          </w:tcPr>
          <w:p w14:paraId="000008E5" w14:textId="374A39F2"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 xml:space="preserve">Production primary Oracle; biggest </w:t>
            </w:r>
            <w:r w:rsidR="00100959" w:rsidRPr="00A61669">
              <w:rPr>
                <w:rFonts w:asciiTheme="majorHAnsi" w:hAnsiTheme="majorHAnsi" w:cstheme="majorHAnsi"/>
              </w:rPr>
              <w:t>Part 1</w:t>
            </w:r>
            <w:r w:rsidRPr="00A61669">
              <w:rPr>
                <w:rFonts w:asciiTheme="majorHAnsi" w:hAnsiTheme="majorHAnsi" w:cstheme="majorHAnsi"/>
              </w:rPr>
              <w:t xml:space="preserve"> data gap</w:t>
            </w:r>
          </w:p>
        </w:tc>
        <w:tc>
          <w:tcPr>
            <w:tcW w:w="1050" w:type="dxa"/>
            <w:tcMar>
              <w:top w:w="100" w:type="dxa"/>
              <w:left w:w="100" w:type="dxa"/>
              <w:bottom w:w="100" w:type="dxa"/>
              <w:right w:w="100" w:type="dxa"/>
            </w:tcMar>
          </w:tcPr>
          <w:p w14:paraId="000008E7" w14:textId="000008E8"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4, 5, 9</w:t>
            </w:r>
          </w:p>
        </w:tc>
      </w:tr>
      <w:tr w:rsidR="006A6D07" w14:paraId="13AB1DDF" w14:textId="77777777" w:rsidTr="71FAEB21">
        <w:tc>
          <w:tcPr>
            <w:tcW w:w="3270" w:type="dxa"/>
            <w:tcMar>
              <w:top w:w="100" w:type="dxa"/>
              <w:left w:w="100" w:type="dxa"/>
              <w:bottom w:w="100" w:type="dxa"/>
              <w:right w:w="100" w:type="dxa"/>
            </w:tcMar>
          </w:tcPr>
          <w:p w14:paraId="000008E9" w14:textId="000008EA"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On-premises DC cost data (updated)</w:t>
            </w:r>
          </w:p>
        </w:tc>
        <w:tc>
          <w:tcPr>
            <w:tcW w:w="1590" w:type="dxa"/>
            <w:tcMar>
              <w:top w:w="100" w:type="dxa"/>
              <w:left w:w="100" w:type="dxa"/>
              <w:bottom w:w="100" w:type="dxa"/>
              <w:right w:w="100" w:type="dxa"/>
            </w:tcMar>
          </w:tcPr>
          <w:p w14:paraId="000008EB" w14:textId="000008EC"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RECEIVED</w:t>
            </w:r>
          </w:p>
        </w:tc>
        <w:tc>
          <w:tcPr>
            <w:tcW w:w="3810" w:type="dxa"/>
            <w:tcMar>
              <w:top w:w="100" w:type="dxa"/>
              <w:left w:w="100" w:type="dxa"/>
              <w:bottom w:w="100" w:type="dxa"/>
              <w:right w:w="100" w:type="dxa"/>
            </w:tcMar>
          </w:tcPr>
          <w:p w14:paraId="000008ED" w14:textId="5DA02C6E" w:rsidR="000B0F63" w:rsidRPr="00A61669" w:rsidRDefault="00312BB7" w:rsidP="005672F1">
            <w:pPr>
              <w:pStyle w:val="TableInfo"/>
              <w:rPr>
                <w:rFonts w:asciiTheme="majorHAnsi" w:hAnsiTheme="majorHAnsi" w:cstheme="majorHAnsi"/>
              </w:rPr>
            </w:pPr>
            <w:r w:rsidRPr="00A61669">
              <w:rPr>
                <w:rFonts w:asciiTheme="majorHAnsi" w:hAnsiTheme="majorHAnsi" w:cstheme="majorHAnsi"/>
              </w:rPr>
              <w:t>£</w:t>
            </w:r>
            <w:r w:rsidR="00C05D22" w:rsidRPr="00A61669">
              <w:rPr>
                <w:rFonts w:asciiTheme="majorHAnsi" w:hAnsiTheme="majorHAnsi" w:cstheme="majorHAnsi"/>
              </w:rPr>
              <w:t>3.64M</w:t>
            </w:r>
            <w:r w:rsidR="001120CD" w:rsidRPr="00A61669">
              <w:rPr>
                <w:rFonts w:asciiTheme="majorHAnsi" w:hAnsiTheme="majorHAnsi" w:cstheme="majorHAnsi"/>
              </w:rPr>
              <w:t xml:space="preserve"> per year</w:t>
            </w:r>
            <w:r w:rsidR="00C05D22" w:rsidRPr="00A61669">
              <w:rPr>
                <w:rFonts w:asciiTheme="majorHAnsi" w:hAnsiTheme="majorHAnsi" w:cstheme="majorHAnsi"/>
              </w:rPr>
              <w:t xml:space="preserve"> baseline incorporated</w:t>
            </w:r>
          </w:p>
        </w:tc>
        <w:tc>
          <w:tcPr>
            <w:tcW w:w="1050" w:type="dxa"/>
            <w:tcMar>
              <w:top w:w="100" w:type="dxa"/>
              <w:left w:w="100" w:type="dxa"/>
              <w:bottom w:w="100" w:type="dxa"/>
              <w:right w:w="100" w:type="dxa"/>
            </w:tcMar>
          </w:tcPr>
          <w:p w14:paraId="000008EF" w14:textId="000008F0"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5, 11</w:t>
            </w:r>
          </w:p>
        </w:tc>
      </w:tr>
      <w:tr w:rsidR="006A6D07" w14:paraId="15CFF5B9" w14:textId="77777777" w:rsidTr="71FAEB21">
        <w:tc>
          <w:tcPr>
            <w:tcW w:w="3270" w:type="dxa"/>
            <w:tcMar>
              <w:top w:w="100" w:type="dxa"/>
              <w:left w:w="100" w:type="dxa"/>
              <w:bottom w:w="100" w:type="dxa"/>
              <w:right w:w="100" w:type="dxa"/>
            </w:tcMar>
          </w:tcPr>
          <w:p w14:paraId="000008F1" w14:textId="000008F2"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Broadcom VCF subscription quote</w:t>
            </w:r>
          </w:p>
        </w:tc>
        <w:tc>
          <w:tcPr>
            <w:tcW w:w="1590" w:type="dxa"/>
            <w:tcMar>
              <w:top w:w="100" w:type="dxa"/>
              <w:left w:w="100" w:type="dxa"/>
              <w:bottom w:w="100" w:type="dxa"/>
              <w:right w:w="100" w:type="dxa"/>
            </w:tcMar>
          </w:tcPr>
          <w:p w14:paraId="000008F3" w14:textId="000008F4"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PENDING</w:t>
            </w:r>
          </w:p>
        </w:tc>
        <w:tc>
          <w:tcPr>
            <w:tcW w:w="3810" w:type="dxa"/>
            <w:tcMar>
              <w:top w:w="100" w:type="dxa"/>
              <w:left w:w="100" w:type="dxa"/>
              <w:bottom w:w="100" w:type="dxa"/>
              <w:right w:w="100" w:type="dxa"/>
            </w:tcMar>
          </w:tcPr>
          <w:p w14:paraId="000008F5" w14:textId="000008F6"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Completes cost of doing nothing picture</w:t>
            </w:r>
          </w:p>
        </w:tc>
        <w:tc>
          <w:tcPr>
            <w:tcW w:w="1050" w:type="dxa"/>
            <w:tcMar>
              <w:top w:w="100" w:type="dxa"/>
              <w:left w:w="100" w:type="dxa"/>
              <w:bottom w:w="100" w:type="dxa"/>
              <w:right w:w="100" w:type="dxa"/>
            </w:tcMar>
          </w:tcPr>
          <w:p w14:paraId="000008F7" w14:textId="000008F8"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3, 5, 11</w:t>
            </w:r>
          </w:p>
        </w:tc>
      </w:tr>
      <w:tr w:rsidR="006A6D07" w14:paraId="117FA58F" w14:textId="77777777" w:rsidTr="71FAEB21">
        <w:tc>
          <w:tcPr>
            <w:tcW w:w="3270" w:type="dxa"/>
            <w:tcMar>
              <w:top w:w="100" w:type="dxa"/>
              <w:left w:w="100" w:type="dxa"/>
              <w:bottom w:w="100" w:type="dxa"/>
              <w:right w:w="100" w:type="dxa"/>
            </w:tcMar>
          </w:tcPr>
          <w:p w14:paraId="000008F9" w14:textId="6A053C4B"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 xml:space="preserve">Pre-sales </w:t>
            </w:r>
            <w:r w:rsidR="00100959" w:rsidRPr="00A61669">
              <w:rPr>
                <w:rFonts w:asciiTheme="majorHAnsi" w:hAnsiTheme="majorHAnsi" w:cstheme="majorHAnsi"/>
              </w:rPr>
              <w:t>Part 2</w:t>
            </w:r>
            <w:r w:rsidRPr="00A61669">
              <w:rPr>
                <w:rFonts w:asciiTheme="majorHAnsi" w:hAnsiTheme="majorHAnsi" w:cstheme="majorHAnsi"/>
              </w:rPr>
              <w:t xml:space="preserve"> content</w:t>
            </w:r>
          </w:p>
        </w:tc>
        <w:tc>
          <w:tcPr>
            <w:tcW w:w="1590" w:type="dxa"/>
            <w:tcMar>
              <w:top w:w="100" w:type="dxa"/>
              <w:left w:w="100" w:type="dxa"/>
              <w:bottom w:w="100" w:type="dxa"/>
              <w:right w:w="100" w:type="dxa"/>
            </w:tcMar>
          </w:tcPr>
          <w:p w14:paraId="000008FB" w14:textId="000008FC"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PENDING</w:t>
            </w:r>
          </w:p>
        </w:tc>
        <w:tc>
          <w:tcPr>
            <w:tcW w:w="3810" w:type="dxa"/>
            <w:tcMar>
              <w:top w:w="100" w:type="dxa"/>
              <w:left w:w="100" w:type="dxa"/>
              <w:bottom w:w="100" w:type="dxa"/>
              <w:right w:w="100" w:type="dxa"/>
            </w:tcMar>
          </w:tcPr>
          <w:p w14:paraId="000008FD" w14:textId="000008FE"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Indicative cost, phases, timelines, funding</w:t>
            </w:r>
          </w:p>
        </w:tc>
        <w:tc>
          <w:tcPr>
            <w:tcW w:w="1050" w:type="dxa"/>
            <w:tcMar>
              <w:top w:w="100" w:type="dxa"/>
              <w:left w:w="100" w:type="dxa"/>
              <w:bottom w:w="100" w:type="dxa"/>
              <w:right w:w="100" w:type="dxa"/>
            </w:tcMar>
          </w:tcPr>
          <w:p w14:paraId="000008FF" w14:textId="00000900"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11</w:t>
            </w:r>
          </w:p>
        </w:tc>
      </w:tr>
      <w:tr w:rsidR="006A6D07" w14:paraId="77DEB42E" w14:textId="77777777" w:rsidTr="71FAEB21">
        <w:tc>
          <w:tcPr>
            <w:tcW w:w="3270" w:type="dxa"/>
            <w:tcMar>
              <w:top w:w="100" w:type="dxa"/>
              <w:left w:w="100" w:type="dxa"/>
              <w:bottom w:w="100" w:type="dxa"/>
              <w:right w:w="100" w:type="dxa"/>
            </w:tcMar>
          </w:tcPr>
          <w:p w14:paraId="00000901" w14:textId="00000902"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Year 1 financial forecast</w:t>
            </w:r>
          </w:p>
        </w:tc>
        <w:tc>
          <w:tcPr>
            <w:tcW w:w="1590" w:type="dxa"/>
            <w:tcMar>
              <w:top w:w="100" w:type="dxa"/>
              <w:left w:w="100" w:type="dxa"/>
              <w:bottom w:w="100" w:type="dxa"/>
              <w:right w:w="100" w:type="dxa"/>
            </w:tcMar>
          </w:tcPr>
          <w:p w14:paraId="00000903" w14:textId="00000904"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PENDING</w:t>
            </w:r>
          </w:p>
        </w:tc>
        <w:tc>
          <w:tcPr>
            <w:tcW w:w="3810" w:type="dxa"/>
            <w:tcMar>
              <w:top w:w="100" w:type="dxa"/>
              <w:left w:w="100" w:type="dxa"/>
              <w:bottom w:w="100" w:type="dxa"/>
              <w:right w:w="100" w:type="dxa"/>
            </w:tcMar>
          </w:tcPr>
          <w:p w14:paraId="00000905" w14:textId="00000906"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Requires migration effort, dual-run schedule, commercial layer</w:t>
            </w:r>
          </w:p>
        </w:tc>
        <w:tc>
          <w:tcPr>
            <w:tcW w:w="1050" w:type="dxa"/>
            <w:tcMar>
              <w:top w:w="100" w:type="dxa"/>
              <w:left w:w="100" w:type="dxa"/>
              <w:bottom w:w="100" w:type="dxa"/>
              <w:right w:w="100" w:type="dxa"/>
            </w:tcMar>
          </w:tcPr>
          <w:p w14:paraId="00000907" w14:textId="00000908"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11</w:t>
            </w:r>
          </w:p>
        </w:tc>
      </w:tr>
      <w:tr w:rsidR="006A6D07" w14:paraId="0C44839D" w14:textId="77777777" w:rsidTr="71FAEB21">
        <w:tc>
          <w:tcPr>
            <w:tcW w:w="3270" w:type="dxa"/>
            <w:tcMar>
              <w:top w:w="100" w:type="dxa"/>
              <w:left w:w="100" w:type="dxa"/>
              <w:bottom w:w="100" w:type="dxa"/>
              <w:right w:w="100" w:type="dxa"/>
            </w:tcMar>
          </w:tcPr>
          <w:p w14:paraId="00000909" w14:textId="0000090A"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Commercial layer (MAP, credits, partner pricing)</w:t>
            </w:r>
          </w:p>
        </w:tc>
        <w:tc>
          <w:tcPr>
            <w:tcW w:w="1590" w:type="dxa"/>
            <w:tcMar>
              <w:top w:w="100" w:type="dxa"/>
              <w:left w:w="100" w:type="dxa"/>
              <w:bottom w:w="100" w:type="dxa"/>
              <w:right w:w="100" w:type="dxa"/>
            </w:tcMar>
          </w:tcPr>
          <w:p w14:paraId="0000090B" w14:textId="0000090C"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PENDING from sales team</w:t>
            </w:r>
          </w:p>
        </w:tc>
        <w:tc>
          <w:tcPr>
            <w:tcW w:w="3810" w:type="dxa"/>
            <w:tcMar>
              <w:top w:w="100" w:type="dxa"/>
              <w:left w:w="100" w:type="dxa"/>
              <w:bottom w:w="100" w:type="dxa"/>
              <w:right w:w="100" w:type="dxa"/>
            </w:tcMar>
          </w:tcPr>
          <w:p w14:paraId="0000090D" w14:textId="0000090E"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Adjusts Complete View with commercial offers</w:t>
            </w:r>
          </w:p>
        </w:tc>
        <w:tc>
          <w:tcPr>
            <w:tcW w:w="1050" w:type="dxa"/>
            <w:tcMar>
              <w:top w:w="100" w:type="dxa"/>
              <w:left w:w="100" w:type="dxa"/>
              <w:bottom w:w="100" w:type="dxa"/>
              <w:right w:w="100" w:type="dxa"/>
            </w:tcMar>
          </w:tcPr>
          <w:p w14:paraId="0000090F" w14:textId="00000910"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5</w:t>
            </w:r>
          </w:p>
        </w:tc>
      </w:tr>
      <w:tr w:rsidR="006A6D07" w14:paraId="4AC2BC31" w14:textId="77777777" w:rsidTr="71FAEB21">
        <w:tc>
          <w:tcPr>
            <w:tcW w:w="3270" w:type="dxa"/>
            <w:tcMar>
              <w:top w:w="100" w:type="dxa"/>
              <w:left w:w="100" w:type="dxa"/>
              <w:bottom w:w="100" w:type="dxa"/>
              <w:right w:w="100" w:type="dxa"/>
            </w:tcMar>
          </w:tcPr>
          <w:p w14:paraId="00000911" w14:textId="00000912"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AVS UK South node pricing</w:t>
            </w:r>
          </w:p>
        </w:tc>
        <w:tc>
          <w:tcPr>
            <w:tcW w:w="1590" w:type="dxa"/>
            <w:tcMar>
              <w:top w:w="100" w:type="dxa"/>
              <w:left w:w="100" w:type="dxa"/>
              <w:bottom w:w="100" w:type="dxa"/>
              <w:right w:w="100" w:type="dxa"/>
            </w:tcMar>
          </w:tcPr>
          <w:p w14:paraId="00000913" w14:textId="00000914"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VERIFY</w:t>
            </w:r>
          </w:p>
        </w:tc>
        <w:tc>
          <w:tcPr>
            <w:tcW w:w="3810" w:type="dxa"/>
            <w:tcMar>
              <w:top w:w="100" w:type="dxa"/>
              <w:left w:w="100" w:type="dxa"/>
              <w:bottom w:w="100" w:type="dxa"/>
              <w:right w:w="100" w:type="dxa"/>
            </w:tcMar>
          </w:tcPr>
          <w:p w14:paraId="00000915" w14:textId="00000916"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Multicast cost range accuracy</w:t>
            </w:r>
          </w:p>
        </w:tc>
        <w:tc>
          <w:tcPr>
            <w:tcW w:w="1050" w:type="dxa"/>
            <w:tcMar>
              <w:top w:w="100" w:type="dxa"/>
              <w:left w:w="100" w:type="dxa"/>
              <w:bottom w:w="100" w:type="dxa"/>
              <w:right w:w="100" w:type="dxa"/>
            </w:tcMar>
          </w:tcPr>
          <w:p w14:paraId="00000917" w14:textId="00000918"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5, 6</w:t>
            </w:r>
          </w:p>
        </w:tc>
      </w:tr>
      <w:tr w:rsidR="006A6D07" w14:paraId="6B22C6FB" w14:textId="77777777" w:rsidTr="71FAEB21">
        <w:tc>
          <w:tcPr>
            <w:tcW w:w="3270" w:type="dxa"/>
            <w:tcMar>
              <w:top w:w="100" w:type="dxa"/>
              <w:left w:w="100" w:type="dxa"/>
              <w:bottom w:w="100" w:type="dxa"/>
              <w:right w:w="100" w:type="dxa"/>
            </w:tcMar>
          </w:tcPr>
          <w:p w14:paraId="00000919" w14:textId="0000091A"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Microsoft E3/E5 productivity licensing status</w:t>
            </w:r>
          </w:p>
        </w:tc>
        <w:tc>
          <w:tcPr>
            <w:tcW w:w="1590" w:type="dxa"/>
            <w:tcMar>
              <w:top w:w="100" w:type="dxa"/>
              <w:left w:w="100" w:type="dxa"/>
              <w:bottom w:w="100" w:type="dxa"/>
              <w:right w:w="100" w:type="dxa"/>
            </w:tcMar>
          </w:tcPr>
          <w:p w14:paraId="0000091B" w14:textId="0000091C"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PENDING client confirmation</w:t>
            </w:r>
          </w:p>
        </w:tc>
        <w:tc>
          <w:tcPr>
            <w:tcW w:w="3810" w:type="dxa"/>
            <w:tcMar>
              <w:top w:w="100" w:type="dxa"/>
              <w:left w:w="100" w:type="dxa"/>
              <w:bottom w:w="100" w:type="dxa"/>
              <w:right w:w="100" w:type="dxa"/>
            </w:tcMar>
          </w:tcPr>
          <w:p w14:paraId="0000091D" w14:textId="0000091E"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Affects productivity suite decision</w:t>
            </w:r>
          </w:p>
        </w:tc>
        <w:tc>
          <w:tcPr>
            <w:tcW w:w="1050" w:type="dxa"/>
            <w:tcMar>
              <w:top w:w="100" w:type="dxa"/>
              <w:left w:w="100" w:type="dxa"/>
              <w:bottom w:w="100" w:type="dxa"/>
              <w:right w:w="100" w:type="dxa"/>
            </w:tcMar>
          </w:tcPr>
          <w:p w14:paraId="0000091F" w14:textId="00000920"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3</w:t>
            </w:r>
          </w:p>
        </w:tc>
      </w:tr>
      <w:tr w:rsidR="006A6D07" w14:paraId="472560E6" w14:textId="77777777" w:rsidTr="71FAEB21">
        <w:tc>
          <w:tcPr>
            <w:tcW w:w="3270" w:type="dxa"/>
            <w:tcMar>
              <w:top w:w="100" w:type="dxa"/>
              <w:left w:w="100" w:type="dxa"/>
              <w:bottom w:w="100" w:type="dxa"/>
              <w:right w:w="100" w:type="dxa"/>
            </w:tcMar>
          </w:tcPr>
          <w:p w14:paraId="00000921" w14:textId="00000922"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Names of the seven technology operating areas</w:t>
            </w:r>
          </w:p>
        </w:tc>
        <w:tc>
          <w:tcPr>
            <w:tcW w:w="1590" w:type="dxa"/>
            <w:tcMar>
              <w:top w:w="100" w:type="dxa"/>
              <w:left w:w="100" w:type="dxa"/>
              <w:bottom w:w="100" w:type="dxa"/>
              <w:right w:w="100" w:type="dxa"/>
            </w:tcMar>
          </w:tcPr>
          <w:p w14:paraId="00000923" w14:textId="00000924"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PENDING CTO</w:t>
            </w:r>
          </w:p>
        </w:tc>
        <w:tc>
          <w:tcPr>
            <w:tcW w:w="3810" w:type="dxa"/>
            <w:tcMar>
              <w:top w:w="100" w:type="dxa"/>
              <w:left w:w="100" w:type="dxa"/>
              <w:bottom w:w="100" w:type="dxa"/>
              <w:right w:w="100" w:type="dxa"/>
            </w:tcMar>
          </w:tcPr>
          <w:p w14:paraId="00000925" w14:textId="00000926"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Specificity of Section 3 narrative</w:t>
            </w:r>
          </w:p>
        </w:tc>
        <w:tc>
          <w:tcPr>
            <w:tcW w:w="1050" w:type="dxa"/>
            <w:tcMar>
              <w:top w:w="100" w:type="dxa"/>
              <w:left w:w="100" w:type="dxa"/>
              <w:bottom w:w="100" w:type="dxa"/>
              <w:right w:w="100" w:type="dxa"/>
            </w:tcMar>
          </w:tcPr>
          <w:p w14:paraId="00000927" w14:textId="00000928"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3</w:t>
            </w:r>
          </w:p>
        </w:tc>
      </w:tr>
      <w:tr w:rsidR="006A6D07" w14:paraId="28EF274B" w14:textId="77777777" w:rsidTr="71FAEB21">
        <w:tc>
          <w:tcPr>
            <w:tcW w:w="3270" w:type="dxa"/>
            <w:tcMar>
              <w:top w:w="100" w:type="dxa"/>
              <w:left w:w="100" w:type="dxa"/>
              <w:bottom w:w="100" w:type="dxa"/>
              <w:right w:w="100" w:type="dxa"/>
            </w:tcMar>
          </w:tcPr>
          <w:p w14:paraId="00000929" w14:textId="0000092A"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Legacy OS per-application mapping</w:t>
            </w:r>
          </w:p>
        </w:tc>
        <w:tc>
          <w:tcPr>
            <w:tcW w:w="1590" w:type="dxa"/>
            <w:tcMar>
              <w:top w:w="100" w:type="dxa"/>
              <w:left w:w="100" w:type="dxa"/>
              <w:bottom w:w="100" w:type="dxa"/>
              <w:right w:w="100" w:type="dxa"/>
            </w:tcMar>
          </w:tcPr>
          <w:p w14:paraId="0000092B" w14:textId="667C138C"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P</w:t>
            </w:r>
            <w:r w:rsidR="00985431" w:rsidRPr="00A61669">
              <w:rPr>
                <w:rFonts w:asciiTheme="majorHAnsi" w:hAnsiTheme="majorHAnsi" w:cstheme="majorHAnsi"/>
              </w:rPr>
              <w:t>art</w:t>
            </w:r>
            <w:r w:rsidRPr="00A61669">
              <w:rPr>
                <w:rFonts w:asciiTheme="majorHAnsi" w:hAnsiTheme="majorHAnsi" w:cstheme="majorHAnsi"/>
              </w:rPr>
              <w:t xml:space="preserve"> 2 intake</w:t>
            </w:r>
          </w:p>
        </w:tc>
        <w:tc>
          <w:tcPr>
            <w:tcW w:w="3810" w:type="dxa"/>
            <w:tcMar>
              <w:top w:w="100" w:type="dxa"/>
              <w:left w:w="100" w:type="dxa"/>
              <w:bottom w:w="100" w:type="dxa"/>
              <w:right w:w="100" w:type="dxa"/>
            </w:tcMar>
          </w:tcPr>
          <w:p w14:paraId="0000092D" w14:textId="0000092E"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lang w:val="en-GB"/>
              </w:rPr>
              <w:t>Sequencing of replatform-before-migrate activity</w:t>
            </w:r>
          </w:p>
        </w:tc>
        <w:tc>
          <w:tcPr>
            <w:tcW w:w="1050" w:type="dxa"/>
            <w:tcMar>
              <w:top w:w="100" w:type="dxa"/>
              <w:left w:w="100" w:type="dxa"/>
              <w:bottom w:w="100" w:type="dxa"/>
              <w:right w:w="100" w:type="dxa"/>
            </w:tcMar>
          </w:tcPr>
          <w:p w14:paraId="0000092F" w14:textId="00000930"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8, 9</w:t>
            </w:r>
          </w:p>
        </w:tc>
      </w:tr>
      <w:tr w:rsidR="006A6D07" w14:paraId="4D183022" w14:textId="77777777" w:rsidTr="71FAEB21">
        <w:tc>
          <w:tcPr>
            <w:tcW w:w="3270" w:type="dxa"/>
            <w:tcMar>
              <w:top w:w="100" w:type="dxa"/>
              <w:left w:w="100" w:type="dxa"/>
              <w:bottom w:w="100" w:type="dxa"/>
              <w:right w:w="100" w:type="dxa"/>
            </w:tcMar>
          </w:tcPr>
          <w:p w14:paraId="00000931" w14:textId="00000932"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lang w:val="en-GB"/>
              </w:rPr>
              <w:t>Atex vendor confirmation on unicast support</w:t>
            </w:r>
          </w:p>
        </w:tc>
        <w:tc>
          <w:tcPr>
            <w:tcW w:w="1590" w:type="dxa"/>
            <w:tcMar>
              <w:top w:w="100" w:type="dxa"/>
              <w:left w:w="100" w:type="dxa"/>
              <w:bottom w:w="100" w:type="dxa"/>
              <w:right w:w="100" w:type="dxa"/>
            </w:tcMar>
          </w:tcPr>
          <w:p w14:paraId="00000933" w14:textId="00000934"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PENDING vendor engagement</w:t>
            </w:r>
          </w:p>
        </w:tc>
        <w:tc>
          <w:tcPr>
            <w:tcW w:w="3810" w:type="dxa"/>
            <w:tcMar>
              <w:top w:w="100" w:type="dxa"/>
              <w:left w:w="100" w:type="dxa"/>
              <w:bottom w:w="100" w:type="dxa"/>
              <w:right w:w="100" w:type="dxa"/>
            </w:tcMar>
          </w:tcPr>
          <w:p w14:paraId="00000935" w14:textId="00000936"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Direct cost impact on multicast constraint</w:t>
            </w:r>
          </w:p>
        </w:tc>
        <w:tc>
          <w:tcPr>
            <w:tcW w:w="1050" w:type="dxa"/>
            <w:tcMar>
              <w:top w:w="100" w:type="dxa"/>
              <w:left w:w="100" w:type="dxa"/>
              <w:bottom w:w="100" w:type="dxa"/>
              <w:right w:w="100" w:type="dxa"/>
            </w:tcMar>
          </w:tcPr>
          <w:p w14:paraId="00000937" w14:textId="00000938"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5, 6, 10</w:t>
            </w:r>
          </w:p>
        </w:tc>
      </w:tr>
      <w:tr w:rsidR="006A6D07" w14:paraId="105F04CF" w14:textId="77777777" w:rsidTr="71FAEB21">
        <w:tc>
          <w:tcPr>
            <w:tcW w:w="3270" w:type="dxa"/>
            <w:tcMar>
              <w:top w:w="100" w:type="dxa"/>
              <w:left w:w="100" w:type="dxa"/>
              <w:bottom w:w="100" w:type="dxa"/>
              <w:right w:w="100" w:type="dxa"/>
            </w:tcMar>
          </w:tcPr>
          <w:p w14:paraId="00000939" w14:textId="0000093A"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Sydney cluster independence validation</w:t>
            </w:r>
          </w:p>
        </w:tc>
        <w:tc>
          <w:tcPr>
            <w:tcW w:w="1590" w:type="dxa"/>
            <w:tcMar>
              <w:top w:w="100" w:type="dxa"/>
              <w:left w:w="100" w:type="dxa"/>
              <w:bottom w:w="100" w:type="dxa"/>
              <w:right w:w="100" w:type="dxa"/>
            </w:tcMar>
          </w:tcPr>
          <w:p w14:paraId="0000093B" w14:textId="0000093C"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PENDING</w:t>
            </w:r>
          </w:p>
        </w:tc>
        <w:tc>
          <w:tcPr>
            <w:tcW w:w="3810" w:type="dxa"/>
            <w:tcMar>
              <w:top w:w="100" w:type="dxa"/>
              <w:left w:w="100" w:type="dxa"/>
              <w:bottom w:w="100" w:type="dxa"/>
              <w:right w:w="100" w:type="dxa"/>
            </w:tcMar>
          </w:tcPr>
          <w:p w14:paraId="0000093D" w14:textId="0000093E"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Confirmation that Sydney can exit without UK dependency</w:t>
            </w:r>
          </w:p>
        </w:tc>
        <w:tc>
          <w:tcPr>
            <w:tcW w:w="1050" w:type="dxa"/>
            <w:tcMar>
              <w:top w:w="100" w:type="dxa"/>
              <w:left w:w="100" w:type="dxa"/>
              <w:bottom w:w="100" w:type="dxa"/>
              <w:right w:w="100" w:type="dxa"/>
            </w:tcMar>
          </w:tcPr>
          <w:p w14:paraId="0000093F" w14:textId="00000940" w:rsidR="000B0F63" w:rsidRPr="00A61669" w:rsidRDefault="00C05D22" w:rsidP="005672F1">
            <w:pPr>
              <w:pStyle w:val="TableInfo"/>
              <w:rPr>
                <w:rFonts w:asciiTheme="majorHAnsi" w:hAnsiTheme="majorHAnsi" w:cstheme="majorHAnsi"/>
              </w:rPr>
            </w:pPr>
            <w:r w:rsidRPr="00A61669">
              <w:rPr>
                <w:rFonts w:asciiTheme="majorHAnsi" w:hAnsiTheme="majorHAnsi" w:cstheme="majorHAnsi"/>
              </w:rPr>
              <w:t>10</w:t>
            </w:r>
          </w:p>
        </w:tc>
      </w:tr>
    </w:tbl>
    <w:p w14:paraId="00000949" w14:textId="13A0B62F" w:rsidR="000B0F63" w:rsidRPr="00A61669" w:rsidRDefault="1BAB210A" w:rsidP="005B6077">
      <w:pPr>
        <w:pStyle w:val="Heading6"/>
        <w:rPr>
          <w:rStyle w:val="BookTitle"/>
          <w:rFonts w:cstheme="majorHAnsi"/>
        </w:rPr>
      </w:pPr>
      <w:bookmarkStart w:id="284" w:name="_Toc258"/>
      <w:bookmarkStart w:id="285" w:name="_Toc227771042"/>
      <w:bookmarkStart w:id="286" w:name="_Toc228549369"/>
      <w:r w:rsidRPr="00A61669">
        <w:rPr>
          <w:rStyle w:val="BookTitle"/>
          <w:rFonts w:cstheme="majorHAnsi"/>
        </w:rPr>
        <w:t xml:space="preserve">Appendix </w:t>
      </w:r>
      <w:r w:rsidR="00EB7981" w:rsidRPr="00A61669">
        <w:rPr>
          <w:rStyle w:val="BookTitle"/>
          <w:rFonts w:cstheme="majorHAnsi"/>
        </w:rPr>
        <w:t>D</w:t>
      </w:r>
      <w:r w:rsidRPr="00A61669">
        <w:rPr>
          <w:rStyle w:val="BookTitle"/>
          <w:rFonts w:cstheme="majorHAnsi"/>
        </w:rPr>
        <w:t>: Glossary</w:t>
      </w:r>
      <w:bookmarkEnd w:id="284"/>
      <w:bookmarkEnd w:id="285"/>
      <w:bookmarkEnd w:id="286"/>
    </w:p>
    <w:tbl>
      <w:tblPr>
        <w:tblW w:w="9720" w:type="dxa"/>
        <w:tblCellMar>
          <w:top w:w="100" w:type="dxa"/>
          <w:left w:w="100" w:type="dxa"/>
          <w:bottom w:w="100" w:type="dxa"/>
          <w:right w:w="100" w:type="dxa"/>
        </w:tblCellMar>
        <w:tblLook w:val="04A0" w:firstRow="1" w:lastRow="0" w:firstColumn="1" w:lastColumn="0" w:noHBand="0" w:noVBand="1"/>
      </w:tblPr>
      <w:tblGrid>
        <w:gridCol w:w="2265"/>
        <w:gridCol w:w="7455"/>
      </w:tblGrid>
      <w:tr w:rsidR="00AB10D7" w14:paraId="71B366A7" w14:textId="77777777" w:rsidTr="23BDD664">
        <w:trPr>
          <w:cantSplit/>
        </w:trPr>
        <w:tc>
          <w:tcPr>
            <w:tcW w:w="2265" w:type="dxa"/>
            <w:shd w:val="clear" w:color="auto" w:fill="D9D9D9" w:themeFill="background1" w:themeFillShade="D9"/>
            <w:tcMar>
              <w:top w:w="100" w:type="dxa"/>
              <w:left w:w="100" w:type="dxa"/>
              <w:bottom w:w="100" w:type="dxa"/>
              <w:right w:w="100" w:type="dxa"/>
            </w:tcMar>
          </w:tcPr>
          <w:p w14:paraId="0000094B" w14:textId="0000094C"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Term</w:t>
            </w:r>
          </w:p>
        </w:tc>
        <w:tc>
          <w:tcPr>
            <w:tcW w:w="7455" w:type="dxa"/>
            <w:shd w:val="clear" w:color="auto" w:fill="D9D9D9" w:themeFill="background1" w:themeFillShade="D9"/>
            <w:tcMar>
              <w:top w:w="100" w:type="dxa"/>
              <w:left w:w="100" w:type="dxa"/>
              <w:bottom w:w="100" w:type="dxa"/>
              <w:right w:w="100" w:type="dxa"/>
            </w:tcMar>
          </w:tcPr>
          <w:p w14:paraId="0000094D" w14:textId="0000094E" w:rsidR="000B0F63" w:rsidRPr="00A61669" w:rsidRDefault="00C05D22" w:rsidP="00E40261">
            <w:pPr>
              <w:pStyle w:val="TableHeader"/>
              <w:jc w:val="both"/>
              <w:rPr>
                <w:rFonts w:asciiTheme="majorHAnsi" w:hAnsiTheme="majorHAnsi" w:cstheme="majorHAnsi"/>
              </w:rPr>
            </w:pPr>
            <w:r w:rsidRPr="00A61669">
              <w:rPr>
                <w:rFonts w:asciiTheme="majorHAnsi" w:hAnsiTheme="majorHAnsi" w:cstheme="majorHAnsi"/>
              </w:rPr>
              <w:t>Definition</w:t>
            </w:r>
          </w:p>
        </w:tc>
      </w:tr>
      <w:tr w:rsidR="006A6D07" w14:paraId="77C6FA5D" w14:textId="77777777" w:rsidTr="23BDD664">
        <w:tc>
          <w:tcPr>
            <w:tcW w:w="2265" w:type="dxa"/>
            <w:tcMar>
              <w:top w:w="100" w:type="dxa"/>
              <w:left w:w="100" w:type="dxa"/>
              <w:bottom w:w="100" w:type="dxa"/>
              <w:right w:w="100" w:type="dxa"/>
            </w:tcMar>
          </w:tcPr>
          <w:p w14:paraId="0000094F" w14:textId="00000950"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AHB</w:t>
            </w:r>
          </w:p>
        </w:tc>
        <w:tc>
          <w:tcPr>
            <w:tcW w:w="7455" w:type="dxa"/>
            <w:tcMar>
              <w:top w:w="100" w:type="dxa"/>
              <w:left w:w="100" w:type="dxa"/>
              <w:bottom w:w="100" w:type="dxa"/>
              <w:right w:w="100" w:type="dxa"/>
            </w:tcMar>
          </w:tcPr>
          <w:p w14:paraId="00000951" w14:textId="2175C1D9"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 xml:space="preserve">Azure Hybrid Benefit. Allows use of existing Microsoft </w:t>
            </w:r>
            <w:r w:rsidR="1669C23F" w:rsidRPr="00A61669">
              <w:rPr>
                <w:rFonts w:asciiTheme="majorHAnsi" w:hAnsiTheme="majorHAnsi" w:cstheme="majorHAnsi"/>
              </w:rPr>
              <w:t>licenses</w:t>
            </w:r>
            <w:r w:rsidRPr="00A61669">
              <w:rPr>
                <w:rFonts w:asciiTheme="majorHAnsi" w:hAnsiTheme="majorHAnsi" w:cstheme="majorHAnsi"/>
              </w:rPr>
              <w:t xml:space="preserve"> on Azure.</w:t>
            </w:r>
          </w:p>
        </w:tc>
      </w:tr>
      <w:tr w:rsidR="006A6D07" w14:paraId="04F0B9E1" w14:textId="77777777" w:rsidTr="23BDD664">
        <w:tc>
          <w:tcPr>
            <w:tcW w:w="2265" w:type="dxa"/>
            <w:tcMar>
              <w:top w:w="100" w:type="dxa"/>
              <w:left w:w="100" w:type="dxa"/>
              <w:bottom w:w="100" w:type="dxa"/>
              <w:right w:w="100" w:type="dxa"/>
            </w:tcMar>
          </w:tcPr>
          <w:p w14:paraId="00000953" w14:textId="00000954"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lang w:val="en-GB"/>
              </w:rPr>
              <w:t>ALng</w:t>
            </w:r>
          </w:p>
        </w:tc>
        <w:tc>
          <w:tcPr>
            <w:tcW w:w="7455" w:type="dxa"/>
            <w:tcMar>
              <w:top w:w="100" w:type="dxa"/>
              <w:left w:w="100" w:type="dxa"/>
              <w:bottom w:w="100" w:type="dxa"/>
              <w:right w:w="100" w:type="dxa"/>
            </w:tcMar>
          </w:tcPr>
          <w:p w14:paraId="00000955" w14:textId="00000956"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lang w:val="en-GB"/>
              </w:rPr>
              <w:t>Annual Licence (new). Microsoft Enterprise Agreement line item prefix.</w:t>
            </w:r>
          </w:p>
        </w:tc>
      </w:tr>
      <w:tr w:rsidR="006A6D07" w14:paraId="13F50716" w14:textId="77777777" w:rsidTr="23BDD664">
        <w:tc>
          <w:tcPr>
            <w:tcW w:w="2265" w:type="dxa"/>
            <w:tcMar>
              <w:top w:w="100" w:type="dxa"/>
              <w:left w:w="100" w:type="dxa"/>
              <w:bottom w:w="100" w:type="dxa"/>
              <w:right w:w="100" w:type="dxa"/>
            </w:tcMar>
          </w:tcPr>
          <w:p w14:paraId="00000957" w14:textId="00000958"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AVS</w:t>
            </w:r>
          </w:p>
        </w:tc>
        <w:tc>
          <w:tcPr>
            <w:tcW w:w="7455" w:type="dxa"/>
            <w:tcMar>
              <w:top w:w="100" w:type="dxa"/>
              <w:left w:w="100" w:type="dxa"/>
              <w:bottom w:w="100" w:type="dxa"/>
              <w:right w:w="100" w:type="dxa"/>
            </w:tcMar>
          </w:tcPr>
          <w:p w14:paraId="00000959" w14:textId="0000095A"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Azure VMware Solution. VMware-on-Azure offering that supports multicast.</w:t>
            </w:r>
          </w:p>
        </w:tc>
      </w:tr>
      <w:tr w:rsidR="006A6D07" w14:paraId="1F209A6F" w14:textId="77777777" w:rsidTr="23BDD664">
        <w:tc>
          <w:tcPr>
            <w:tcW w:w="2265" w:type="dxa"/>
            <w:tcMar>
              <w:top w:w="100" w:type="dxa"/>
              <w:left w:w="100" w:type="dxa"/>
              <w:bottom w:w="100" w:type="dxa"/>
              <w:right w:w="100" w:type="dxa"/>
            </w:tcMar>
          </w:tcPr>
          <w:p w14:paraId="0000095B" w14:textId="0000095C"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BYOL</w:t>
            </w:r>
          </w:p>
        </w:tc>
        <w:tc>
          <w:tcPr>
            <w:tcW w:w="7455" w:type="dxa"/>
            <w:tcMar>
              <w:top w:w="100" w:type="dxa"/>
              <w:left w:w="100" w:type="dxa"/>
              <w:bottom w:w="100" w:type="dxa"/>
              <w:right w:w="100" w:type="dxa"/>
            </w:tcMar>
          </w:tcPr>
          <w:p w14:paraId="0000095D" w14:textId="615778F7"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 xml:space="preserve">Bring </w:t>
            </w:r>
            <w:r w:rsidR="25DEBC8D" w:rsidRPr="00A61669">
              <w:rPr>
                <w:rFonts w:asciiTheme="majorHAnsi" w:hAnsiTheme="majorHAnsi" w:cstheme="majorHAnsi"/>
              </w:rPr>
              <w:t>Your</w:t>
            </w:r>
            <w:r w:rsidRPr="00A61669">
              <w:rPr>
                <w:rFonts w:asciiTheme="majorHAnsi" w:hAnsiTheme="majorHAnsi" w:cstheme="majorHAnsi"/>
              </w:rPr>
              <w:t xml:space="preserve"> Own </w:t>
            </w:r>
            <w:r w:rsidR="025E4A5F" w:rsidRPr="00A61669">
              <w:rPr>
                <w:rFonts w:asciiTheme="majorHAnsi" w:hAnsiTheme="majorHAnsi" w:cstheme="majorHAnsi"/>
              </w:rPr>
              <w:t>License</w:t>
            </w:r>
            <w:r w:rsidRPr="00A61669">
              <w:rPr>
                <w:rFonts w:asciiTheme="majorHAnsi" w:hAnsiTheme="majorHAnsi" w:cstheme="majorHAnsi"/>
              </w:rPr>
              <w:t xml:space="preserve">. Using existing software </w:t>
            </w:r>
            <w:r w:rsidR="01367047" w:rsidRPr="00A61669">
              <w:rPr>
                <w:rFonts w:asciiTheme="majorHAnsi" w:hAnsiTheme="majorHAnsi" w:cstheme="majorHAnsi"/>
              </w:rPr>
              <w:t>licenses</w:t>
            </w:r>
            <w:r w:rsidRPr="00A61669">
              <w:rPr>
                <w:rFonts w:asciiTheme="majorHAnsi" w:hAnsiTheme="majorHAnsi" w:cstheme="majorHAnsi"/>
              </w:rPr>
              <w:t xml:space="preserve"> on cloud infrastructure.</w:t>
            </w:r>
          </w:p>
        </w:tc>
      </w:tr>
      <w:tr w:rsidR="006A6D07" w14:paraId="2E91BB25" w14:textId="77777777" w:rsidTr="23BDD664">
        <w:tc>
          <w:tcPr>
            <w:tcW w:w="2265" w:type="dxa"/>
            <w:tcMar>
              <w:top w:w="100" w:type="dxa"/>
              <w:left w:w="100" w:type="dxa"/>
              <w:bottom w:w="100" w:type="dxa"/>
              <w:right w:w="100" w:type="dxa"/>
            </w:tcMar>
          </w:tcPr>
          <w:p w14:paraId="0000095F" w14:textId="00000960"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lang w:val="en-GB"/>
              </w:rPr>
              <w:t>CoE</w:t>
            </w:r>
          </w:p>
        </w:tc>
        <w:tc>
          <w:tcPr>
            <w:tcW w:w="7455" w:type="dxa"/>
            <w:tcMar>
              <w:top w:w="100" w:type="dxa"/>
              <w:left w:w="100" w:type="dxa"/>
              <w:bottom w:w="100" w:type="dxa"/>
              <w:right w:w="100" w:type="dxa"/>
            </w:tcMar>
          </w:tcPr>
          <w:p w14:paraId="00000961" w14:textId="00000962"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Cloud Centre of Excellence.</w:t>
            </w:r>
          </w:p>
        </w:tc>
      </w:tr>
      <w:tr w:rsidR="006A6D07" w14:paraId="6A45BC8A" w14:textId="77777777" w:rsidTr="23BDD664">
        <w:tc>
          <w:tcPr>
            <w:tcW w:w="2265" w:type="dxa"/>
            <w:tcMar>
              <w:top w:w="100" w:type="dxa"/>
              <w:left w:w="100" w:type="dxa"/>
              <w:bottom w:w="100" w:type="dxa"/>
              <w:right w:w="100" w:type="dxa"/>
            </w:tcMar>
          </w:tcPr>
          <w:p w14:paraId="00000963" w14:textId="00000964"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CRA</w:t>
            </w:r>
          </w:p>
        </w:tc>
        <w:tc>
          <w:tcPr>
            <w:tcW w:w="7455" w:type="dxa"/>
            <w:tcMar>
              <w:top w:w="100" w:type="dxa"/>
              <w:left w:w="100" w:type="dxa"/>
              <w:bottom w:w="100" w:type="dxa"/>
              <w:right w:w="100" w:type="dxa"/>
            </w:tcMar>
          </w:tcPr>
          <w:p w14:paraId="00000965" w14:textId="00000966"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Cloud Readiness Assessment.</w:t>
            </w:r>
          </w:p>
        </w:tc>
      </w:tr>
      <w:tr w:rsidR="006A6D07" w14:paraId="030F689D" w14:textId="77777777" w:rsidTr="23BDD664">
        <w:tc>
          <w:tcPr>
            <w:tcW w:w="2265" w:type="dxa"/>
            <w:tcMar>
              <w:top w:w="100" w:type="dxa"/>
              <w:left w:w="100" w:type="dxa"/>
              <w:bottom w:w="100" w:type="dxa"/>
              <w:right w:w="100" w:type="dxa"/>
            </w:tcMar>
          </w:tcPr>
          <w:p w14:paraId="00000967" w14:textId="00000968"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CUD</w:t>
            </w:r>
          </w:p>
        </w:tc>
        <w:tc>
          <w:tcPr>
            <w:tcW w:w="7455" w:type="dxa"/>
            <w:tcMar>
              <w:top w:w="100" w:type="dxa"/>
              <w:left w:w="100" w:type="dxa"/>
              <w:bottom w:w="100" w:type="dxa"/>
              <w:right w:w="100" w:type="dxa"/>
            </w:tcMar>
          </w:tcPr>
          <w:p w14:paraId="00000969" w14:textId="0000096A"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Committed Use Discount (GCP). Discounts for 1 or 3-year commitment.</w:t>
            </w:r>
          </w:p>
        </w:tc>
      </w:tr>
      <w:tr w:rsidR="006A6D07" w14:paraId="2416E656" w14:textId="77777777" w:rsidTr="23BDD664">
        <w:tc>
          <w:tcPr>
            <w:tcW w:w="2265" w:type="dxa"/>
            <w:tcMar>
              <w:top w:w="100" w:type="dxa"/>
              <w:left w:w="100" w:type="dxa"/>
              <w:bottom w:w="100" w:type="dxa"/>
              <w:right w:w="100" w:type="dxa"/>
            </w:tcMar>
          </w:tcPr>
          <w:p w14:paraId="0000096B" w14:textId="0000096C"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DMA</w:t>
            </w:r>
          </w:p>
        </w:tc>
        <w:tc>
          <w:tcPr>
            <w:tcW w:w="7455" w:type="dxa"/>
            <w:tcMar>
              <w:top w:w="100" w:type="dxa"/>
              <w:left w:w="100" w:type="dxa"/>
              <w:bottom w:w="100" w:type="dxa"/>
              <w:right w:w="100" w:type="dxa"/>
            </w:tcMar>
          </w:tcPr>
          <w:p w14:paraId="0000096D" w14:textId="0000096E"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Database Migration Assessment. Google open-source tool for Oracle/SQL assessment.</w:t>
            </w:r>
          </w:p>
        </w:tc>
      </w:tr>
      <w:tr w:rsidR="006A6D07" w14:paraId="3CA0DA49" w14:textId="77777777" w:rsidTr="23BDD664">
        <w:tc>
          <w:tcPr>
            <w:tcW w:w="2265" w:type="dxa"/>
            <w:tcMar>
              <w:top w:w="100" w:type="dxa"/>
              <w:left w:w="100" w:type="dxa"/>
              <w:bottom w:w="100" w:type="dxa"/>
              <w:right w:w="100" w:type="dxa"/>
            </w:tcMar>
          </w:tcPr>
          <w:p w14:paraId="0000096F" w14:textId="00000970"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EA</w:t>
            </w:r>
          </w:p>
        </w:tc>
        <w:tc>
          <w:tcPr>
            <w:tcW w:w="7455" w:type="dxa"/>
            <w:tcMar>
              <w:top w:w="100" w:type="dxa"/>
              <w:left w:w="100" w:type="dxa"/>
              <w:bottom w:w="100" w:type="dxa"/>
              <w:right w:w="100" w:type="dxa"/>
            </w:tcMar>
          </w:tcPr>
          <w:p w14:paraId="00000971" w14:textId="00000972"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Enterprise Agreement (Microsoft).</w:t>
            </w:r>
          </w:p>
        </w:tc>
      </w:tr>
      <w:tr w:rsidR="006A6D07" w14:paraId="3108D5CF" w14:textId="77777777" w:rsidTr="23BDD664">
        <w:tc>
          <w:tcPr>
            <w:tcW w:w="2265" w:type="dxa"/>
            <w:tcMar>
              <w:top w:w="100" w:type="dxa"/>
              <w:left w:w="100" w:type="dxa"/>
              <w:bottom w:w="100" w:type="dxa"/>
              <w:right w:w="100" w:type="dxa"/>
            </w:tcMar>
          </w:tcPr>
          <w:p w14:paraId="00000973" w14:textId="00000974"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lang w:val="en-GB"/>
              </w:rPr>
              <w:t>Exadata@Cloud</w:t>
            </w:r>
          </w:p>
        </w:tc>
        <w:tc>
          <w:tcPr>
            <w:tcW w:w="7455" w:type="dxa"/>
            <w:tcMar>
              <w:top w:w="100" w:type="dxa"/>
              <w:left w:w="100" w:type="dxa"/>
              <w:bottom w:w="100" w:type="dxa"/>
              <w:right w:w="100" w:type="dxa"/>
            </w:tcMar>
          </w:tcPr>
          <w:p w14:paraId="00000975" w14:textId="00000976"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Oracle's Exadata engineered system as a cloud service on AWS, Azure, and GCP.</w:t>
            </w:r>
          </w:p>
        </w:tc>
      </w:tr>
      <w:tr w:rsidR="006A6D07" w14:paraId="6BF72DAD" w14:textId="77777777" w:rsidTr="23BDD664">
        <w:tc>
          <w:tcPr>
            <w:tcW w:w="2265" w:type="dxa"/>
            <w:tcMar>
              <w:top w:w="100" w:type="dxa"/>
              <w:left w:w="100" w:type="dxa"/>
              <w:bottom w:w="100" w:type="dxa"/>
              <w:right w:w="100" w:type="dxa"/>
            </w:tcMar>
          </w:tcPr>
          <w:p w14:paraId="00000977" w14:textId="00000978"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FinOps</w:t>
            </w:r>
          </w:p>
        </w:tc>
        <w:tc>
          <w:tcPr>
            <w:tcW w:w="7455" w:type="dxa"/>
            <w:tcMar>
              <w:top w:w="100" w:type="dxa"/>
              <w:left w:w="100" w:type="dxa"/>
              <w:bottom w:w="100" w:type="dxa"/>
              <w:right w:w="100" w:type="dxa"/>
            </w:tcMar>
          </w:tcPr>
          <w:p w14:paraId="00000979" w14:textId="0000097A"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Financial operations for cloud. Practice combining technology, finance, and business accountability.</w:t>
            </w:r>
          </w:p>
        </w:tc>
      </w:tr>
      <w:tr w:rsidR="006A6D07" w14:paraId="1FA6B5F7" w14:textId="77777777" w:rsidTr="23BDD664">
        <w:tc>
          <w:tcPr>
            <w:tcW w:w="2265" w:type="dxa"/>
            <w:tcMar>
              <w:top w:w="100" w:type="dxa"/>
              <w:left w:w="100" w:type="dxa"/>
              <w:bottom w:w="100" w:type="dxa"/>
              <w:right w:w="100" w:type="dxa"/>
            </w:tcMar>
          </w:tcPr>
          <w:p w14:paraId="0000097B" w14:textId="0000097C"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GCVE</w:t>
            </w:r>
          </w:p>
        </w:tc>
        <w:tc>
          <w:tcPr>
            <w:tcW w:w="7455" w:type="dxa"/>
            <w:tcMar>
              <w:top w:w="100" w:type="dxa"/>
              <w:left w:w="100" w:type="dxa"/>
              <w:bottom w:w="100" w:type="dxa"/>
              <w:right w:w="100" w:type="dxa"/>
            </w:tcMar>
          </w:tcPr>
          <w:p w14:paraId="0000097D" w14:textId="0000097E"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Google Cloud VMware Engine.</w:t>
            </w:r>
          </w:p>
        </w:tc>
      </w:tr>
      <w:tr w:rsidR="006A6D07" w14:paraId="61F3BB1D" w14:textId="77777777" w:rsidTr="23BDD664">
        <w:tc>
          <w:tcPr>
            <w:tcW w:w="2265" w:type="dxa"/>
            <w:tcMar>
              <w:top w:w="100" w:type="dxa"/>
              <w:left w:w="100" w:type="dxa"/>
              <w:bottom w:w="100" w:type="dxa"/>
              <w:right w:w="100" w:type="dxa"/>
            </w:tcMar>
          </w:tcPr>
          <w:p w14:paraId="0000097F" w14:textId="00000980"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GKE</w:t>
            </w:r>
          </w:p>
        </w:tc>
        <w:tc>
          <w:tcPr>
            <w:tcW w:w="7455" w:type="dxa"/>
            <w:tcMar>
              <w:top w:w="100" w:type="dxa"/>
              <w:left w:w="100" w:type="dxa"/>
              <w:bottom w:w="100" w:type="dxa"/>
              <w:right w:w="100" w:type="dxa"/>
            </w:tcMar>
          </w:tcPr>
          <w:p w14:paraId="00000981" w14:textId="00000982"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Google Kubernetes Engine.</w:t>
            </w:r>
          </w:p>
        </w:tc>
      </w:tr>
      <w:tr w:rsidR="006A6D07" w14:paraId="3D76219B" w14:textId="77777777" w:rsidTr="23BDD664">
        <w:tc>
          <w:tcPr>
            <w:tcW w:w="2265" w:type="dxa"/>
            <w:tcMar>
              <w:top w:w="100" w:type="dxa"/>
              <w:left w:w="100" w:type="dxa"/>
              <w:bottom w:w="100" w:type="dxa"/>
              <w:right w:w="100" w:type="dxa"/>
            </w:tcMar>
          </w:tcPr>
          <w:p w14:paraId="00000983" w14:textId="00000984"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HA</w:t>
            </w:r>
          </w:p>
        </w:tc>
        <w:tc>
          <w:tcPr>
            <w:tcW w:w="7455" w:type="dxa"/>
            <w:tcMar>
              <w:top w:w="100" w:type="dxa"/>
              <w:left w:w="100" w:type="dxa"/>
              <w:bottom w:w="100" w:type="dxa"/>
              <w:right w:w="100" w:type="dxa"/>
            </w:tcMar>
          </w:tcPr>
          <w:p w14:paraId="00000985" w14:textId="00000986"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High Availability.</w:t>
            </w:r>
          </w:p>
        </w:tc>
      </w:tr>
      <w:tr w:rsidR="006A6D07" w14:paraId="2DA21076" w14:textId="77777777" w:rsidTr="23BDD664">
        <w:tc>
          <w:tcPr>
            <w:tcW w:w="2265" w:type="dxa"/>
            <w:tcMar>
              <w:top w:w="100" w:type="dxa"/>
              <w:left w:w="100" w:type="dxa"/>
              <w:bottom w:w="100" w:type="dxa"/>
              <w:right w:w="100" w:type="dxa"/>
            </w:tcMar>
          </w:tcPr>
          <w:p w14:paraId="00000987" w14:textId="00000988"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lang w:val="en-GB"/>
              </w:rPr>
              <w:t>IaC</w:t>
            </w:r>
          </w:p>
        </w:tc>
        <w:tc>
          <w:tcPr>
            <w:tcW w:w="7455" w:type="dxa"/>
            <w:tcMar>
              <w:top w:w="100" w:type="dxa"/>
              <w:left w:w="100" w:type="dxa"/>
              <w:bottom w:w="100" w:type="dxa"/>
              <w:right w:w="100" w:type="dxa"/>
            </w:tcMar>
          </w:tcPr>
          <w:p w14:paraId="00000989" w14:textId="0000098A"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Infrastructure as Code.</w:t>
            </w:r>
          </w:p>
        </w:tc>
      </w:tr>
      <w:tr w:rsidR="006A6D07" w14:paraId="59BA50BA" w14:textId="77777777" w:rsidTr="23BDD664">
        <w:tc>
          <w:tcPr>
            <w:tcW w:w="2265" w:type="dxa"/>
            <w:tcMar>
              <w:top w:w="100" w:type="dxa"/>
              <w:left w:w="100" w:type="dxa"/>
              <w:bottom w:w="100" w:type="dxa"/>
              <w:right w:w="100" w:type="dxa"/>
            </w:tcMar>
          </w:tcPr>
          <w:p w14:paraId="0000098B" w14:textId="0000098C"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IOPS</w:t>
            </w:r>
          </w:p>
        </w:tc>
        <w:tc>
          <w:tcPr>
            <w:tcW w:w="7455" w:type="dxa"/>
            <w:tcMar>
              <w:top w:w="100" w:type="dxa"/>
              <w:left w:w="100" w:type="dxa"/>
              <w:bottom w:w="100" w:type="dxa"/>
              <w:right w:w="100" w:type="dxa"/>
            </w:tcMar>
          </w:tcPr>
          <w:p w14:paraId="0000098D" w14:textId="0000098E"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Input/Output Operations Per Second.</w:t>
            </w:r>
          </w:p>
        </w:tc>
      </w:tr>
      <w:tr w:rsidR="006A6D07" w14:paraId="3B448E40" w14:textId="77777777" w:rsidTr="23BDD664">
        <w:tc>
          <w:tcPr>
            <w:tcW w:w="2265" w:type="dxa"/>
            <w:tcMar>
              <w:top w:w="100" w:type="dxa"/>
              <w:left w:w="100" w:type="dxa"/>
              <w:bottom w:w="100" w:type="dxa"/>
              <w:right w:w="100" w:type="dxa"/>
            </w:tcMar>
          </w:tcPr>
          <w:p w14:paraId="0000098F" w14:textId="00000990"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Landing Zone</w:t>
            </w:r>
          </w:p>
        </w:tc>
        <w:tc>
          <w:tcPr>
            <w:tcW w:w="7455" w:type="dxa"/>
            <w:tcMar>
              <w:top w:w="100" w:type="dxa"/>
              <w:left w:w="100" w:type="dxa"/>
              <w:bottom w:w="100" w:type="dxa"/>
              <w:right w:w="100" w:type="dxa"/>
            </w:tcMar>
          </w:tcPr>
          <w:p w14:paraId="00000991" w14:textId="00000992"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Pre-configured, standardised cloud environment for workload migration.</w:t>
            </w:r>
          </w:p>
        </w:tc>
      </w:tr>
      <w:tr w:rsidR="006A6D07" w14:paraId="62920EC3" w14:textId="77777777" w:rsidTr="23BDD664">
        <w:tc>
          <w:tcPr>
            <w:tcW w:w="2265" w:type="dxa"/>
            <w:tcMar>
              <w:top w:w="100" w:type="dxa"/>
              <w:left w:w="100" w:type="dxa"/>
              <w:bottom w:w="100" w:type="dxa"/>
              <w:right w:w="100" w:type="dxa"/>
            </w:tcMar>
          </w:tcPr>
          <w:p w14:paraId="00000993" w14:textId="00000994"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Listed Provider</w:t>
            </w:r>
          </w:p>
        </w:tc>
        <w:tc>
          <w:tcPr>
            <w:tcW w:w="7455" w:type="dxa"/>
            <w:tcMar>
              <w:top w:w="100" w:type="dxa"/>
              <w:left w:w="100" w:type="dxa"/>
              <w:bottom w:w="100" w:type="dxa"/>
              <w:right w:w="100" w:type="dxa"/>
            </w:tcMar>
          </w:tcPr>
          <w:p w14:paraId="00000995" w14:textId="00000996"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Microsoft's designation for certain cloud providers where BYOL restrictions apply.</w:t>
            </w:r>
          </w:p>
        </w:tc>
      </w:tr>
      <w:tr w:rsidR="006A6D07" w14:paraId="1A2CB02B" w14:textId="77777777" w:rsidTr="23BDD664">
        <w:tc>
          <w:tcPr>
            <w:tcW w:w="2265" w:type="dxa"/>
            <w:tcMar>
              <w:top w:w="100" w:type="dxa"/>
              <w:left w:w="100" w:type="dxa"/>
              <w:bottom w:w="100" w:type="dxa"/>
              <w:right w:w="100" w:type="dxa"/>
            </w:tcMar>
          </w:tcPr>
          <w:p w14:paraId="00000997" w14:textId="00000998"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MACC</w:t>
            </w:r>
          </w:p>
        </w:tc>
        <w:tc>
          <w:tcPr>
            <w:tcW w:w="7455" w:type="dxa"/>
            <w:tcMar>
              <w:top w:w="100" w:type="dxa"/>
              <w:left w:w="100" w:type="dxa"/>
              <w:bottom w:w="100" w:type="dxa"/>
              <w:right w:w="100" w:type="dxa"/>
            </w:tcMar>
          </w:tcPr>
          <w:p w14:paraId="00000999" w14:textId="0000099A"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Microsoft Azure Consumption Commitment.</w:t>
            </w:r>
          </w:p>
        </w:tc>
      </w:tr>
      <w:tr w:rsidR="006A6D07" w14:paraId="56DEF108" w14:textId="77777777" w:rsidTr="23BDD664">
        <w:tc>
          <w:tcPr>
            <w:tcW w:w="2265" w:type="dxa"/>
            <w:tcMar>
              <w:top w:w="100" w:type="dxa"/>
              <w:left w:w="100" w:type="dxa"/>
              <w:bottom w:w="100" w:type="dxa"/>
              <w:right w:w="100" w:type="dxa"/>
            </w:tcMar>
          </w:tcPr>
          <w:p w14:paraId="0000099B" w14:textId="0000099C"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MAP</w:t>
            </w:r>
          </w:p>
        </w:tc>
        <w:tc>
          <w:tcPr>
            <w:tcW w:w="7455" w:type="dxa"/>
            <w:tcMar>
              <w:top w:w="100" w:type="dxa"/>
              <w:left w:w="100" w:type="dxa"/>
              <w:bottom w:w="100" w:type="dxa"/>
              <w:right w:w="100" w:type="dxa"/>
            </w:tcMar>
          </w:tcPr>
          <w:p w14:paraId="0000099D" w14:textId="0000099E"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Migration Acceleration Programme (AWS).</w:t>
            </w:r>
          </w:p>
        </w:tc>
      </w:tr>
      <w:tr w:rsidR="006A6D07" w14:paraId="2F49C0EC" w14:textId="77777777" w:rsidTr="23BDD664">
        <w:tc>
          <w:tcPr>
            <w:tcW w:w="2265" w:type="dxa"/>
            <w:tcMar>
              <w:top w:w="100" w:type="dxa"/>
              <w:left w:w="100" w:type="dxa"/>
              <w:bottom w:w="100" w:type="dxa"/>
              <w:right w:w="100" w:type="dxa"/>
            </w:tcMar>
          </w:tcPr>
          <w:p w14:paraId="0000099F" w14:textId="1DCC96F6" w:rsidR="000B0F63" w:rsidRPr="00A61669" w:rsidRDefault="00490323" w:rsidP="00E40261">
            <w:pPr>
              <w:pStyle w:val="TableInfo"/>
              <w:jc w:val="both"/>
              <w:rPr>
                <w:rFonts w:asciiTheme="majorHAnsi" w:hAnsiTheme="majorHAnsi" w:cstheme="majorHAnsi"/>
              </w:rPr>
            </w:pPr>
            <w:r w:rsidRPr="00A61669">
              <w:rPr>
                <w:rFonts w:asciiTheme="majorHAnsi" w:hAnsiTheme="majorHAnsi" w:cstheme="majorHAnsi"/>
              </w:rPr>
              <w:t>Mail Online</w:t>
            </w:r>
          </w:p>
        </w:tc>
        <w:tc>
          <w:tcPr>
            <w:tcW w:w="7455" w:type="dxa"/>
            <w:tcMar>
              <w:top w:w="100" w:type="dxa"/>
              <w:left w:w="100" w:type="dxa"/>
              <w:bottom w:w="100" w:type="dxa"/>
              <w:right w:w="100" w:type="dxa"/>
            </w:tcMar>
          </w:tcPr>
          <w:p w14:paraId="000009A1" w14:textId="4B526093" w:rsidR="000B0F63" w:rsidRPr="00A61669" w:rsidRDefault="0088745F" w:rsidP="00E40261">
            <w:pPr>
              <w:pStyle w:val="TableInfo"/>
              <w:jc w:val="both"/>
              <w:rPr>
                <w:rFonts w:asciiTheme="majorHAnsi" w:hAnsiTheme="majorHAnsi" w:cstheme="majorHAnsi"/>
              </w:rPr>
            </w:pPr>
            <w:r w:rsidRPr="00A61669">
              <w:rPr>
                <w:rFonts w:asciiTheme="majorHAnsi" w:hAnsiTheme="majorHAnsi" w:cstheme="majorHAnsi"/>
              </w:rPr>
              <w:t>Mail Online</w:t>
            </w:r>
            <w:r w:rsidR="00C05D22" w:rsidRPr="00A61669">
              <w:rPr>
                <w:rFonts w:asciiTheme="majorHAnsi" w:hAnsiTheme="majorHAnsi" w:cstheme="majorHAnsi"/>
              </w:rPr>
              <w:t>. DMG Media's digital platform, 72.6% of in-scope servers.</w:t>
            </w:r>
          </w:p>
        </w:tc>
      </w:tr>
      <w:tr w:rsidR="006A6D07" w14:paraId="6A95F082" w14:textId="77777777" w:rsidTr="23BDD664">
        <w:tc>
          <w:tcPr>
            <w:tcW w:w="2265" w:type="dxa"/>
            <w:tcMar>
              <w:top w:w="100" w:type="dxa"/>
              <w:left w:w="100" w:type="dxa"/>
              <w:bottom w:w="100" w:type="dxa"/>
              <w:right w:w="100" w:type="dxa"/>
            </w:tcMar>
          </w:tcPr>
          <w:p w14:paraId="000009A3" w14:textId="000009A4"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NCS</w:t>
            </w:r>
          </w:p>
        </w:tc>
        <w:tc>
          <w:tcPr>
            <w:tcW w:w="7455" w:type="dxa"/>
            <w:tcMar>
              <w:top w:w="100" w:type="dxa"/>
              <w:left w:w="100" w:type="dxa"/>
              <w:bottom w:w="100" w:type="dxa"/>
              <w:right w:w="100" w:type="dxa"/>
            </w:tcMar>
          </w:tcPr>
          <w:p w14:paraId="000009A5" w14:textId="000009A6"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Third-party provider managing SQL Server and Oracle for certain DMG applications.</w:t>
            </w:r>
          </w:p>
        </w:tc>
      </w:tr>
      <w:tr w:rsidR="006A6D07" w14:paraId="788A1DB3" w14:textId="77777777" w:rsidTr="23BDD664">
        <w:tc>
          <w:tcPr>
            <w:tcW w:w="2265" w:type="dxa"/>
            <w:tcMar>
              <w:top w:w="100" w:type="dxa"/>
              <w:left w:w="100" w:type="dxa"/>
              <w:bottom w:w="100" w:type="dxa"/>
              <w:right w:w="100" w:type="dxa"/>
            </w:tcMar>
          </w:tcPr>
          <w:p w14:paraId="000009A7" w14:textId="000009A8"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OCI</w:t>
            </w:r>
          </w:p>
        </w:tc>
        <w:tc>
          <w:tcPr>
            <w:tcW w:w="7455" w:type="dxa"/>
            <w:tcMar>
              <w:top w:w="100" w:type="dxa"/>
              <w:left w:w="100" w:type="dxa"/>
              <w:bottom w:w="100" w:type="dxa"/>
              <w:right w:w="100" w:type="dxa"/>
            </w:tcMar>
          </w:tcPr>
          <w:p w14:paraId="000009A9" w14:textId="000009AA"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lang w:val="en-GB"/>
              </w:rPr>
              <w:t>Oracle Cloud Infrastructure. Underpins Exadata@Cloud across all three clouds.</w:t>
            </w:r>
          </w:p>
        </w:tc>
      </w:tr>
      <w:tr w:rsidR="006A6D07" w14:paraId="651DCD31" w14:textId="77777777" w:rsidTr="23BDD664">
        <w:tc>
          <w:tcPr>
            <w:tcW w:w="2265" w:type="dxa"/>
            <w:tcMar>
              <w:top w:w="100" w:type="dxa"/>
              <w:left w:w="100" w:type="dxa"/>
              <w:bottom w:w="100" w:type="dxa"/>
              <w:right w:w="100" w:type="dxa"/>
            </w:tcMar>
          </w:tcPr>
          <w:p w14:paraId="000009AB" w14:textId="000009AC"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PAM</w:t>
            </w:r>
          </w:p>
        </w:tc>
        <w:tc>
          <w:tcPr>
            <w:tcW w:w="7455" w:type="dxa"/>
            <w:tcMar>
              <w:top w:w="100" w:type="dxa"/>
              <w:left w:w="100" w:type="dxa"/>
              <w:bottom w:w="100" w:type="dxa"/>
              <w:right w:w="100" w:type="dxa"/>
            </w:tcMar>
          </w:tcPr>
          <w:p w14:paraId="000009AD" w14:textId="000009AE"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Privileged Access Management.</w:t>
            </w:r>
          </w:p>
        </w:tc>
      </w:tr>
      <w:tr w:rsidR="006A6D07" w14:paraId="6A190036" w14:textId="77777777" w:rsidTr="23BDD664">
        <w:tc>
          <w:tcPr>
            <w:tcW w:w="2265" w:type="dxa"/>
            <w:tcMar>
              <w:top w:w="100" w:type="dxa"/>
              <w:left w:w="100" w:type="dxa"/>
              <w:bottom w:w="100" w:type="dxa"/>
              <w:right w:w="100" w:type="dxa"/>
            </w:tcMar>
          </w:tcPr>
          <w:p w14:paraId="000009AF" w14:textId="000009B0"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PAYG</w:t>
            </w:r>
          </w:p>
        </w:tc>
        <w:tc>
          <w:tcPr>
            <w:tcW w:w="7455" w:type="dxa"/>
            <w:tcMar>
              <w:top w:w="100" w:type="dxa"/>
              <w:left w:w="100" w:type="dxa"/>
              <w:bottom w:w="100" w:type="dxa"/>
              <w:right w:w="100" w:type="dxa"/>
            </w:tcMar>
          </w:tcPr>
          <w:p w14:paraId="000009B1" w14:textId="5FA5988F"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 xml:space="preserve">Pay As </w:t>
            </w:r>
            <w:r w:rsidR="00581116" w:rsidRPr="00A61669">
              <w:rPr>
                <w:rFonts w:asciiTheme="majorHAnsi" w:hAnsiTheme="majorHAnsi" w:cstheme="majorHAnsi"/>
              </w:rPr>
              <w:t>You</w:t>
            </w:r>
            <w:r w:rsidRPr="00A61669">
              <w:rPr>
                <w:rFonts w:asciiTheme="majorHAnsi" w:hAnsiTheme="majorHAnsi" w:cstheme="majorHAnsi"/>
              </w:rPr>
              <w:t xml:space="preserve"> Go.</w:t>
            </w:r>
          </w:p>
        </w:tc>
      </w:tr>
      <w:tr w:rsidR="006A6D07" w14:paraId="64698840" w14:textId="77777777" w:rsidTr="23BDD664">
        <w:tc>
          <w:tcPr>
            <w:tcW w:w="2265" w:type="dxa"/>
            <w:tcMar>
              <w:top w:w="100" w:type="dxa"/>
              <w:left w:w="100" w:type="dxa"/>
              <w:bottom w:w="100" w:type="dxa"/>
              <w:right w:w="100" w:type="dxa"/>
            </w:tcMar>
          </w:tcPr>
          <w:p w14:paraId="000009B3" w14:textId="000009B4"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PL/SQL</w:t>
            </w:r>
          </w:p>
        </w:tc>
        <w:tc>
          <w:tcPr>
            <w:tcW w:w="7455" w:type="dxa"/>
            <w:tcMar>
              <w:top w:w="100" w:type="dxa"/>
              <w:left w:w="100" w:type="dxa"/>
              <w:bottom w:w="100" w:type="dxa"/>
              <w:right w:w="100" w:type="dxa"/>
            </w:tcMar>
          </w:tcPr>
          <w:p w14:paraId="000009B5" w14:textId="000009B6"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Procedural Language extensions to SQL, used by Oracle.</w:t>
            </w:r>
          </w:p>
        </w:tc>
      </w:tr>
      <w:tr w:rsidR="006A6D07" w14:paraId="4B9C1529" w14:textId="77777777" w:rsidTr="23BDD664">
        <w:tc>
          <w:tcPr>
            <w:tcW w:w="2265" w:type="dxa"/>
            <w:tcMar>
              <w:top w:w="100" w:type="dxa"/>
              <w:left w:w="100" w:type="dxa"/>
              <w:bottom w:w="100" w:type="dxa"/>
              <w:right w:w="100" w:type="dxa"/>
            </w:tcMar>
          </w:tcPr>
          <w:p w14:paraId="000009B7" w14:textId="000009B8"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RAC</w:t>
            </w:r>
          </w:p>
        </w:tc>
        <w:tc>
          <w:tcPr>
            <w:tcW w:w="7455" w:type="dxa"/>
            <w:tcMar>
              <w:top w:w="100" w:type="dxa"/>
              <w:left w:w="100" w:type="dxa"/>
              <w:bottom w:w="100" w:type="dxa"/>
              <w:right w:w="100" w:type="dxa"/>
            </w:tcMar>
          </w:tcPr>
          <w:p w14:paraId="000009B9" w14:textId="000009BA"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Oracle Real Application Clusters.</w:t>
            </w:r>
          </w:p>
        </w:tc>
      </w:tr>
      <w:tr w:rsidR="006A6D07" w14:paraId="17481CD1" w14:textId="77777777" w:rsidTr="23BDD664">
        <w:tc>
          <w:tcPr>
            <w:tcW w:w="2265" w:type="dxa"/>
            <w:tcMar>
              <w:top w:w="100" w:type="dxa"/>
              <w:left w:w="100" w:type="dxa"/>
              <w:bottom w:w="100" w:type="dxa"/>
              <w:right w:w="100" w:type="dxa"/>
            </w:tcMar>
          </w:tcPr>
          <w:p w14:paraId="000009BB" w14:textId="000009BC"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RI</w:t>
            </w:r>
          </w:p>
        </w:tc>
        <w:tc>
          <w:tcPr>
            <w:tcW w:w="7455" w:type="dxa"/>
            <w:tcMar>
              <w:top w:w="100" w:type="dxa"/>
              <w:left w:w="100" w:type="dxa"/>
              <w:bottom w:w="100" w:type="dxa"/>
              <w:right w:w="100" w:type="dxa"/>
            </w:tcMar>
          </w:tcPr>
          <w:p w14:paraId="000009BD" w14:textId="000009BE"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Reserved Instance (AWS).</w:t>
            </w:r>
          </w:p>
        </w:tc>
      </w:tr>
      <w:tr w:rsidR="006A6D07" w14:paraId="4D97BBE6" w14:textId="77777777" w:rsidTr="23BDD664">
        <w:tc>
          <w:tcPr>
            <w:tcW w:w="2265" w:type="dxa"/>
            <w:tcMar>
              <w:top w:w="100" w:type="dxa"/>
              <w:left w:w="100" w:type="dxa"/>
              <w:bottom w:w="100" w:type="dxa"/>
              <w:right w:w="100" w:type="dxa"/>
            </w:tcMar>
          </w:tcPr>
          <w:p w14:paraId="000009BF" w14:textId="000009C0"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SA</w:t>
            </w:r>
          </w:p>
        </w:tc>
        <w:tc>
          <w:tcPr>
            <w:tcW w:w="7455" w:type="dxa"/>
            <w:tcMar>
              <w:top w:w="100" w:type="dxa"/>
              <w:left w:w="100" w:type="dxa"/>
              <w:bottom w:w="100" w:type="dxa"/>
              <w:right w:w="100" w:type="dxa"/>
            </w:tcMar>
          </w:tcPr>
          <w:p w14:paraId="000009C1" w14:textId="000009C2"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Software Assurance (Microsoft).</w:t>
            </w:r>
          </w:p>
        </w:tc>
      </w:tr>
      <w:tr w:rsidR="006A6D07" w14:paraId="07A64734" w14:textId="77777777" w:rsidTr="23BDD664">
        <w:tc>
          <w:tcPr>
            <w:tcW w:w="2265" w:type="dxa"/>
            <w:tcMar>
              <w:top w:w="100" w:type="dxa"/>
              <w:left w:w="100" w:type="dxa"/>
              <w:bottom w:w="100" w:type="dxa"/>
              <w:right w:w="100" w:type="dxa"/>
            </w:tcMar>
          </w:tcPr>
          <w:p w14:paraId="000009C3" w14:textId="000009C4"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Sole Tenant Node</w:t>
            </w:r>
          </w:p>
        </w:tc>
        <w:tc>
          <w:tcPr>
            <w:tcW w:w="7455" w:type="dxa"/>
            <w:tcMar>
              <w:top w:w="100" w:type="dxa"/>
              <w:left w:w="100" w:type="dxa"/>
              <w:bottom w:w="100" w:type="dxa"/>
              <w:right w:w="100" w:type="dxa"/>
            </w:tcMar>
          </w:tcPr>
          <w:p w14:paraId="000009C5" w14:textId="000009C6"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GCP feature where a physical host is dedicated to a single customer.</w:t>
            </w:r>
          </w:p>
        </w:tc>
      </w:tr>
      <w:tr w:rsidR="006A6D07" w14:paraId="693FCFCB" w14:textId="77777777" w:rsidTr="23BDD664">
        <w:tc>
          <w:tcPr>
            <w:tcW w:w="2265" w:type="dxa"/>
            <w:tcMar>
              <w:top w:w="100" w:type="dxa"/>
              <w:left w:w="100" w:type="dxa"/>
              <w:bottom w:w="100" w:type="dxa"/>
              <w:right w:w="100" w:type="dxa"/>
            </w:tcMar>
          </w:tcPr>
          <w:p w14:paraId="000009C7" w14:textId="000009C8"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lang w:val="en-GB"/>
              </w:rPr>
              <w:t>SnS</w:t>
            </w:r>
          </w:p>
        </w:tc>
        <w:tc>
          <w:tcPr>
            <w:tcW w:w="7455" w:type="dxa"/>
            <w:tcMar>
              <w:top w:w="100" w:type="dxa"/>
              <w:left w:w="100" w:type="dxa"/>
              <w:bottom w:w="100" w:type="dxa"/>
              <w:right w:w="100" w:type="dxa"/>
            </w:tcMar>
          </w:tcPr>
          <w:p w14:paraId="000009C9" w14:textId="000009CA"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Support and Subscription (Broadcom).</w:t>
            </w:r>
          </w:p>
        </w:tc>
      </w:tr>
      <w:tr w:rsidR="006A6D07" w14:paraId="3CF6E708" w14:textId="77777777" w:rsidTr="23BDD664">
        <w:tc>
          <w:tcPr>
            <w:tcW w:w="2265" w:type="dxa"/>
            <w:tcMar>
              <w:top w:w="100" w:type="dxa"/>
              <w:left w:w="100" w:type="dxa"/>
              <w:bottom w:w="100" w:type="dxa"/>
              <w:right w:w="100" w:type="dxa"/>
            </w:tcMar>
          </w:tcPr>
          <w:p w14:paraId="000009CB" w14:textId="000009CC"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TCO</w:t>
            </w:r>
          </w:p>
        </w:tc>
        <w:tc>
          <w:tcPr>
            <w:tcW w:w="7455" w:type="dxa"/>
            <w:tcMar>
              <w:top w:w="100" w:type="dxa"/>
              <w:left w:w="100" w:type="dxa"/>
              <w:bottom w:w="100" w:type="dxa"/>
              <w:right w:w="100" w:type="dxa"/>
            </w:tcMar>
          </w:tcPr>
          <w:p w14:paraId="000009CD" w14:textId="000009CE"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Total Cost of Ownership.</w:t>
            </w:r>
          </w:p>
        </w:tc>
      </w:tr>
      <w:tr w:rsidR="006A6D07" w14:paraId="10A45E49" w14:textId="77777777" w:rsidTr="23BDD664">
        <w:tc>
          <w:tcPr>
            <w:tcW w:w="2265" w:type="dxa"/>
            <w:tcMar>
              <w:top w:w="100" w:type="dxa"/>
              <w:left w:w="100" w:type="dxa"/>
              <w:bottom w:w="100" w:type="dxa"/>
              <w:right w:w="100" w:type="dxa"/>
            </w:tcMar>
          </w:tcPr>
          <w:p w14:paraId="000009CF" w14:textId="000009D0"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TGW</w:t>
            </w:r>
          </w:p>
        </w:tc>
        <w:tc>
          <w:tcPr>
            <w:tcW w:w="7455" w:type="dxa"/>
            <w:tcMar>
              <w:top w:w="100" w:type="dxa"/>
              <w:left w:w="100" w:type="dxa"/>
              <w:bottom w:w="100" w:type="dxa"/>
              <w:right w:w="100" w:type="dxa"/>
            </w:tcMar>
          </w:tcPr>
          <w:p w14:paraId="000009D1" w14:textId="000009D2"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AWS Transit Gateway.</w:t>
            </w:r>
          </w:p>
        </w:tc>
      </w:tr>
      <w:tr w:rsidR="006A6D07" w14:paraId="3A6C70FA" w14:textId="77777777" w:rsidTr="23BDD664">
        <w:tc>
          <w:tcPr>
            <w:tcW w:w="2265" w:type="dxa"/>
            <w:tcMar>
              <w:top w:w="100" w:type="dxa"/>
              <w:left w:w="100" w:type="dxa"/>
              <w:bottom w:w="100" w:type="dxa"/>
              <w:right w:w="100" w:type="dxa"/>
            </w:tcMar>
          </w:tcPr>
          <w:p w14:paraId="000009D3" w14:textId="000009D4"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TOM</w:t>
            </w:r>
          </w:p>
        </w:tc>
        <w:tc>
          <w:tcPr>
            <w:tcW w:w="7455" w:type="dxa"/>
            <w:tcMar>
              <w:top w:w="100" w:type="dxa"/>
              <w:left w:w="100" w:type="dxa"/>
              <w:bottom w:w="100" w:type="dxa"/>
              <w:right w:w="100" w:type="dxa"/>
            </w:tcMar>
          </w:tcPr>
          <w:p w14:paraId="000009D5" w14:textId="000009D6"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Target Operating Model.</w:t>
            </w:r>
          </w:p>
        </w:tc>
      </w:tr>
      <w:tr w:rsidR="006A6D07" w14:paraId="002BD58C" w14:textId="77777777" w:rsidTr="23BDD664">
        <w:tc>
          <w:tcPr>
            <w:tcW w:w="2265" w:type="dxa"/>
            <w:tcMar>
              <w:top w:w="100" w:type="dxa"/>
              <w:left w:w="100" w:type="dxa"/>
              <w:bottom w:w="100" w:type="dxa"/>
              <w:right w:w="100" w:type="dxa"/>
            </w:tcMar>
          </w:tcPr>
          <w:p w14:paraId="000009D7" w14:textId="000009D8"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VCF</w:t>
            </w:r>
          </w:p>
        </w:tc>
        <w:tc>
          <w:tcPr>
            <w:tcW w:w="7455" w:type="dxa"/>
            <w:tcMar>
              <w:top w:w="100" w:type="dxa"/>
              <w:left w:w="100" w:type="dxa"/>
              <w:bottom w:w="100" w:type="dxa"/>
              <w:right w:w="100" w:type="dxa"/>
            </w:tcMar>
          </w:tcPr>
          <w:p w14:paraId="000009D9" w14:textId="000009DA"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VMware Cloud Foundation. Broadcom's subscription-based VMware licensing model.</w:t>
            </w:r>
          </w:p>
        </w:tc>
      </w:tr>
      <w:tr w:rsidR="006A6D07" w14:paraId="7D315CB7" w14:textId="77777777" w:rsidTr="23BDD664">
        <w:tc>
          <w:tcPr>
            <w:tcW w:w="2265" w:type="dxa"/>
            <w:tcMar>
              <w:top w:w="100" w:type="dxa"/>
              <w:left w:w="100" w:type="dxa"/>
              <w:bottom w:w="100" w:type="dxa"/>
              <w:right w:w="100" w:type="dxa"/>
            </w:tcMar>
          </w:tcPr>
          <w:p w14:paraId="000009DB" w14:textId="000009DC"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7Rs</w:t>
            </w:r>
          </w:p>
        </w:tc>
        <w:tc>
          <w:tcPr>
            <w:tcW w:w="7455" w:type="dxa"/>
            <w:tcMar>
              <w:top w:w="100" w:type="dxa"/>
              <w:left w:w="100" w:type="dxa"/>
              <w:bottom w:w="100" w:type="dxa"/>
              <w:right w:w="100" w:type="dxa"/>
            </w:tcMar>
          </w:tcPr>
          <w:p w14:paraId="000009DD" w14:textId="000009DE"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lang w:val="en-GB"/>
              </w:rPr>
              <w:t>Seven migration strategy options: Retire, Retain, Relocate, Rehost, Replatform, Repurchase, Rearchitect.</w:t>
            </w:r>
          </w:p>
        </w:tc>
      </w:tr>
      <w:tr w:rsidR="006A6D07" w14:paraId="70EBE8CD" w14:textId="77777777" w:rsidTr="23BDD664">
        <w:tc>
          <w:tcPr>
            <w:tcW w:w="2265" w:type="dxa"/>
            <w:tcMar>
              <w:top w:w="100" w:type="dxa"/>
              <w:left w:w="100" w:type="dxa"/>
              <w:bottom w:w="100" w:type="dxa"/>
              <w:right w:w="100" w:type="dxa"/>
            </w:tcMar>
          </w:tcPr>
          <w:p w14:paraId="000009DF" w14:textId="000009E0"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rPr>
              <w:t>WPS</w:t>
            </w:r>
          </w:p>
        </w:tc>
        <w:tc>
          <w:tcPr>
            <w:tcW w:w="7455" w:type="dxa"/>
            <w:tcMar>
              <w:top w:w="100" w:type="dxa"/>
              <w:left w:w="100" w:type="dxa"/>
              <w:bottom w:w="100" w:type="dxa"/>
              <w:right w:w="100" w:type="dxa"/>
            </w:tcMar>
          </w:tcPr>
          <w:p w14:paraId="000009E1" w14:textId="37A9E539" w:rsidR="000B0F63" w:rsidRPr="00A61669" w:rsidRDefault="00C05D22" w:rsidP="00E40261">
            <w:pPr>
              <w:pStyle w:val="TableInfo"/>
              <w:jc w:val="both"/>
              <w:rPr>
                <w:rFonts w:asciiTheme="majorHAnsi" w:hAnsiTheme="majorHAnsi" w:cstheme="majorHAnsi"/>
              </w:rPr>
            </w:pPr>
            <w:r w:rsidRPr="00A61669">
              <w:rPr>
                <w:rFonts w:asciiTheme="majorHAnsi" w:hAnsiTheme="majorHAnsi" w:cstheme="majorHAnsi"/>
                <w:lang w:val="en-GB"/>
              </w:rPr>
              <w:t xml:space="preserve">Web Publishing System. </w:t>
            </w:r>
            <w:r w:rsidR="0088745F" w:rsidRPr="00A61669">
              <w:rPr>
                <w:rFonts w:asciiTheme="majorHAnsi" w:hAnsiTheme="majorHAnsi" w:cstheme="majorHAnsi"/>
                <w:lang w:val="en-GB"/>
              </w:rPr>
              <w:t>Mail Online</w:t>
            </w:r>
            <w:r w:rsidRPr="00A61669">
              <w:rPr>
                <w:rFonts w:asciiTheme="majorHAnsi" w:hAnsiTheme="majorHAnsi" w:cstheme="majorHAnsi"/>
                <w:lang w:val="en-GB"/>
              </w:rPr>
              <w:t>'s publishing pipeline.</w:t>
            </w:r>
          </w:p>
        </w:tc>
      </w:tr>
    </w:tbl>
    <w:p w14:paraId="000009E3" w14:textId="77777777" w:rsidR="000B0F63" w:rsidRPr="00A61669" w:rsidRDefault="000B0F63" w:rsidP="00E40261">
      <w:pPr>
        <w:jc w:val="both"/>
        <w:rPr>
          <w:rFonts w:asciiTheme="majorHAnsi" w:hAnsiTheme="majorHAnsi" w:cstheme="majorHAnsi"/>
        </w:rPr>
      </w:pPr>
    </w:p>
    <w:sectPr w:rsidR="000B0F63" w:rsidRPr="00A61669" w:rsidSect="003C2751">
      <w:headerReference w:type="even" r:id="rId11"/>
      <w:headerReference w:type="default" r:id="rId12"/>
      <w:footerReference w:type="even" r:id="rId13"/>
      <w:footerReference w:type="default" r:id="rId14"/>
      <w:headerReference w:type="first" r:id="rId15"/>
      <w:footerReference w:type="first" r:id="rId16"/>
      <w:pgSz w:w="11900" w:h="16840"/>
      <w:pgMar w:top="1280" w:right="1080" w:bottom="180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36801" w14:textId="77777777" w:rsidR="00F25796" w:rsidRDefault="00F25796" w:rsidP="00550B03">
      <w:pPr>
        <w:spacing w:after="0" w:line="240" w:lineRule="auto"/>
      </w:pPr>
      <w:r>
        <w:separator/>
      </w:r>
    </w:p>
  </w:endnote>
  <w:endnote w:type="continuationSeparator" w:id="0">
    <w:p w14:paraId="267D9CF0" w14:textId="77777777" w:rsidR="00F25796" w:rsidRDefault="00F25796" w:rsidP="00550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Times New Roman (Headings CS)">
    <w:altName w:val="Times New Roman"/>
    <w:charset w:val="00"/>
    <w:family w:val="roman"/>
    <w:pitch w:val="default"/>
  </w:font>
  <w:font w:name="ArialNova-Light">
    <w:altName w:val="Arial"/>
    <w:charset w:val="00"/>
    <w:family w:val="swiss"/>
    <w:pitch w:val="variable"/>
    <w:sig w:usb0="810002EF" w:usb1="0000000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A227" w14:textId="2D43EC76" w:rsidR="00F57DAB" w:rsidRDefault="00F57D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3125F" w14:textId="583ED677" w:rsidR="005362B3" w:rsidRDefault="0073480C">
    <w:r>
      <w:rPr>
        <w:noProof/>
      </w:rPr>
      <mc:AlternateContent>
        <mc:Choice Requires="wpg">
          <w:drawing>
            <wp:anchor distT="0" distB="0" distL="114300" distR="114300" simplePos="0" relativeHeight="251660293" behindDoc="0" locked="0" layoutInCell="1" allowOverlap="1" wp14:anchorId="7DB66EF0" wp14:editId="56794412">
              <wp:simplePos x="0" y="0"/>
              <wp:positionH relativeFrom="column">
                <wp:posOffset>1081007</wp:posOffset>
              </wp:positionH>
              <wp:positionV relativeFrom="paragraph">
                <wp:posOffset>361240</wp:posOffset>
              </wp:positionV>
              <wp:extent cx="5791383" cy="457200"/>
              <wp:effectExtent l="0" t="0" r="0" b="0"/>
              <wp:wrapNone/>
              <wp:docPr id="5" name="Group 5"/>
              <wp:cNvGraphicFramePr/>
              <a:graphic xmlns:a="http://schemas.openxmlformats.org/drawingml/2006/main">
                <a:graphicData uri="http://schemas.microsoft.com/office/word/2010/wordprocessingGroup">
                  <wpg:wgp>
                    <wpg:cNvGrpSpPr/>
                    <wpg:grpSpPr>
                      <a:xfrm>
                        <a:off x="0" y="0"/>
                        <a:ext cx="5791383" cy="457200"/>
                        <a:chOff x="0" y="0"/>
                        <a:chExt cx="5156790" cy="457200"/>
                      </a:xfrm>
                    </wpg:grpSpPr>
                    <wps:wsp>
                      <wps:cNvPr id="11" name="Rectangle 11"/>
                      <wps:cNvSpPr/>
                      <wps:spPr>
                        <a:xfrm>
                          <a:off x="4699590"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Text Box 15"/>
                      <wps:cNvSpPr txBox="1">
                        <a:spLocks noChangeAspect="1" noEditPoints="1" noChangeArrowheads="1" noChangeShapeType="1" noTextEdit="1"/>
                      </wps:cNvSpPr>
                      <wps:spPr bwMode="auto">
                        <a:xfrm>
                          <a:off x="0" y="63796"/>
                          <a:ext cx="41751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697382" w14:textId="06ACBC5E" w:rsidR="0073480C" w:rsidRPr="00D27175" w:rsidRDefault="0073480C" w:rsidP="0073480C">
                            <w:pPr>
                              <w:spacing w:before="20"/>
                              <w:ind w:left="20"/>
                              <w:jc w:val="right"/>
                              <w:rPr>
                                <w:rFonts w:cs="Arial"/>
                                <w:sz w:val="16"/>
                                <w:szCs w:val="16"/>
                              </w:rPr>
                            </w:pPr>
                            <w:r w:rsidRPr="00E40351">
                              <w:rPr>
                                <w:sz w:val="16"/>
                                <w:szCs w:val="16"/>
                              </w:rPr>
                              <w:t xml:space="preserve">Sales: </w:t>
                            </w:r>
                            <w:r w:rsidR="000F2E76" w:rsidRPr="000F2E76">
                              <w:rPr>
                                <w:sz w:val="16"/>
                                <w:szCs w:val="16"/>
                              </w:rPr>
                              <w:t>0800 988 0100</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wps:txbx>
                      <wps:bodyPr rot="0" vert="horz" wrap="square" lIns="0" tIns="0" rIns="0" bIns="0" anchor="t" anchorCtr="0" upright="1">
                        <a:noAutofit/>
                      </wps:bodyPr>
                    </wps:wsp>
                    <wps:wsp>
                      <wps:cNvPr id="20" name="Text Box 20"/>
                      <wps:cNvSpPr txBox="1">
                        <a:spLocks noEditPoints="1" noChangeArrowheads="1" noChangeShapeType="1" noTextEdit="1"/>
                      </wps:cNvSpPr>
                      <wps:spPr bwMode="auto">
                        <a:xfrm>
                          <a:off x="4316818" y="63796"/>
                          <a:ext cx="37592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810238" w14:textId="77777777" w:rsidR="0073480C" w:rsidRPr="00D13FFA" w:rsidRDefault="0073480C" w:rsidP="0073480C">
                            <w:pPr>
                              <w:spacing w:before="20"/>
                              <w:ind w:left="20"/>
                              <w:jc w:val="right"/>
                              <w:rPr>
                                <w:rFonts w:cs="Arial"/>
                                <w:sz w:val="16"/>
                                <w:szCs w:val="16"/>
                              </w:rPr>
                            </w:pPr>
                            <w:r w:rsidRPr="00D13FFA">
                              <w:rPr>
                                <w:rFonts w:cs="Arial"/>
                                <w:sz w:val="16"/>
                                <w:szCs w:val="16"/>
                              </w:rPr>
                              <w:fldChar w:fldCharType="begin"/>
                            </w:r>
                            <w:r w:rsidRPr="00D13FFA">
                              <w:rPr>
                                <w:rFonts w:cs="Arial"/>
                                <w:sz w:val="16"/>
                                <w:szCs w:val="16"/>
                              </w:rPr>
                              <w:instrText xml:space="preserve"> PAGE </w:instrText>
                            </w:r>
                            <w:r w:rsidRPr="00D13FFA">
                              <w:rPr>
                                <w:rFonts w:cs="Arial"/>
                                <w:sz w:val="16"/>
                                <w:szCs w:val="16"/>
                              </w:rPr>
                              <w:fldChar w:fldCharType="separate"/>
                            </w:r>
                            <w:r w:rsidRPr="00D13FFA">
                              <w:rPr>
                                <w:rFonts w:cs="Arial"/>
                                <w:noProof/>
                                <w:sz w:val="16"/>
                                <w:szCs w:val="16"/>
                              </w:rPr>
                              <w:t>1</w:t>
                            </w:r>
                            <w:r w:rsidRPr="00D13FFA">
                              <w:rPr>
                                <w:rFonts w:cs="Arial"/>
                                <w:sz w:val="16"/>
                                <w:szCs w:val="16"/>
                              </w:rPr>
                              <w:fldChar w:fldCharType="end"/>
                            </w:r>
                            <w:r w:rsidRPr="00D13FFA">
                              <w:rPr>
                                <w:rFonts w:cs="Arial"/>
                                <w:sz w:val="16"/>
                                <w:szCs w:val="16"/>
                              </w:rPr>
                              <w:t xml:space="preserve"> of </w:t>
                            </w:r>
                            <w:r w:rsidRPr="00D13FFA">
                              <w:rPr>
                                <w:rFonts w:cs="Arial"/>
                                <w:sz w:val="16"/>
                                <w:szCs w:val="16"/>
                              </w:rPr>
                              <w:fldChar w:fldCharType="begin"/>
                            </w:r>
                            <w:r w:rsidRPr="00D13FFA">
                              <w:rPr>
                                <w:rFonts w:cs="Arial"/>
                                <w:sz w:val="16"/>
                                <w:szCs w:val="16"/>
                              </w:rPr>
                              <w:instrText xml:space="preserve"> NUMPAGES </w:instrText>
                            </w:r>
                            <w:r w:rsidRPr="00D13FFA">
                              <w:rPr>
                                <w:rFonts w:cs="Arial"/>
                                <w:sz w:val="16"/>
                                <w:szCs w:val="16"/>
                              </w:rPr>
                              <w:fldChar w:fldCharType="separate"/>
                            </w:r>
                            <w:r w:rsidRPr="00D13FFA">
                              <w:rPr>
                                <w:rFonts w:cs="Arial"/>
                                <w:noProof/>
                                <w:sz w:val="16"/>
                                <w:szCs w:val="16"/>
                              </w:rPr>
                              <w:t>2</w:t>
                            </w:r>
                            <w:r w:rsidRPr="00D13FFA">
                              <w:rPr>
                                <w:rFonts w:cs="Arial"/>
                                <w:sz w:val="16"/>
                                <w:szCs w:val="16"/>
                              </w:rPr>
                              <w:fldChar w:fldCharType="end"/>
                            </w:r>
                          </w:p>
                        </w:txbxContent>
                      </wps:txbx>
                      <wps:bodyPr rot="0" vert="horz" wrap="square" lIns="0" tIns="0" rIns="0" bIns="0" anchor="t" anchorCtr="0" upright="1">
                        <a:noAutofit/>
                      </wps:bodyPr>
                    </wps:wsp>
                  </wpg:wgp>
                </a:graphicData>
              </a:graphic>
              <wp14:sizeRelH relativeFrom="margin">
                <wp14:pctWidth>0</wp14:pctWidth>
              </wp14:sizeRelH>
            </wp:anchor>
          </w:drawing>
        </mc:Choice>
        <mc:Fallback>
          <w:pict>
            <v:group w14:anchorId="7DB66EF0" id="Group 5" o:spid="_x0000_s1026" style="position:absolute;margin-left:85.1pt;margin-top:28.45pt;width:456pt;height:36pt;z-index:251658245;mso-width-relative:margin" coordsize="51567,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">
              <v:rect id="Rectangle 11" o:spid="_x0000_s1027" style="position:absolute;left:46995;width:457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" fillcolor="white [3212]" stroked="f" strokeweight="1pt"/>
              <v:shapetype id="_x0000_t202" coordsize="21600,21600" o:spt="202" path="m,l,21600r21600,l21600,xe">
                <v:stroke joinstyle="miter"/>
                <v:path gradientshapeok="t" o:connecttype="rect"/>
              </v:shapetype>
              <v:shape id="Text Box 15" o:spid="_x0000_s1028" type="#_x0000_t202" style="position:absolute;top:637;width:41751;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o:lock v:ext="edit" aspectratio="t" verticies="t" text="t" shapetype="t"/>
                <v:textbox inset="0,0,0,0">
                  <w:txbxContent>
                    <w:p w14:paraId="20697382" w14:textId="06ACBC5E" w:rsidR="0073480C" w:rsidRPr="00D27175" w:rsidRDefault="0073480C" w:rsidP="0073480C">
                      <w:pPr>
                        <w:spacing w:before="20"/>
                        <w:ind w:left="20"/>
                        <w:jc w:val="right"/>
                        <w:rPr>
                          <w:rFonts w:cs="Arial"/>
                          <w:sz w:val="16"/>
                          <w:szCs w:val="16"/>
                        </w:rPr>
                      </w:pPr>
                      <w:r w:rsidRPr="00E40351">
                        <w:rPr>
                          <w:sz w:val="16"/>
                          <w:szCs w:val="16"/>
                        </w:rPr>
                        <w:t xml:space="preserve">Sales: </w:t>
                      </w:r>
                      <w:r w:rsidR="000F2E76" w:rsidRPr="000F2E76">
                        <w:rPr>
                          <w:sz w:val="16"/>
                          <w:szCs w:val="16"/>
                        </w:rPr>
                        <w:t>0800 988 0100</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v:textbox>
              </v:shape>
              <v:shape id="Text Box 20" o:spid="_x0000_s1029" type="#_x0000_t202" style="position:absolute;left:43168;top:637;width:3759;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o:lock v:ext="edit" verticies="t" text="t" shapetype="t"/>
                <v:textbox inset="0,0,0,0">
                  <w:txbxContent>
                    <w:p w14:paraId="08810238" w14:textId="77777777" w:rsidR="0073480C" w:rsidRPr="00D13FFA" w:rsidRDefault="0073480C" w:rsidP="0073480C">
                      <w:pPr>
                        <w:spacing w:before="20"/>
                        <w:ind w:left="20"/>
                        <w:jc w:val="right"/>
                        <w:rPr>
                          <w:rFonts w:cs="Arial"/>
                          <w:sz w:val="16"/>
                          <w:szCs w:val="16"/>
                        </w:rPr>
                      </w:pPr>
                      <w:r w:rsidRPr="00D13FFA">
                        <w:rPr>
                          <w:rFonts w:cs="Arial"/>
                          <w:sz w:val="16"/>
                          <w:szCs w:val="16"/>
                        </w:rPr>
                        <w:fldChar w:fldCharType="begin"/>
                      </w:r>
                      <w:r w:rsidRPr="00D13FFA">
                        <w:rPr>
                          <w:rFonts w:cs="Arial"/>
                          <w:sz w:val="16"/>
                          <w:szCs w:val="16"/>
                        </w:rPr>
                        <w:instrText xml:space="preserve"> PAGE </w:instrText>
                      </w:r>
                      <w:r w:rsidRPr="00D13FFA">
                        <w:rPr>
                          <w:rFonts w:cs="Arial"/>
                          <w:sz w:val="16"/>
                          <w:szCs w:val="16"/>
                        </w:rPr>
                        <w:fldChar w:fldCharType="separate"/>
                      </w:r>
                      <w:r w:rsidRPr="00D13FFA">
                        <w:rPr>
                          <w:rFonts w:cs="Arial"/>
                          <w:noProof/>
                          <w:sz w:val="16"/>
                          <w:szCs w:val="16"/>
                        </w:rPr>
                        <w:t>1</w:t>
                      </w:r>
                      <w:r w:rsidRPr="00D13FFA">
                        <w:rPr>
                          <w:rFonts w:cs="Arial"/>
                          <w:sz w:val="16"/>
                          <w:szCs w:val="16"/>
                        </w:rPr>
                        <w:fldChar w:fldCharType="end"/>
                      </w:r>
                      <w:r w:rsidRPr="00D13FFA">
                        <w:rPr>
                          <w:rFonts w:cs="Arial"/>
                          <w:sz w:val="16"/>
                          <w:szCs w:val="16"/>
                        </w:rPr>
                        <w:t xml:space="preserve"> of </w:t>
                      </w:r>
                      <w:r w:rsidRPr="00D13FFA">
                        <w:rPr>
                          <w:rFonts w:cs="Arial"/>
                          <w:sz w:val="16"/>
                          <w:szCs w:val="16"/>
                        </w:rPr>
                        <w:fldChar w:fldCharType="begin"/>
                      </w:r>
                      <w:r w:rsidRPr="00D13FFA">
                        <w:rPr>
                          <w:rFonts w:cs="Arial"/>
                          <w:sz w:val="16"/>
                          <w:szCs w:val="16"/>
                        </w:rPr>
                        <w:instrText xml:space="preserve"> NUMPAGES </w:instrText>
                      </w:r>
                      <w:r w:rsidRPr="00D13FFA">
                        <w:rPr>
                          <w:rFonts w:cs="Arial"/>
                          <w:sz w:val="16"/>
                          <w:szCs w:val="16"/>
                        </w:rPr>
                        <w:fldChar w:fldCharType="separate"/>
                      </w:r>
                      <w:r w:rsidRPr="00D13FFA">
                        <w:rPr>
                          <w:rFonts w:cs="Arial"/>
                          <w:noProof/>
                          <w:sz w:val="16"/>
                          <w:szCs w:val="16"/>
                        </w:rPr>
                        <w:t>2</w:t>
                      </w:r>
                      <w:r w:rsidRPr="00D13FFA">
                        <w:rPr>
                          <w:rFonts w:cs="Arial"/>
                          <w:sz w:val="16"/>
                          <w:szCs w:val="16"/>
                        </w:rPr>
                        <w:fldChar w:fldCharType="end"/>
                      </w:r>
                    </w:p>
                  </w:txbxContent>
                </v:textbox>
              </v:shape>
            </v:group>
          </w:pict>
        </mc:Fallback>
      </mc:AlternateContent>
    </w:r>
    <w:r w:rsidR="00CA5EAA">
      <w:rPr>
        <w:noProof/>
      </w:rPr>
      <mc:AlternateContent>
        <mc:Choice Requires="wpg">
          <w:drawing>
            <wp:anchor distT="0" distB="0" distL="114300" distR="114300" simplePos="0" relativeHeight="251658241" behindDoc="0" locked="0" layoutInCell="1" allowOverlap="1" wp14:anchorId="24182B4B" wp14:editId="01D9041D">
              <wp:simplePos x="0" y="0"/>
              <wp:positionH relativeFrom="column">
                <wp:posOffset>-685800</wp:posOffset>
              </wp:positionH>
              <wp:positionV relativeFrom="paragraph">
                <wp:posOffset>269875</wp:posOffset>
              </wp:positionV>
              <wp:extent cx="1470175" cy="537587"/>
              <wp:effectExtent l="0" t="0" r="3175" b="0"/>
              <wp:wrapNone/>
              <wp:docPr id="16" name="Group 16"/>
              <wp:cNvGraphicFramePr/>
              <a:graphic xmlns:a="http://schemas.openxmlformats.org/drawingml/2006/main">
                <a:graphicData uri="http://schemas.microsoft.com/office/word/2010/wordprocessingGroup">
                  <wpg:wgp>
                    <wpg:cNvGrpSpPr/>
                    <wpg:grpSpPr>
                      <a:xfrm>
                        <a:off x="0" y="0"/>
                        <a:ext cx="1470175" cy="537587"/>
                        <a:chOff x="0" y="0"/>
                        <a:chExt cx="1470175" cy="537587"/>
                      </a:xfrm>
                    </wpg:grpSpPr>
                    <wps:wsp>
                      <wps:cNvPr id="36" name="Rectangle 36"/>
                      <wps:cNvSpPr/>
                      <wps:spPr>
                        <a:xfrm>
                          <a:off x="0" y="80387"/>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reeform 16">
                        <a:extLst>
                          <a:ext uri="{FF2B5EF4-FFF2-40B4-BE49-F238E27FC236}">
                            <a16:creationId xmlns:a16="http://schemas.microsoft.com/office/drawing/2014/main" id="{62BC96CC-4E15-BE80-7741-9A7BE54CBA2F}"/>
                          </a:ext>
                        </a:extLst>
                      </wps:cNvPr>
                      <wps:cNvSpPr>
                        <a:spLocks noChangeAspect="1"/>
                      </wps:cNvSpPr>
                      <wps:spPr>
                        <a:xfrm>
                          <a:off x="462224" y="0"/>
                          <a:ext cx="1007951" cy="310896"/>
                        </a:xfrm>
                        <a:custGeom>
                          <a:avLst/>
                          <a:gdLst>
                            <a:gd name="connsiteX0" fmla="*/ 1242411 w 2371650"/>
                            <a:gd name="connsiteY0" fmla="*/ 294278 h 731520"/>
                            <a:gd name="connsiteX1" fmla="*/ 1215305 w 2371650"/>
                            <a:gd name="connsiteY1" fmla="*/ 362356 h 731520"/>
                            <a:gd name="connsiteX2" fmla="*/ 1105967 w 2371650"/>
                            <a:gd name="connsiteY2" fmla="*/ 398675 h 731520"/>
                            <a:gd name="connsiteX3" fmla="*/ 1019545 w 2371650"/>
                            <a:gd name="connsiteY3" fmla="*/ 378229 h 731520"/>
                            <a:gd name="connsiteX4" fmla="*/ 1032291 w 2371650"/>
                            <a:gd name="connsiteY4" fmla="*/ 311182 h 731520"/>
                            <a:gd name="connsiteX5" fmla="*/ 1114431 w 2371650"/>
                            <a:gd name="connsiteY5" fmla="*/ 334337 h 731520"/>
                            <a:gd name="connsiteX6" fmla="*/ 1150862 w 2371650"/>
                            <a:gd name="connsiteY6" fmla="*/ 308183 h 731520"/>
                            <a:gd name="connsiteX7" fmla="*/ 1114225 w 2371650"/>
                            <a:gd name="connsiteY7" fmla="*/ 270491 h 731520"/>
                            <a:gd name="connsiteX8" fmla="*/ 1051741 w 2371650"/>
                            <a:gd name="connsiteY8" fmla="*/ 192152 h 731520"/>
                            <a:gd name="connsiteX9" fmla="*/ 1182121 w 2371650"/>
                            <a:gd name="connsiteY9" fmla="*/ 89559 h 731520"/>
                            <a:gd name="connsiteX10" fmla="*/ 1265412 w 2371650"/>
                            <a:gd name="connsiteY10" fmla="*/ 108904 h 731520"/>
                            <a:gd name="connsiteX11" fmla="*/ 1252690 w 2371650"/>
                            <a:gd name="connsiteY11" fmla="*/ 175819 h 731520"/>
                            <a:gd name="connsiteX12" fmla="*/ 1177909 w 2371650"/>
                            <a:gd name="connsiteY12" fmla="*/ 154501 h 731520"/>
                            <a:gd name="connsiteX13" fmla="*/ 1140257 w 2371650"/>
                            <a:gd name="connsiteY13" fmla="*/ 180040 h 731520"/>
                            <a:gd name="connsiteX14" fmla="*/ 1175674 w 2371650"/>
                            <a:gd name="connsiteY14" fmla="*/ 213510 h 731520"/>
                            <a:gd name="connsiteX15" fmla="*/ 1242411 w 2371650"/>
                            <a:gd name="connsiteY15" fmla="*/ 294278 h 731520"/>
                            <a:gd name="connsiteX16" fmla="*/ 700127 w 2371650"/>
                            <a:gd name="connsiteY16" fmla="*/ 90173 h 731520"/>
                            <a:gd name="connsiteX17" fmla="*/ 506875 w 2371650"/>
                            <a:gd name="connsiteY17" fmla="*/ 277377 h 731520"/>
                            <a:gd name="connsiteX18" fmla="*/ 631821 w 2371650"/>
                            <a:gd name="connsiteY18" fmla="*/ 398675 h 731520"/>
                            <a:gd name="connsiteX19" fmla="*/ 716237 w 2371650"/>
                            <a:gd name="connsiteY19" fmla="*/ 382823 h 731520"/>
                            <a:gd name="connsiteX20" fmla="*/ 730160 w 2371650"/>
                            <a:gd name="connsiteY20" fmla="*/ 309292 h 731520"/>
                            <a:gd name="connsiteX21" fmla="*/ 656602 w 2371650"/>
                            <a:gd name="connsiteY21" fmla="*/ 328310 h 731520"/>
                            <a:gd name="connsiteX22" fmla="*/ 599017 w 2371650"/>
                            <a:gd name="connsiteY22" fmla="*/ 267701 h 731520"/>
                            <a:gd name="connsiteX23" fmla="*/ 698907 w 2371650"/>
                            <a:gd name="connsiteY23" fmla="*/ 160549 h 731520"/>
                            <a:gd name="connsiteX24" fmla="*/ 747443 w 2371650"/>
                            <a:gd name="connsiteY24" fmla="*/ 172102 h 731520"/>
                            <a:gd name="connsiteX25" fmla="*/ 761069 w 2371650"/>
                            <a:gd name="connsiteY25" fmla="*/ 100610 h 731520"/>
                            <a:gd name="connsiteX26" fmla="*/ 700127 w 2371650"/>
                            <a:gd name="connsiteY26" fmla="*/ 90173 h 731520"/>
                            <a:gd name="connsiteX27" fmla="*/ 2245494 w 2371650"/>
                            <a:gd name="connsiteY27" fmla="*/ 330114 h 731520"/>
                            <a:gd name="connsiteX28" fmla="*/ 2348811 w 2371650"/>
                            <a:gd name="connsiteY28" fmla="*/ 300958 h 731520"/>
                            <a:gd name="connsiteX29" fmla="*/ 2334727 w 2371650"/>
                            <a:gd name="connsiteY29" fmla="*/ 374974 h 731520"/>
                            <a:gd name="connsiteX30" fmla="*/ 2224343 w 2371650"/>
                            <a:gd name="connsiteY30" fmla="*/ 398697 h 731520"/>
                            <a:gd name="connsiteX31" fmla="*/ 2095748 w 2371650"/>
                            <a:gd name="connsiteY31" fmla="*/ 273749 h 731520"/>
                            <a:gd name="connsiteX32" fmla="*/ 2141886 w 2371650"/>
                            <a:gd name="connsiteY32" fmla="*/ 147809 h 731520"/>
                            <a:gd name="connsiteX33" fmla="*/ 2268462 w 2371650"/>
                            <a:gd name="connsiteY33" fmla="*/ 89568 h 731520"/>
                            <a:gd name="connsiteX34" fmla="*/ 2371651 w 2371650"/>
                            <a:gd name="connsiteY34" fmla="*/ 178851 h 731520"/>
                            <a:gd name="connsiteX35" fmla="*/ 2347824 w 2371650"/>
                            <a:gd name="connsiteY35" fmla="*/ 239192 h 731520"/>
                            <a:gd name="connsiteX36" fmla="*/ 2179041 w 2371650"/>
                            <a:gd name="connsiteY36" fmla="*/ 271119 h 731520"/>
                            <a:gd name="connsiteX37" fmla="*/ 2245494 w 2371650"/>
                            <a:gd name="connsiteY37" fmla="*/ 330114 h 731520"/>
                            <a:gd name="connsiteX38" fmla="*/ 2188658 w 2371650"/>
                            <a:gd name="connsiteY38" fmla="*/ 214066 h 731520"/>
                            <a:gd name="connsiteX39" fmla="*/ 2281969 w 2371650"/>
                            <a:gd name="connsiteY39" fmla="*/ 196724 h 731520"/>
                            <a:gd name="connsiteX40" fmla="*/ 2257578 w 2371650"/>
                            <a:gd name="connsiteY40" fmla="*/ 153896 h 731520"/>
                            <a:gd name="connsiteX41" fmla="*/ 2188658 w 2371650"/>
                            <a:gd name="connsiteY41" fmla="*/ 214066 h 731520"/>
                            <a:gd name="connsiteX42" fmla="*/ 2051252 w 2371650"/>
                            <a:gd name="connsiteY42" fmla="*/ 90173 h 731520"/>
                            <a:gd name="connsiteX43" fmla="*/ 1858000 w 2371650"/>
                            <a:gd name="connsiteY43" fmla="*/ 277377 h 731520"/>
                            <a:gd name="connsiteX44" fmla="*/ 1982946 w 2371650"/>
                            <a:gd name="connsiteY44" fmla="*/ 398675 h 731520"/>
                            <a:gd name="connsiteX45" fmla="*/ 2067362 w 2371650"/>
                            <a:gd name="connsiteY45" fmla="*/ 382823 h 731520"/>
                            <a:gd name="connsiteX46" fmla="*/ 2081285 w 2371650"/>
                            <a:gd name="connsiteY46" fmla="*/ 309292 h 731520"/>
                            <a:gd name="connsiteX47" fmla="*/ 2007727 w 2371650"/>
                            <a:gd name="connsiteY47" fmla="*/ 328310 h 731520"/>
                            <a:gd name="connsiteX48" fmla="*/ 1950142 w 2371650"/>
                            <a:gd name="connsiteY48" fmla="*/ 267702 h 731520"/>
                            <a:gd name="connsiteX49" fmla="*/ 2050032 w 2371650"/>
                            <a:gd name="connsiteY49" fmla="*/ 160549 h 731520"/>
                            <a:gd name="connsiteX50" fmla="*/ 2098568 w 2371650"/>
                            <a:gd name="connsiteY50" fmla="*/ 172102 h 731520"/>
                            <a:gd name="connsiteX51" fmla="*/ 2112194 w 2371650"/>
                            <a:gd name="connsiteY51" fmla="*/ 100611 h 731520"/>
                            <a:gd name="connsiteX52" fmla="*/ 2051252 w 2371650"/>
                            <a:gd name="connsiteY52" fmla="*/ 90173 h 731520"/>
                            <a:gd name="connsiteX53" fmla="*/ 1843528 w 2371650"/>
                            <a:gd name="connsiteY53" fmla="*/ 226669 h 731520"/>
                            <a:gd name="connsiteX54" fmla="*/ 1811816 w 2371650"/>
                            <a:gd name="connsiteY54" fmla="*/ 392639 h 731520"/>
                            <a:gd name="connsiteX55" fmla="*/ 1727820 w 2371650"/>
                            <a:gd name="connsiteY55" fmla="*/ 392639 h 731520"/>
                            <a:gd name="connsiteX56" fmla="*/ 1738736 w 2371650"/>
                            <a:gd name="connsiteY56" fmla="*/ 335513 h 731520"/>
                            <a:gd name="connsiteX57" fmla="*/ 1650105 w 2371650"/>
                            <a:gd name="connsiteY57" fmla="*/ 399290 h 731520"/>
                            <a:gd name="connsiteX58" fmla="*/ 1565228 w 2371650"/>
                            <a:gd name="connsiteY58" fmla="*/ 295498 h 731520"/>
                            <a:gd name="connsiteX59" fmla="*/ 1627168 w 2371650"/>
                            <a:gd name="connsiteY59" fmla="*/ 139273 h 731520"/>
                            <a:gd name="connsiteX60" fmla="*/ 1748539 w 2371650"/>
                            <a:gd name="connsiteY60" fmla="*/ 89560 h 731520"/>
                            <a:gd name="connsiteX61" fmla="*/ 1827163 w 2371650"/>
                            <a:gd name="connsiteY61" fmla="*/ 120078 h 731520"/>
                            <a:gd name="connsiteX62" fmla="*/ 1843528 w 2371650"/>
                            <a:gd name="connsiteY62" fmla="*/ 226669 h 731520"/>
                            <a:gd name="connsiteX63" fmla="*/ 1762661 w 2371650"/>
                            <a:gd name="connsiteY63" fmla="*/ 188485 h 731520"/>
                            <a:gd name="connsiteX64" fmla="*/ 1731209 w 2371650"/>
                            <a:gd name="connsiteY64" fmla="*/ 156274 h 731520"/>
                            <a:gd name="connsiteX65" fmla="*/ 1654041 w 2371650"/>
                            <a:gd name="connsiteY65" fmla="*/ 277317 h 731520"/>
                            <a:gd name="connsiteX66" fmla="*/ 1685554 w 2371650"/>
                            <a:gd name="connsiteY66" fmla="*/ 327655 h 731520"/>
                            <a:gd name="connsiteX67" fmla="*/ 1754585 w 2371650"/>
                            <a:gd name="connsiteY67" fmla="*/ 245198 h 731520"/>
                            <a:gd name="connsiteX68" fmla="*/ 1762661 w 2371650"/>
                            <a:gd name="connsiteY68" fmla="*/ 188485 h 731520"/>
                            <a:gd name="connsiteX69" fmla="*/ 492406 w 2371650"/>
                            <a:gd name="connsiteY69" fmla="*/ 226669 h 731520"/>
                            <a:gd name="connsiteX70" fmla="*/ 460693 w 2371650"/>
                            <a:gd name="connsiteY70" fmla="*/ 392639 h 731520"/>
                            <a:gd name="connsiteX71" fmla="*/ 376698 w 2371650"/>
                            <a:gd name="connsiteY71" fmla="*/ 392639 h 731520"/>
                            <a:gd name="connsiteX72" fmla="*/ 387613 w 2371650"/>
                            <a:gd name="connsiteY72" fmla="*/ 335513 h 731520"/>
                            <a:gd name="connsiteX73" fmla="*/ 298982 w 2371650"/>
                            <a:gd name="connsiteY73" fmla="*/ 399290 h 731520"/>
                            <a:gd name="connsiteX74" fmla="*/ 214106 w 2371650"/>
                            <a:gd name="connsiteY74" fmla="*/ 295498 h 731520"/>
                            <a:gd name="connsiteX75" fmla="*/ 276045 w 2371650"/>
                            <a:gd name="connsiteY75" fmla="*/ 139273 h 731520"/>
                            <a:gd name="connsiteX76" fmla="*/ 397417 w 2371650"/>
                            <a:gd name="connsiteY76" fmla="*/ 89560 h 731520"/>
                            <a:gd name="connsiteX77" fmla="*/ 476040 w 2371650"/>
                            <a:gd name="connsiteY77" fmla="*/ 120078 h 731520"/>
                            <a:gd name="connsiteX78" fmla="*/ 492406 w 2371650"/>
                            <a:gd name="connsiteY78" fmla="*/ 226669 h 731520"/>
                            <a:gd name="connsiteX79" fmla="*/ 411539 w 2371650"/>
                            <a:gd name="connsiteY79" fmla="*/ 188485 h 731520"/>
                            <a:gd name="connsiteX80" fmla="*/ 380086 w 2371650"/>
                            <a:gd name="connsiteY80" fmla="*/ 156274 h 731520"/>
                            <a:gd name="connsiteX81" fmla="*/ 302918 w 2371650"/>
                            <a:gd name="connsiteY81" fmla="*/ 277317 h 731520"/>
                            <a:gd name="connsiteX82" fmla="*/ 334431 w 2371650"/>
                            <a:gd name="connsiteY82" fmla="*/ 327655 h 731520"/>
                            <a:gd name="connsiteX83" fmla="*/ 403462 w 2371650"/>
                            <a:gd name="connsiteY83" fmla="*/ 245198 h 731520"/>
                            <a:gd name="connsiteX84" fmla="*/ 411539 w 2371650"/>
                            <a:gd name="connsiteY84" fmla="*/ 188485 h 731520"/>
                            <a:gd name="connsiteX85" fmla="*/ 1559358 w 2371650"/>
                            <a:gd name="connsiteY85" fmla="*/ 202421 h 731520"/>
                            <a:gd name="connsiteX86" fmla="*/ 1462337 w 2371650"/>
                            <a:gd name="connsiteY86" fmla="*/ 381725 h 731520"/>
                            <a:gd name="connsiteX87" fmla="*/ 1398411 w 2371650"/>
                            <a:gd name="connsiteY87" fmla="*/ 399293 h 731520"/>
                            <a:gd name="connsiteX88" fmla="*/ 1339675 w 2371650"/>
                            <a:gd name="connsiteY88" fmla="*/ 369610 h 731520"/>
                            <a:gd name="connsiteX89" fmla="*/ 1317337 w 2371650"/>
                            <a:gd name="connsiteY89" fmla="*/ 487670 h 731520"/>
                            <a:gd name="connsiteX90" fmla="*/ 1229398 w 2371650"/>
                            <a:gd name="connsiteY90" fmla="*/ 487670 h 731520"/>
                            <a:gd name="connsiteX91" fmla="*/ 1304052 w 2371650"/>
                            <a:gd name="connsiteY91" fmla="*/ 95023 h 731520"/>
                            <a:gd name="connsiteX92" fmla="*/ 1381506 w 2371650"/>
                            <a:gd name="connsiteY92" fmla="*/ 95023 h 731520"/>
                            <a:gd name="connsiteX93" fmla="*/ 1372451 w 2371650"/>
                            <a:gd name="connsiteY93" fmla="*/ 142685 h 731520"/>
                            <a:gd name="connsiteX94" fmla="*/ 1463423 w 2371650"/>
                            <a:gd name="connsiteY94" fmla="*/ 89560 h 731520"/>
                            <a:gd name="connsiteX95" fmla="*/ 1559357 w 2371650"/>
                            <a:gd name="connsiteY95" fmla="*/ 202421 h 731520"/>
                            <a:gd name="connsiteX96" fmla="*/ 1467902 w 2371650"/>
                            <a:gd name="connsiteY96" fmla="*/ 209082 h 731520"/>
                            <a:gd name="connsiteX97" fmla="*/ 1432391 w 2371650"/>
                            <a:gd name="connsiteY97" fmla="*/ 161162 h 731520"/>
                            <a:gd name="connsiteX98" fmla="*/ 1361269 w 2371650"/>
                            <a:gd name="connsiteY98" fmla="*/ 255076 h 731520"/>
                            <a:gd name="connsiteX99" fmla="*/ 1387791 w 2371650"/>
                            <a:gd name="connsiteY99" fmla="*/ 332534 h 731520"/>
                            <a:gd name="connsiteX100" fmla="*/ 1467902 w 2371650"/>
                            <a:gd name="connsiteY100" fmla="*/ 209082 h 731520"/>
                            <a:gd name="connsiteX101" fmla="*/ 122511 w 2371650"/>
                            <a:gd name="connsiteY101" fmla="*/ 161001 h 731520"/>
                            <a:gd name="connsiteX102" fmla="*/ 135047 w 2371650"/>
                            <a:gd name="connsiteY102" fmla="*/ 95022 h 731520"/>
                            <a:gd name="connsiteX103" fmla="*/ 57600 w 2371650"/>
                            <a:gd name="connsiteY103" fmla="*/ 95022 h 731520"/>
                            <a:gd name="connsiteX104" fmla="*/ 0 w 2371650"/>
                            <a:gd name="connsiteY104" fmla="*/ 397876 h 731520"/>
                            <a:gd name="connsiteX105" fmla="*/ 87953 w 2371650"/>
                            <a:gd name="connsiteY105" fmla="*/ 397876 h 731520"/>
                            <a:gd name="connsiteX106" fmla="*/ 111703 w 2371650"/>
                            <a:gd name="connsiteY106" fmla="*/ 273006 h 731520"/>
                            <a:gd name="connsiteX107" fmla="*/ 228071 w 2371650"/>
                            <a:gd name="connsiteY107" fmla="*/ 179010 h 731520"/>
                            <a:gd name="connsiteX108" fmla="*/ 245247 w 2371650"/>
                            <a:gd name="connsiteY108" fmla="*/ 88676 h 731520"/>
                            <a:gd name="connsiteX109" fmla="*/ 122511 w 2371650"/>
                            <a:gd name="connsiteY109" fmla="*/ 161001 h 731520"/>
                            <a:gd name="connsiteX110" fmla="*/ 827930 w 2371650"/>
                            <a:gd name="connsiteY110" fmla="*/ 392638 h 731520"/>
                            <a:gd name="connsiteX111" fmla="*/ 858223 w 2371650"/>
                            <a:gd name="connsiteY111" fmla="*/ 233285 h 731520"/>
                            <a:gd name="connsiteX112" fmla="*/ 920576 w 2371650"/>
                            <a:gd name="connsiteY112" fmla="*/ 392638 h 731520"/>
                            <a:gd name="connsiteX113" fmla="*/ 1015149 w 2371650"/>
                            <a:gd name="connsiteY113" fmla="*/ 392638 h 731520"/>
                            <a:gd name="connsiteX114" fmla="*/ 950636 w 2371650"/>
                            <a:gd name="connsiteY114" fmla="*/ 232019 h 731520"/>
                            <a:gd name="connsiteX115" fmla="*/ 1068043 w 2371650"/>
                            <a:gd name="connsiteY115" fmla="*/ 95022 h 731520"/>
                            <a:gd name="connsiteX116" fmla="*/ 972037 w 2371650"/>
                            <a:gd name="connsiteY116" fmla="*/ 95022 h 731520"/>
                            <a:gd name="connsiteX117" fmla="*/ 858750 w 2371650"/>
                            <a:gd name="connsiteY117" fmla="*/ 230516 h 731520"/>
                            <a:gd name="connsiteX118" fmla="*/ 902570 w 2371650"/>
                            <a:gd name="connsiteY118" fmla="*/ 0 h 731520"/>
                            <a:gd name="connsiteX119" fmla="*/ 815233 w 2371650"/>
                            <a:gd name="connsiteY119" fmla="*/ 0 h 731520"/>
                            <a:gd name="connsiteX120" fmla="*/ 740583 w 2371650"/>
                            <a:gd name="connsiteY120" fmla="*/ 392638 h 731520"/>
                            <a:gd name="connsiteX121" fmla="*/ 1839859 w 2371650"/>
                            <a:gd name="connsiteY121" fmla="*/ 600836 h 731520"/>
                            <a:gd name="connsiteX122" fmla="*/ 1767287 w 2371650"/>
                            <a:gd name="connsiteY122" fmla="*/ 680372 h 731520"/>
                            <a:gd name="connsiteX123" fmla="*/ 1715912 w 2371650"/>
                            <a:gd name="connsiteY123" fmla="*/ 628492 h 731520"/>
                            <a:gd name="connsiteX124" fmla="*/ 1788483 w 2371650"/>
                            <a:gd name="connsiteY124" fmla="*/ 548956 h 731520"/>
                            <a:gd name="connsiteX125" fmla="*/ 1839859 w 2371650"/>
                            <a:gd name="connsiteY125" fmla="*/ 600836 h 731520"/>
                            <a:gd name="connsiteX126" fmla="*/ 1746898 w 2371650"/>
                            <a:gd name="connsiteY126" fmla="*/ 627709 h 731520"/>
                            <a:gd name="connsiteX127" fmla="*/ 1771426 w 2371650"/>
                            <a:gd name="connsiteY127" fmla="*/ 657157 h 731520"/>
                            <a:gd name="connsiteX128" fmla="*/ 1808872 w 2371650"/>
                            <a:gd name="connsiteY128" fmla="*/ 601088 h 731520"/>
                            <a:gd name="connsiteX129" fmla="*/ 1784850 w 2371650"/>
                            <a:gd name="connsiteY129" fmla="*/ 572170 h 731520"/>
                            <a:gd name="connsiteX130" fmla="*/ 1746898 w 2371650"/>
                            <a:gd name="connsiteY130" fmla="*/ 627709 h 731520"/>
                            <a:gd name="connsiteX131" fmla="*/ 2044503 w 2371650"/>
                            <a:gd name="connsiteY131" fmla="*/ 600836 h 731520"/>
                            <a:gd name="connsiteX132" fmla="*/ 1971931 w 2371650"/>
                            <a:gd name="connsiteY132" fmla="*/ 680372 h 731520"/>
                            <a:gd name="connsiteX133" fmla="*/ 1920555 w 2371650"/>
                            <a:gd name="connsiteY133" fmla="*/ 628492 h 731520"/>
                            <a:gd name="connsiteX134" fmla="*/ 1993127 w 2371650"/>
                            <a:gd name="connsiteY134" fmla="*/ 548956 h 731520"/>
                            <a:gd name="connsiteX135" fmla="*/ 2044503 w 2371650"/>
                            <a:gd name="connsiteY135" fmla="*/ 600836 h 731520"/>
                            <a:gd name="connsiteX136" fmla="*/ 1951542 w 2371650"/>
                            <a:gd name="connsiteY136" fmla="*/ 627709 h 731520"/>
                            <a:gd name="connsiteX137" fmla="*/ 1976069 w 2371650"/>
                            <a:gd name="connsiteY137" fmla="*/ 657157 h 731520"/>
                            <a:gd name="connsiteX138" fmla="*/ 2013516 w 2371650"/>
                            <a:gd name="connsiteY138" fmla="*/ 601088 h 731520"/>
                            <a:gd name="connsiteX139" fmla="*/ 1989494 w 2371650"/>
                            <a:gd name="connsiteY139" fmla="*/ 572170 h 731520"/>
                            <a:gd name="connsiteX140" fmla="*/ 1951542 w 2371650"/>
                            <a:gd name="connsiteY140" fmla="*/ 627709 h 731520"/>
                            <a:gd name="connsiteX141" fmla="*/ 1884855 w 2371650"/>
                            <a:gd name="connsiteY141" fmla="*/ 510629 h 731520"/>
                            <a:gd name="connsiteX142" fmla="*/ 1853107 w 2371650"/>
                            <a:gd name="connsiteY142" fmla="*/ 677545 h 731520"/>
                            <a:gd name="connsiteX143" fmla="*/ 1883083 w 2371650"/>
                            <a:gd name="connsiteY143" fmla="*/ 677545 h 731520"/>
                            <a:gd name="connsiteX144" fmla="*/ 1915062 w 2371650"/>
                            <a:gd name="connsiteY144" fmla="*/ 510629 h 731520"/>
                            <a:gd name="connsiteX145" fmla="*/ 1400114 w 2371650"/>
                            <a:gd name="connsiteY145" fmla="*/ 549208 h 731520"/>
                            <a:gd name="connsiteX146" fmla="*/ 1320326 w 2371650"/>
                            <a:gd name="connsiteY146" fmla="*/ 630031 h 731520"/>
                            <a:gd name="connsiteX147" fmla="*/ 1371196 w 2371650"/>
                            <a:gd name="connsiteY147" fmla="*/ 680120 h 731520"/>
                            <a:gd name="connsiteX148" fmla="*/ 1408275 w 2371650"/>
                            <a:gd name="connsiteY148" fmla="*/ 672445 h 731520"/>
                            <a:gd name="connsiteX149" fmla="*/ 1413237 w 2371650"/>
                            <a:gd name="connsiteY149" fmla="*/ 646349 h 731520"/>
                            <a:gd name="connsiteX150" fmla="*/ 1379448 w 2371650"/>
                            <a:gd name="connsiteY150" fmla="*/ 655845 h 731520"/>
                            <a:gd name="connsiteX151" fmla="*/ 1351817 w 2371650"/>
                            <a:gd name="connsiteY151" fmla="*/ 626423 h 731520"/>
                            <a:gd name="connsiteX152" fmla="*/ 1399080 w 2371650"/>
                            <a:gd name="connsiteY152" fmla="*/ 573483 h 731520"/>
                            <a:gd name="connsiteX153" fmla="*/ 1422249 w 2371650"/>
                            <a:gd name="connsiteY153" fmla="*/ 579346 h 731520"/>
                            <a:gd name="connsiteX154" fmla="*/ 1427004 w 2371650"/>
                            <a:gd name="connsiteY154" fmla="*/ 554336 h 731520"/>
                            <a:gd name="connsiteX155" fmla="*/ 1400114 w 2371650"/>
                            <a:gd name="connsiteY155" fmla="*/ 549208 h 731520"/>
                            <a:gd name="connsiteX156" fmla="*/ 1228324 w 2371650"/>
                            <a:gd name="connsiteY156" fmla="*/ 643733 h 731520"/>
                            <a:gd name="connsiteX157" fmla="*/ 1224968 w 2371650"/>
                            <a:gd name="connsiteY157" fmla="*/ 625893 h 731520"/>
                            <a:gd name="connsiteX158" fmla="*/ 1307330 w 2371650"/>
                            <a:gd name="connsiteY158" fmla="*/ 584333 h 731520"/>
                            <a:gd name="connsiteX159" fmla="*/ 1266780 w 2371650"/>
                            <a:gd name="connsiteY159" fmla="*/ 548956 h 731520"/>
                            <a:gd name="connsiteX160" fmla="*/ 1195521 w 2371650"/>
                            <a:gd name="connsiteY160" fmla="*/ 628214 h 731520"/>
                            <a:gd name="connsiteX161" fmla="*/ 1247174 w 2371650"/>
                            <a:gd name="connsiteY161" fmla="*/ 680372 h 731520"/>
                            <a:gd name="connsiteX162" fmla="*/ 1294703 w 2371650"/>
                            <a:gd name="connsiteY162" fmla="*/ 668583 h 731520"/>
                            <a:gd name="connsiteX163" fmla="*/ 1299850 w 2371650"/>
                            <a:gd name="connsiteY163" fmla="*/ 641509 h 731520"/>
                            <a:gd name="connsiteX164" fmla="*/ 1254138 w 2371650"/>
                            <a:gd name="connsiteY164" fmla="*/ 656627 h 731520"/>
                            <a:gd name="connsiteX165" fmla="*/ 1228324 w 2371650"/>
                            <a:gd name="connsiteY165" fmla="*/ 643733 h 731520"/>
                            <a:gd name="connsiteX166" fmla="*/ 1262919 w 2371650"/>
                            <a:gd name="connsiteY166" fmla="*/ 571414 h 731520"/>
                            <a:gd name="connsiteX167" fmla="*/ 1278918 w 2371650"/>
                            <a:gd name="connsiteY167" fmla="*/ 584333 h 731520"/>
                            <a:gd name="connsiteX168" fmla="*/ 1228047 w 2371650"/>
                            <a:gd name="connsiteY168" fmla="*/ 603410 h 731520"/>
                            <a:gd name="connsiteX169" fmla="*/ 1262919 w 2371650"/>
                            <a:gd name="connsiteY169" fmla="*/ 571414 h 731520"/>
                            <a:gd name="connsiteX170" fmla="*/ 1695170 w 2371650"/>
                            <a:gd name="connsiteY170" fmla="*/ 583525 h 731520"/>
                            <a:gd name="connsiteX171" fmla="*/ 1663149 w 2371650"/>
                            <a:gd name="connsiteY171" fmla="*/ 548955 h 731520"/>
                            <a:gd name="connsiteX172" fmla="*/ 1617217 w 2371650"/>
                            <a:gd name="connsiteY172" fmla="*/ 575329 h 731520"/>
                            <a:gd name="connsiteX173" fmla="*/ 1621873 w 2371650"/>
                            <a:gd name="connsiteY173" fmla="*/ 551024 h 731520"/>
                            <a:gd name="connsiteX174" fmla="*/ 1594758 w 2371650"/>
                            <a:gd name="connsiteY174" fmla="*/ 551024 h 731520"/>
                            <a:gd name="connsiteX175" fmla="*/ 1570693 w 2371650"/>
                            <a:gd name="connsiteY175" fmla="*/ 677545 h 731520"/>
                            <a:gd name="connsiteX176" fmla="*/ 1600669 w 2371650"/>
                            <a:gd name="connsiteY176" fmla="*/ 677545 h 731520"/>
                            <a:gd name="connsiteX177" fmla="*/ 1611798 w 2371650"/>
                            <a:gd name="connsiteY177" fmla="*/ 619458 h 731520"/>
                            <a:gd name="connsiteX178" fmla="*/ 1648160 w 2371650"/>
                            <a:gd name="connsiteY178" fmla="*/ 573483 h 731520"/>
                            <a:gd name="connsiteX179" fmla="*/ 1663931 w 2371650"/>
                            <a:gd name="connsiteY179" fmla="*/ 591550 h 731520"/>
                            <a:gd name="connsiteX180" fmla="*/ 1662448 w 2371650"/>
                            <a:gd name="connsiteY180" fmla="*/ 606538 h 731520"/>
                            <a:gd name="connsiteX181" fmla="*/ 1648942 w 2371650"/>
                            <a:gd name="connsiteY181" fmla="*/ 677545 h 731520"/>
                            <a:gd name="connsiteX182" fmla="*/ 1678918 w 2371650"/>
                            <a:gd name="connsiteY182" fmla="*/ 677545 h 731520"/>
                            <a:gd name="connsiteX183" fmla="*/ 1692967 w 2371650"/>
                            <a:gd name="connsiteY183" fmla="*/ 604217 h 731520"/>
                            <a:gd name="connsiteX184" fmla="*/ 1695170 w 2371650"/>
                            <a:gd name="connsiteY184" fmla="*/ 583525 h 731520"/>
                            <a:gd name="connsiteX185" fmla="*/ 1521033 w 2371650"/>
                            <a:gd name="connsiteY185" fmla="*/ 548955 h 731520"/>
                            <a:gd name="connsiteX186" fmla="*/ 1479203 w 2371650"/>
                            <a:gd name="connsiteY186" fmla="*/ 569759 h 731520"/>
                            <a:gd name="connsiteX187" fmla="*/ 1490532 w 2371650"/>
                            <a:gd name="connsiteY187" fmla="*/ 510629 h 731520"/>
                            <a:gd name="connsiteX188" fmla="*/ 1460325 w 2371650"/>
                            <a:gd name="connsiteY188" fmla="*/ 510629 h 731520"/>
                            <a:gd name="connsiteX189" fmla="*/ 1428577 w 2371650"/>
                            <a:gd name="connsiteY189" fmla="*/ 677545 h 731520"/>
                            <a:gd name="connsiteX190" fmla="*/ 1458554 w 2371650"/>
                            <a:gd name="connsiteY190" fmla="*/ 677545 h 731520"/>
                            <a:gd name="connsiteX191" fmla="*/ 1469682 w 2371650"/>
                            <a:gd name="connsiteY191" fmla="*/ 619458 h 731520"/>
                            <a:gd name="connsiteX192" fmla="*/ 1506044 w 2371650"/>
                            <a:gd name="connsiteY192" fmla="*/ 573482 h 731520"/>
                            <a:gd name="connsiteX193" fmla="*/ 1521815 w 2371650"/>
                            <a:gd name="connsiteY193" fmla="*/ 591550 h 731520"/>
                            <a:gd name="connsiteX194" fmla="*/ 1520332 w 2371650"/>
                            <a:gd name="connsiteY194" fmla="*/ 606538 h 731520"/>
                            <a:gd name="connsiteX195" fmla="*/ 1506827 w 2371650"/>
                            <a:gd name="connsiteY195" fmla="*/ 677545 h 731520"/>
                            <a:gd name="connsiteX196" fmla="*/ 1536803 w 2371650"/>
                            <a:gd name="connsiteY196" fmla="*/ 677545 h 731520"/>
                            <a:gd name="connsiteX197" fmla="*/ 1550851 w 2371650"/>
                            <a:gd name="connsiteY197" fmla="*/ 604217 h 731520"/>
                            <a:gd name="connsiteX198" fmla="*/ 1553054 w 2371650"/>
                            <a:gd name="connsiteY198" fmla="*/ 583525 h 731520"/>
                            <a:gd name="connsiteX199" fmla="*/ 1521033 w 2371650"/>
                            <a:gd name="connsiteY199" fmla="*/ 548955 h 731520"/>
                            <a:gd name="connsiteX200" fmla="*/ 1171990 w 2371650"/>
                            <a:gd name="connsiteY200" fmla="*/ 519414 h 731520"/>
                            <a:gd name="connsiteX201" fmla="*/ 1142748 w 2371650"/>
                            <a:gd name="connsiteY201" fmla="*/ 519414 h 731520"/>
                            <a:gd name="connsiteX202" fmla="*/ 1136323 w 2371650"/>
                            <a:gd name="connsiteY202" fmla="*/ 551782 h 731520"/>
                            <a:gd name="connsiteX203" fmla="*/ 1119542 w 2371650"/>
                            <a:gd name="connsiteY203" fmla="*/ 551782 h 731520"/>
                            <a:gd name="connsiteX204" fmla="*/ 1115151 w 2371650"/>
                            <a:gd name="connsiteY204" fmla="*/ 575022 h 731520"/>
                            <a:gd name="connsiteX205" fmla="*/ 1131958 w 2371650"/>
                            <a:gd name="connsiteY205" fmla="*/ 575022 h 731520"/>
                            <a:gd name="connsiteX206" fmla="*/ 1121106 w 2371650"/>
                            <a:gd name="connsiteY206" fmla="*/ 631066 h 731520"/>
                            <a:gd name="connsiteX207" fmla="*/ 1118507 w 2371650"/>
                            <a:gd name="connsiteY207" fmla="*/ 654305 h 731520"/>
                            <a:gd name="connsiteX208" fmla="*/ 1148208 w 2371650"/>
                            <a:gd name="connsiteY208" fmla="*/ 680120 h 731520"/>
                            <a:gd name="connsiteX209" fmla="*/ 1167840 w 2371650"/>
                            <a:gd name="connsiteY209" fmla="*/ 677546 h 731520"/>
                            <a:gd name="connsiteX210" fmla="*/ 1167840 w 2371650"/>
                            <a:gd name="connsiteY210" fmla="*/ 677542 h 731520"/>
                            <a:gd name="connsiteX211" fmla="*/ 1172375 w 2371650"/>
                            <a:gd name="connsiteY211" fmla="*/ 653703 h 731520"/>
                            <a:gd name="connsiteX212" fmla="*/ 1160345 w 2371650"/>
                            <a:gd name="connsiteY212" fmla="*/ 654835 h 731520"/>
                            <a:gd name="connsiteX213" fmla="*/ 1149243 w 2371650"/>
                            <a:gd name="connsiteY213" fmla="*/ 643455 h 731520"/>
                            <a:gd name="connsiteX214" fmla="*/ 1151563 w 2371650"/>
                            <a:gd name="connsiteY214" fmla="*/ 625640 h 731520"/>
                            <a:gd name="connsiteX215" fmla="*/ 1161380 w 2371650"/>
                            <a:gd name="connsiteY215" fmla="*/ 575022 h 731520"/>
                            <a:gd name="connsiteX216" fmla="*/ 1189541 w 2371650"/>
                            <a:gd name="connsiteY216" fmla="*/ 575022 h 731520"/>
                            <a:gd name="connsiteX217" fmla="*/ 1194183 w 2371650"/>
                            <a:gd name="connsiteY217" fmla="*/ 551782 h 731520"/>
                            <a:gd name="connsiteX218" fmla="*/ 1166023 w 2371650"/>
                            <a:gd name="connsiteY218" fmla="*/ 551782 h 731520"/>
                            <a:gd name="connsiteX219" fmla="*/ 2182235 w 2371650"/>
                            <a:gd name="connsiteY219" fmla="*/ 724544 h 731520"/>
                            <a:gd name="connsiteX220" fmla="*/ 2244439 w 2371650"/>
                            <a:gd name="connsiteY220" fmla="*/ 701035 h 731520"/>
                            <a:gd name="connsiteX221" fmla="*/ 2244439 w 2371650"/>
                            <a:gd name="connsiteY221" fmla="*/ 700986 h 731520"/>
                            <a:gd name="connsiteX222" fmla="*/ 2328568 w 2371650"/>
                            <a:gd name="connsiteY222" fmla="*/ 551024 h 731520"/>
                            <a:gd name="connsiteX223" fmla="*/ 2296546 w 2371650"/>
                            <a:gd name="connsiteY223" fmla="*/ 551024 h 731520"/>
                            <a:gd name="connsiteX224" fmla="*/ 2248768 w 2371650"/>
                            <a:gd name="connsiteY224" fmla="*/ 644640 h 731520"/>
                            <a:gd name="connsiteX225" fmla="*/ 2237166 w 2371650"/>
                            <a:gd name="connsiteY225" fmla="*/ 551024 h 731520"/>
                            <a:gd name="connsiteX226" fmla="*/ 2205649 w 2371650"/>
                            <a:gd name="connsiteY226" fmla="*/ 551024 h 731520"/>
                            <a:gd name="connsiteX227" fmla="*/ 2228062 w 2371650"/>
                            <a:gd name="connsiteY227" fmla="*/ 674169 h 731520"/>
                            <a:gd name="connsiteX228" fmla="*/ 2218252 w 2371650"/>
                            <a:gd name="connsiteY228" fmla="*/ 693826 h 731520"/>
                            <a:gd name="connsiteX229" fmla="*/ 2186900 w 2371650"/>
                            <a:gd name="connsiteY229" fmla="*/ 700003 h 731520"/>
                            <a:gd name="connsiteX230" fmla="*/ 2182235 w 2371650"/>
                            <a:gd name="connsiteY230" fmla="*/ 724545 h 731520"/>
                            <a:gd name="connsiteX231" fmla="*/ 2141307 w 2371650"/>
                            <a:gd name="connsiteY231" fmla="*/ 548955 h 731520"/>
                            <a:gd name="connsiteX232" fmla="*/ 2060440 w 2371650"/>
                            <a:gd name="connsiteY232" fmla="*/ 636027 h 731520"/>
                            <a:gd name="connsiteX233" fmla="*/ 2098421 w 2371650"/>
                            <a:gd name="connsiteY233" fmla="*/ 680467 h 731520"/>
                            <a:gd name="connsiteX234" fmla="*/ 2140224 w 2371650"/>
                            <a:gd name="connsiteY234" fmla="*/ 658013 h 731520"/>
                            <a:gd name="connsiteX235" fmla="*/ 2137816 w 2371650"/>
                            <a:gd name="connsiteY235" fmla="*/ 669017 h 731520"/>
                            <a:gd name="connsiteX236" fmla="*/ 2097014 w 2371650"/>
                            <a:gd name="connsiteY236" fmla="*/ 707498 h 731520"/>
                            <a:gd name="connsiteX237" fmla="*/ 2063958 w 2371650"/>
                            <a:gd name="connsiteY237" fmla="*/ 700003 h 731520"/>
                            <a:gd name="connsiteX238" fmla="*/ 2059292 w 2371650"/>
                            <a:gd name="connsiteY238" fmla="*/ 724545 h 731520"/>
                            <a:gd name="connsiteX239" fmla="*/ 2096388 w 2371650"/>
                            <a:gd name="connsiteY239" fmla="*/ 731520 h 731520"/>
                            <a:gd name="connsiteX240" fmla="*/ 2143349 w 2371650"/>
                            <a:gd name="connsiteY240" fmla="*/ 717566 h 731520"/>
                            <a:gd name="connsiteX241" fmla="*/ 2169456 w 2371650"/>
                            <a:gd name="connsiteY241" fmla="*/ 661548 h 731520"/>
                            <a:gd name="connsiteX242" fmla="*/ 2180842 w 2371650"/>
                            <a:gd name="connsiteY242" fmla="*/ 604510 h 731520"/>
                            <a:gd name="connsiteX243" fmla="*/ 2183423 w 2371650"/>
                            <a:gd name="connsiteY243" fmla="*/ 582806 h 731520"/>
                            <a:gd name="connsiteX244" fmla="*/ 2141307 w 2371650"/>
                            <a:gd name="connsiteY244" fmla="*/ 548955 h 731520"/>
                            <a:gd name="connsiteX245" fmla="*/ 2150868 w 2371650"/>
                            <a:gd name="connsiteY245" fmla="*/ 602956 h 731520"/>
                            <a:gd name="connsiteX246" fmla="*/ 2148545 w 2371650"/>
                            <a:gd name="connsiteY246" fmla="*/ 614582 h 731520"/>
                            <a:gd name="connsiteX247" fmla="*/ 2111855 w 2371650"/>
                            <a:gd name="connsiteY247" fmla="*/ 655924 h 731520"/>
                            <a:gd name="connsiteX248" fmla="*/ 2091958 w 2371650"/>
                            <a:gd name="connsiteY248" fmla="*/ 630602 h 731520"/>
                            <a:gd name="connsiteX249" fmla="*/ 2135623 w 2371650"/>
                            <a:gd name="connsiteY249" fmla="*/ 571955 h 731520"/>
                            <a:gd name="connsiteX250" fmla="*/ 2152417 w 2371650"/>
                            <a:gd name="connsiteY250" fmla="*/ 587974 h 731520"/>
                            <a:gd name="connsiteX251" fmla="*/ 2150868 w 2371650"/>
                            <a:gd name="connsiteY251" fmla="*/ 602956 h 731520"/>
                            <a:gd name="connsiteX252" fmla="*/ 2362069 w 2371650"/>
                            <a:gd name="connsiteY252" fmla="*/ 651612 h 731520"/>
                            <a:gd name="connsiteX253" fmla="*/ 2335848 w 2371650"/>
                            <a:gd name="connsiteY253" fmla="*/ 622732 h 731520"/>
                            <a:gd name="connsiteX254" fmla="*/ 2304430 w 2371650"/>
                            <a:gd name="connsiteY254" fmla="*/ 651612 h 731520"/>
                            <a:gd name="connsiteX255" fmla="*/ 2330651 w 2371650"/>
                            <a:gd name="connsiteY255" fmla="*/ 680371 h 731520"/>
                            <a:gd name="connsiteX256" fmla="*/ 2362069 w 2371650"/>
                            <a:gd name="connsiteY256" fmla="*/ 651612 h 731520"/>
                            <a:gd name="connsiteX257" fmla="*/ 2357960 w 2371650"/>
                            <a:gd name="connsiteY257" fmla="*/ 651249 h 731520"/>
                            <a:gd name="connsiteX258" fmla="*/ 2330652 w 2371650"/>
                            <a:gd name="connsiteY258" fmla="*/ 676262 h 731520"/>
                            <a:gd name="connsiteX259" fmla="*/ 2308538 w 2371650"/>
                            <a:gd name="connsiteY259" fmla="*/ 651974 h 731520"/>
                            <a:gd name="connsiteX260" fmla="*/ 2335847 w 2371650"/>
                            <a:gd name="connsiteY260" fmla="*/ 626961 h 731520"/>
                            <a:gd name="connsiteX261" fmla="*/ 2357960 w 2371650"/>
                            <a:gd name="connsiteY261" fmla="*/ 651249 h 731520"/>
                            <a:gd name="connsiteX262" fmla="*/ 2338022 w 2371650"/>
                            <a:gd name="connsiteY262" fmla="*/ 655116 h 731520"/>
                            <a:gd name="connsiteX263" fmla="*/ 2342614 w 2371650"/>
                            <a:gd name="connsiteY263" fmla="*/ 668529 h 731520"/>
                            <a:gd name="connsiteX264" fmla="*/ 2338143 w 2371650"/>
                            <a:gd name="connsiteY264" fmla="*/ 668529 h 731520"/>
                            <a:gd name="connsiteX265" fmla="*/ 2333672 w 2371650"/>
                            <a:gd name="connsiteY265" fmla="*/ 655479 h 731520"/>
                            <a:gd name="connsiteX266" fmla="*/ 2327268 w 2371650"/>
                            <a:gd name="connsiteY266" fmla="*/ 655479 h 731520"/>
                            <a:gd name="connsiteX267" fmla="*/ 2324851 w 2371650"/>
                            <a:gd name="connsiteY267" fmla="*/ 668529 h 731520"/>
                            <a:gd name="connsiteX268" fmla="*/ 2320622 w 2371650"/>
                            <a:gd name="connsiteY268" fmla="*/ 668529 h 731520"/>
                            <a:gd name="connsiteX269" fmla="*/ 2327026 w 2371650"/>
                            <a:gd name="connsiteY269" fmla="*/ 634574 h 731520"/>
                            <a:gd name="connsiteX270" fmla="*/ 2338143 w 2371650"/>
                            <a:gd name="connsiteY270" fmla="*/ 634574 h 731520"/>
                            <a:gd name="connsiteX271" fmla="*/ 2347206 w 2371650"/>
                            <a:gd name="connsiteY271" fmla="*/ 643153 h 731520"/>
                            <a:gd name="connsiteX272" fmla="*/ 2338023 w 2371650"/>
                            <a:gd name="connsiteY272" fmla="*/ 655116 h 731520"/>
                            <a:gd name="connsiteX273" fmla="*/ 2338022 w 2371650"/>
                            <a:gd name="connsiteY273" fmla="*/ 655116 h 731520"/>
                            <a:gd name="connsiteX274" fmla="*/ 2338143 w 2371650"/>
                            <a:gd name="connsiteY274" fmla="*/ 638682 h 731520"/>
                            <a:gd name="connsiteX275" fmla="*/ 2330410 w 2371650"/>
                            <a:gd name="connsiteY275" fmla="*/ 638682 h 731520"/>
                            <a:gd name="connsiteX276" fmla="*/ 2327993 w 2371650"/>
                            <a:gd name="connsiteY276" fmla="*/ 651370 h 731520"/>
                            <a:gd name="connsiteX277" fmla="*/ 2335001 w 2371650"/>
                            <a:gd name="connsiteY277" fmla="*/ 651370 h 731520"/>
                            <a:gd name="connsiteX278" fmla="*/ 2342977 w 2371650"/>
                            <a:gd name="connsiteY278" fmla="*/ 644604 h 731520"/>
                            <a:gd name="connsiteX279" fmla="*/ 2338143 w 2371650"/>
                            <a:gd name="connsiteY279" fmla="*/ 638683 h 7315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Lst>
                          <a:rect l="l" t="t" r="r" b="b"/>
                          <a:pathLst>
                            <a:path w="2371650" h="731520">
                              <a:moveTo>
                                <a:pt x="1242411" y="294278"/>
                              </a:moveTo>
                              <a:cubicBezTo>
                                <a:pt x="1242411" y="321638"/>
                                <a:pt x="1233280" y="344523"/>
                                <a:pt x="1215305" y="362356"/>
                              </a:cubicBezTo>
                              <a:cubicBezTo>
                                <a:pt x="1191395" y="386091"/>
                                <a:pt x="1152606" y="399033"/>
                                <a:pt x="1105967" y="398675"/>
                              </a:cubicBezTo>
                              <a:cubicBezTo>
                                <a:pt x="1072495" y="398121"/>
                                <a:pt x="1038678" y="389985"/>
                                <a:pt x="1019545" y="378229"/>
                              </a:cubicBezTo>
                              <a:lnTo>
                                <a:pt x="1032291" y="311182"/>
                              </a:lnTo>
                              <a:cubicBezTo>
                                <a:pt x="1052571" y="322706"/>
                                <a:pt x="1088000" y="334337"/>
                                <a:pt x="1114431" y="334337"/>
                              </a:cubicBezTo>
                              <a:cubicBezTo>
                                <a:pt x="1136198" y="334337"/>
                                <a:pt x="1150862" y="324294"/>
                                <a:pt x="1150862" y="308183"/>
                              </a:cubicBezTo>
                              <a:cubicBezTo>
                                <a:pt x="1150862" y="293579"/>
                                <a:pt x="1140554" y="283373"/>
                                <a:pt x="1114225" y="270491"/>
                              </a:cubicBezTo>
                              <a:cubicBezTo>
                                <a:pt x="1072578" y="249666"/>
                                <a:pt x="1051741" y="223266"/>
                                <a:pt x="1051741" y="192152"/>
                              </a:cubicBezTo>
                              <a:cubicBezTo>
                                <a:pt x="1051741" y="130931"/>
                                <a:pt x="1103886" y="89559"/>
                                <a:pt x="1182121" y="89559"/>
                              </a:cubicBezTo>
                              <a:cubicBezTo>
                                <a:pt x="1223519" y="89559"/>
                                <a:pt x="1250469" y="99314"/>
                                <a:pt x="1265412" y="108904"/>
                              </a:cubicBezTo>
                              <a:lnTo>
                                <a:pt x="1252690" y="175819"/>
                              </a:lnTo>
                              <a:cubicBezTo>
                                <a:pt x="1240846" y="166918"/>
                                <a:pt x="1210743" y="154501"/>
                                <a:pt x="1177909" y="154501"/>
                              </a:cubicBezTo>
                              <a:cubicBezTo>
                                <a:pt x="1155107" y="154501"/>
                                <a:pt x="1140257" y="164051"/>
                                <a:pt x="1140257" y="180040"/>
                              </a:cubicBezTo>
                              <a:cubicBezTo>
                                <a:pt x="1140257" y="191509"/>
                                <a:pt x="1151620" y="201785"/>
                                <a:pt x="1175674" y="213510"/>
                              </a:cubicBezTo>
                              <a:cubicBezTo>
                                <a:pt x="1207014" y="229169"/>
                                <a:pt x="1242411" y="252350"/>
                                <a:pt x="1242411" y="294278"/>
                              </a:cubicBezTo>
                              <a:close/>
                              <a:moveTo>
                                <a:pt x="700127" y="90173"/>
                              </a:moveTo>
                              <a:cubicBezTo>
                                <a:pt x="589917" y="90173"/>
                                <a:pt x="506875" y="170652"/>
                                <a:pt x="506875" y="277377"/>
                              </a:cubicBezTo>
                              <a:cubicBezTo>
                                <a:pt x="506875" y="351082"/>
                                <a:pt x="555850" y="398675"/>
                                <a:pt x="631821" y="398675"/>
                              </a:cubicBezTo>
                              <a:cubicBezTo>
                                <a:pt x="664315" y="398675"/>
                                <a:pt x="695900" y="392721"/>
                                <a:pt x="716237" y="382823"/>
                              </a:cubicBezTo>
                              <a:lnTo>
                                <a:pt x="730160" y="309292"/>
                              </a:lnTo>
                              <a:cubicBezTo>
                                <a:pt x="702964" y="322774"/>
                                <a:pt x="681685" y="328310"/>
                                <a:pt x="656602" y="328310"/>
                              </a:cubicBezTo>
                              <a:cubicBezTo>
                                <a:pt x="628820" y="328310"/>
                                <a:pt x="599017" y="312324"/>
                                <a:pt x="599017" y="267701"/>
                              </a:cubicBezTo>
                              <a:cubicBezTo>
                                <a:pt x="599017" y="215119"/>
                                <a:pt x="636310" y="160549"/>
                                <a:pt x="698907" y="160549"/>
                              </a:cubicBezTo>
                              <a:cubicBezTo>
                                <a:pt x="717876" y="160549"/>
                                <a:pt x="733752" y="164314"/>
                                <a:pt x="747443" y="172102"/>
                              </a:cubicBezTo>
                              <a:lnTo>
                                <a:pt x="761069" y="100610"/>
                              </a:lnTo>
                              <a:cubicBezTo>
                                <a:pt x="745316" y="94092"/>
                                <a:pt x="722493" y="90173"/>
                                <a:pt x="700127" y="90173"/>
                              </a:cubicBezTo>
                              <a:close/>
                              <a:moveTo>
                                <a:pt x="2245494" y="330114"/>
                              </a:moveTo>
                              <a:cubicBezTo>
                                <a:pt x="2282274" y="330114"/>
                                <a:pt x="2314105" y="321118"/>
                                <a:pt x="2348811" y="300958"/>
                              </a:cubicBezTo>
                              <a:lnTo>
                                <a:pt x="2334727" y="374974"/>
                              </a:lnTo>
                              <a:cubicBezTo>
                                <a:pt x="2292814" y="396374"/>
                                <a:pt x="2243574" y="398697"/>
                                <a:pt x="2224343" y="398697"/>
                              </a:cubicBezTo>
                              <a:cubicBezTo>
                                <a:pt x="2142522" y="398697"/>
                                <a:pt x="2095748" y="353194"/>
                                <a:pt x="2095748" y="273749"/>
                              </a:cubicBezTo>
                              <a:cubicBezTo>
                                <a:pt x="2095748" y="227940"/>
                                <a:pt x="2112576" y="182038"/>
                                <a:pt x="2141886" y="147809"/>
                              </a:cubicBezTo>
                              <a:cubicBezTo>
                                <a:pt x="2174044" y="110240"/>
                                <a:pt x="2219003" y="89568"/>
                                <a:pt x="2268462" y="89568"/>
                              </a:cubicBezTo>
                              <a:cubicBezTo>
                                <a:pt x="2330362" y="89568"/>
                                <a:pt x="2371651" y="125530"/>
                                <a:pt x="2371651" y="178851"/>
                              </a:cubicBezTo>
                              <a:cubicBezTo>
                                <a:pt x="2371651" y="203510"/>
                                <a:pt x="2363628" y="223791"/>
                                <a:pt x="2347824" y="239192"/>
                              </a:cubicBezTo>
                              <a:cubicBezTo>
                                <a:pt x="2318261" y="268004"/>
                                <a:pt x="2245399" y="284151"/>
                                <a:pt x="2179041" y="271119"/>
                              </a:cubicBezTo>
                              <a:cubicBezTo>
                                <a:pt x="2175880" y="308509"/>
                                <a:pt x="2204027" y="330114"/>
                                <a:pt x="2245494" y="330114"/>
                              </a:cubicBezTo>
                              <a:close/>
                              <a:moveTo>
                                <a:pt x="2188658" y="214066"/>
                              </a:moveTo>
                              <a:cubicBezTo>
                                <a:pt x="2240269" y="214490"/>
                                <a:pt x="2269300" y="209269"/>
                                <a:pt x="2281969" y="196724"/>
                              </a:cubicBezTo>
                              <a:cubicBezTo>
                                <a:pt x="2295685" y="183096"/>
                                <a:pt x="2291390" y="153896"/>
                                <a:pt x="2257578" y="153896"/>
                              </a:cubicBezTo>
                              <a:cubicBezTo>
                                <a:pt x="2219535" y="153896"/>
                                <a:pt x="2195315" y="185085"/>
                                <a:pt x="2188658" y="214066"/>
                              </a:cubicBezTo>
                              <a:close/>
                              <a:moveTo>
                                <a:pt x="2051252" y="90173"/>
                              </a:moveTo>
                              <a:cubicBezTo>
                                <a:pt x="1941042" y="90173"/>
                                <a:pt x="1858000" y="170652"/>
                                <a:pt x="1858000" y="277377"/>
                              </a:cubicBezTo>
                              <a:cubicBezTo>
                                <a:pt x="1858000" y="351082"/>
                                <a:pt x="1906976" y="398675"/>
                                <a:pt x="1982946" y="398675"/>
                              </a:cubicBezTo>
                              <a:cubicBezTo>
                                <a:pt x="2015440" y="398675"/>
                                <a:pt x="2047025" y="392721"/>
                                <a:pt x="2067362" y="382823"/>
                              </a:cubicBezTo>
                              <a:lnTo>
                                <a:pt x="2081285" y="309292"/>
                              </a:lnTo>
                              <a:cubicBezTo>
                                <a:pt x="2054089" y="322774"/>
                                <a:pt x="2032810" y="328310"/>
                                <a:pt x="2007727" y="328310"/>
                              </a:cubicBezTo>
                              <a:cubicBezTo>
                                <a:pt x="1979945" y="328310"/>
                                <a:pt x="1950142" y="312325"/>
                                <a:pt x="1950142" y="267702"/>
                              </a:cubicBezTo>
                              <a:cubicBezTo>
                                <a:pt x="1950142" y="215119"/>
                                <a:pt x="1987435" y="160549"/>
                                <a:pt x="2050032" y="160549"/>
                              </a:cubicBezTo>
                              <a:cubicBezTo>
                                <a:pt x="2069001" y="160549"/>
                                <a:pt x="2084877" y="164314"/>
                                <a:pt x="2098568" y="172102"/>
                              </a:cubicBezTo>
                              <a:lnTo>
                                <a:pt x="2112194" y="100611"/>
                              </a:lnTo>
                              <a:cubicBezTo>
                                <a:pt x="2096441" y="94093"/>
                                <a:pt x="2073618" y="90173"/>
                                <a:pt x="2051252" y="90173"/>
                              </a:cubicBezTo>
                              <a:close/>
                              <a:moveTo>
                                <a:pt x="1843528" y="226669"/>
                              </a:moveTo>
                              <a:lnTo>
                                <a:pt x="1811816" y="392639"/>
                              </a:lnTo>
                              <a:lnTo>
                                <a:pt x="1727820" y="392639"/>
                              </a:lnTo>
                              <a:lnTo>
                                <a:pt x="1738736" y="335513"/>
                              </a:lnTo>
                              <a:cubicBezTo>
                                <a:pt x="1726954" y="371115"/>
                                <a:pt x="1698254" y="399290"/>
                                <a:pt x="1650105" y="399290"/>
                              </a:cubicBezTo>
                              <a:cubicBezTo>
                                <a:pt x="1591669" y="399290"/>
                                <a:pt x="1565259" y="347414"/>
                                <a:pt x="1565228" y="295498"/>
                              </a:cubicBezTo>
                              <a:cubicBezTo>
                                <a:pt x="1565188" y="236519"/>
                                <a:pt x="1588359" y="178113"/>
                                <a:pt x="1627168" y="139273"/>
                              </a:cubicBezTo>
                              <a:cubicBezTo>
                                <a:pt x="1659678" y="106745"/>
                                <a:pt x="1701634" y="89560"/>
                                <a:pt x="1748539" y="89560"/>
                              </a:cubicBezTo>
                              <a:cubicBezTo>
                                <a:pt x="1784225" y="89702"/>
                                <a:pt x="1810622" y="100031"/>
                                <a:pt x="1827163" y="120078"/>
                              </a:cubicBezTo>
                              <a:cubicBezTo>
                                <a:pt x="1851647" y="149747"/>
                                <a:pt x="1849638" y="194285"/>
                                <a:pt x="1843528" y="226669"/>
                              </a:cubicBezTo>
                              <a:close/>
                              <a:moveTo>
                                <a:pt x="1762661" y="188485"/>
                              </a:moveTo>
                              <a:cubicBezTo>
                                <a:pt x="1761636" y="167557"/>
                                <a:pt x="1750742" y="156274"/>
                                <a:pt x="1731209" y="156274"/>
                              </a:cubicBezTo>
                              <a:cubicBezTo>
                                <a:pt x="1689845" y="156274"/>
                                <a:pt x="1654009" y="227668"/>
                                <a:pt x="1654041" y="277317"/>
                              </a:cubicBezTo>
                              <a:cubicBezTo>
                                <a:pt x="1654052" y="308337"/>
                                <a:pt x="1665550" y="327655"/>
                                <a:pt x="1685554" y="327655"/>
                              </a:cubicBezTo>
                              <a:cubicBezTo>
                                <a:pt x="1717548" y="327655"/>
                                <a:pt x="1745105" y="294195"/>
                                <a:pt x="1754585" y="245198"/>
                              </a:cubicBezTo>
                              <a:cubicBezTo>
                                <a:pt x="1757813" y="228640"/>
                                <a:pt x="1763250" y="201459"/>
                                <a:pt x="1762661" y="188485"/>
                              </a:cubicBezTo>
                              <a:close/>
                              <a:moveTo>
                                <a:pt x="492406" y="226669"/>
                              </a:moveTo>
                              <a:lnTo>
                                <a:pt x="460693" y="392639"/>
                              </a:lnTo>
                              <a:lnTo>
                                <a:pt x="376698" y="392639"/>
                              </a:lnTo>
                              <a:lnTo>
                                <a:pt x="387613" y="335513"/>
                              </a:lnTo>
                              <a:cubicBezTo>
                                <a:pt x="375832" y="371115"/>
                                <a:pt x="347131" y="399290"/>
                                <a:pt x="298982" y="399290"/>
                              </a:cubicBezTo>
                              <a:cubicBezTo>
                                <a:pt x="240545" y="399290"/>
                                <a:pt x="214137" y="347414"/>
                                <a:pt x="214106" y="295498"/>
                              </a:cubicBezTo>
                              <a:cubicBezTo>
                                <a:pt x="214065" y="236519"/>
                                <a:pt x="237236" y="178113"/>
                                <a:pt x="276045" y="139273"/>
                              </a:cubicBezTo>
                              <a:cubicBezTo>
                                <a:pt x="308555" y="106745"/>
                                <a:pt x="350510" y="89560"/>
                                <a:pt x="397417" y="89560"/>
                              </a:cubicBezTo>
                              <a:cubicBezTo>
                                <a:pt x="433101" y="89702"/>
                                <a:pt x="459499" y="100031"/>
                                <a:pt x="476040" y="120078"/>
                              </a:cubicBezTo>
                              <a:cubicBezTo>
                                <a:pt x="500525" y="149747"/>
                                <a:pt x="498516" y="194285"/>
                                <a:pt x="492406" y="226669"/>
                              </a:cubicBezTo>
                              <a:close/>
                              <a:moveTo>
                                <a:pt x="411539" y="188485"/>
                              </a:moveTo>
                              <a:cubicBezTo>
                                <a:pt x="410513" y="167557"/>
                                <a:pt x="399619" y="156274"/>
                                <a:pt x="380086" y="156274"/>
                              </a:cubicBezTo>
                              <a:cubicBezTo>
                                <a:pt x="338722" y="156274"/>
                                <a:pt x="302887" y="227668"/>
                                <a:pt x="302918" y="277317"/>
                              </a:cubicBezTo>
                              <a:cubicBezTo>
                                <a:pt x="302930" y="308337"/>
                                <a:pt x="314426" y="327655"/>
                                <a:pt x="334431" y="327655"/>
                              </a:cubicBezTo>
                              <a:cubicBezTo>
                                <a:pt x="366426" y="327655"/>
                                <a:pt x="393983" y="294195"/>
                                <a:pt x="403462" y="245198"/>
                              </a:cubicBezTo>
                              <a:cubicBezTo>
                                <a:pt x="406691" y="228640"/>
                                <a:pt x="412127" y="201459"/>
                                <a:pt x="411539" y="188485"/>
                              </a:cubicBezTo>
                              <a:close/>
                              <a:moveTo>
                                <a:pt x="1559358" y="202421"/>
                              </a:moveTo>
                              <a:cubicBezTo>
                                <a:pt x="1559358" y="274528"/>
                                <a:pt x="1524738" y="348460"/>
                                <a:pt x="1462337" y="381725"/>
                              </a:cubicBezTo>
                              <a:cubicBezTo>
                                <a:pt x="1439414" y="393945"/>
                                <a:pt x="1417476" y="399076"/>
                                <a:pt x="1398411" y="399293"/>
                              </a:cubicBezTo>
                              <a:cubicBezTo>
                                <a:pt x="1367172" y="399291"/>
                                <a:pt x="1349660" y="387614"/>
                                <a:pt x="1339675" y="369610"/>
                              </a:cubicBezTo>
                              <a:lnTo>
                                <a:pt x="1317337" y="487670"/>
                              </a:lnTo>
                              <a:lnTo>
                                <a:pt x="1229398" y="487670"/>
                              </a:lnTo>
                              <a:lnTo>
                                <a:pt x="1304052" y="95023"/>
                              </a:lnTo>
                              <a:lnTo>
                                <a:pt x="1381506" y="95023"/>
                              </a:lnTo>
                              <a:lnTo>
                                <a:pt x="1372451" y="142685"/>
                              </a:lnTo>
                              <a:cubicBezTo>
                                <a:pt x="1394333" y="110853"/>
                                <a:pt x="1426741" y="89560"/>
                                <a:pt x="1463423" y="89560"/>
                              </a:cubicBezTo>
                              <a:cubicBezTo>
                                <a:pt x="1521623" y="89560"/>
                                <a:pt x="1559357" y="133667"/>
                                <a:pt x="1559357" y="202421"/>
                              </a:cubicBezTo>
                              <a:close/>
                              <a:moveTo>
                                <a:pt x="1467902" y="209082"/>
                              </a:moveTo>
                              <a:cubicBezTo>
                                <a:pt x="1467902" y="195105"/>
                                <a:pt x="1464602" y="161162"/>
                                <a:pt x="1432391" y="161162"/>
                              </a:cubicBezTo>
                              <a:cubicBezTo>
                                <a:pt x="1399638" y="161162"/>
                                <a:pt x="1371988" y="198477"/>
                                <a:pt x="1361269" y="255076"/>
                              </a:cubicBezTo>
                              <a:cubicBezTo>
                                <a:pt x="1357600" y="274427"/>
                                <a:pt x="1347332" y="332534"/>
                                <a:pt x="1387791" y="332534"/>
                              </a:cubicBezTo>
                              <a:cubicBezTo>
                                <a:pt x="1433981" y="332534"/>
                                <a:pt x="1467902" y="266966"/>
                                <a:pt x="1467902" y="209082"/>
                              </a:cubicBezTo>
                              <a:close/>
                              <a:moveTo>
                                <a:pt x="122511" y="161001"/>
                              </a:moveTo>
                              <a:lnTo>
                                <a:pt x="135047" y="95022"/>
                              </a:lnTo>
                              <a:lnTo>
                                <a:pt x="57600" y="95022"/>
                              </a:lnTo>
                              <a:lnTo>
                                <a:pt x="0" y="397876"/>
                              </a:lnTo>
                              <a:lnTo>
                                <a:pt x="87953" y="397876"/>
                              </a:lnTo>
                              <a:lnTo>
                                <a:pt x="111703" y="273006"/>
                              </a:lnTo>
                              <a:cubicBezTo>
                                <a:pt x="125707" y="199373"/>
                                <a:pt x="167951" y="169908"/>
                                <a:pt x="228071" y="179010"/>
                              </a:cubicBezTo>
                              <a:lnTo>
                                <a:pt x="245247" y="88676"/>
                              </a:lnTo>
                              <a:cubicBezTo>
                                <a:pt x="191123" y="83740"/>
                                <a:pt x="142846" y="114704"/>
                                <a:pt x="122511" y="161001"/>
                              </a:cubicBezTo>
                              <a:close/>
                              <a:moveTo>
                                <a:pt x="827930" y="392638"/>
                              </a:moveTo>
                              <a:lnTo>
                                <a:pt x="858223" y="233285"/>
                              </a:lnTo>
                              <a:lnTo>
                                <a:pt x="920576" y="392638"/>
                              </a:lnTo>
                              <a:lnTo>
                                <a:pt x="1015149" y="392638"/>
                              </a:lnTo>
                              <a:lnTo>
                                <a:pt x="950636" y="232019"/>
                              </a:lnTo>
                              <a:lnTo>
                                <a:pt x="1068043" y="95022"/>
                              </a:lnTo>
                              <a:lnTo>
                                <a:pt x="972037" y="95022"/>
                              </a:lnTo>
                              <a:lnTo>
                                <a:pt x="858750" y="230516"/>
                              </a:lnTo>
                              <a:lnTo>
                                <a:pt x="902570" y="0"/>
                              </a:lnTo>
                              <a:lnTo>
                                <a:pt x="815233" y="0"/>
                              </a:lnTo>
                              <a:lnTo>
                                <a:pt x="740583" y="392638"/>
                              </a:lnTo>
                              <a:close/>
                              <a:moveTo>
                                <a:pt x="1839859" y="600836"/>
                              </a:moveTo>
                              <a:cubicBezTo>
                                <a:pt x="1839859" y="643733"/>
                                <a:pt x="1810159" y="680372"/>
                                <a:pt x="1767287" y="680372"/>
                              </a:cubicBezTo>
                              <a:cubicBezTo>
                                <a:pt x="1735543" y="680372"/>
                                <a:pt x="1715912" y="658419"/>
                                <a:pt x="1715912" y="628492"/>
                              </a:cubicBezTo>
                              <a:cubicBezTo>
                                <a:pt x="1715912" y="585872"/>
                                <a:pt x="1745611" y="548956"/>
                                <a:pt x="1788483" y="548956"/>
                              </a:cubicBezTo>
                              <a:cubicBezTo>
                                <a:pt x="1822296" y="548956"/>
                                <a:pt x="1839859" y="573230"/>
                                <a:pt x="1839859" y="600836"/>
                              </a:cubicBezTo>
                              <a:close/>
                              <a:moveTo>
                                <a:pt x="1746898" y="627709"/>
                              </a:moveTo>
                              <a:cubicBezTo>
                                <a:pt x="1746898" y="644994"/>
                                <a:pt x="1755932" y="657157"/>
                                <a:pt x="1771426" y="657157"/>
                              </a:cubicBezTo>
                              <a:cubicBezTo>
                                <a:pt x="1793908" y="657157"/>
                                <a:pt x="1808872" y="626170"/>
                                <a:pt x="1808872" y="601088"/>
                              </a:cubicBezTo>
                              <a:cubicBezTo>
                                <a:pt x="1808872" y="588194"/>
                                <a:pt x="1802942" y="572170"/>
                                <a:pt x="1784850" y="572170"/>
                              </a:cubicBezTo>
                              <a:cubicBezTo>
                                <a:pt x="1760853" y="572170"/>
                                <a:pt x="1746898" y="604217"/>
                                <a:pt x="1746898" y="627709"/>
                              </a:cubicBezTo>
                              <a:close/>
                              <a:moveTo>
                                <a:pt x="2044503" y="600836"/>
                              </a:moveTo>
                              <a:cubicBezTo>
                                <a:pt x="2044503" y="643733"/>
                                <a:pt x="2014803" y="680372"/>
                                <a:pt x="1971931" y="680372"/>
                              </a:cubicBezTo>
                              <a:cubicBezTo>
                                <a:pt x="1940187" y="680372"/>
                                <a:pt x="1920555" y="658419"/>
                                <a:pt x="1920555" y="628492"/>
                              </a:cubicBezTo>
                              <a:cubicBezTo>
                                <a:pt x="1920555" y="585872"/>
                                <a:pt x="1950255" y="548956"/>
                                <a:pt x="1993127" y="548956"/>
                              </a:cubicBezTo>
                              <a:cubicBezTo>
                                <a:pt x="2026940" y="548956"/>
                                <a:pt x="2044503" y="573230"/>
                                <a:pt x="2044503" y="600836"/>
                              </a:cubicBezTo>
                              <a:close/>
                              <a:moveTo>
                                <a:pt x="1951542" y="627709"/>
                              </a:moveTo>
                              <a:cubicBezTo>
                                <a:pt x="1951542" y="644994"/>
                                <a:pt x="1960576" y="657157"/>
                                <a:pt x="1976069" y="657157"/>
                              </a:cubicBezTo>
                              <a:cubicBezTo>
                                <a:pt x="1998552" y="657157"/>
                                <a:pt x="2013516" y="626170"/>
                                <a:pt x="2013516" y="601088"/>
                              </a:cubicBezTo>
                              <a:cubicBezTo>
                                <a:pt x="2013516" y="588194"/>
                                <a:pt x="2007586" y="572170"/>
                                <a:pt x="1989494" y="572170"/>
                              </a:cubicBezTo>
                              <a:cubicBezTo>
                                <a:pt x="1965496" y="572170"/>
                                <a:pt x="1951542" y="604217"/>
                                <a:pt x="1951542" y="627709"/>
                              </a:cubicBezTo>
                              <a:close/>
                              <a:moveTo>
                                <a:pt x="1884855" y="510629"/>
                              </a:moveTo>
                              <a:lnTo>
                                <a:pt x="1853107" y="677545"/>
                              </a:lnTo>
                              <a:lnTo>
                                <a:pt x="1883083" y="677545"/>
                              </a:lnTo>
                              <a:lnTo>
                                <a:pt x="1915062" y="510629"/>
                              </a:lnTo>
                              <a:close/>
                              <a:moveTo>
                                <a:pt x="1400114" y="549208"/>
                              </a:moveTo>
                              <a:cubicBezTo>
                                <a:pt x="1353634" y="549208"/>
                                <a:pt x="1320326" y="586125"/>
                                <a:pt x="1320326" y="630031"/>
                              </a:cubicBezTo>
                              <a:cubicBezTo>
                                <a:pt x="1320326" y="659983"/>
                                <a:pt x="1339680" y="680120"/>
                                <a:pt x="1371196" y="680120"/>
                              </a:cubicBezTo>
                              <a:cubicBezTo>
                                <a:pt x="1387872" y="680120"/>
                                <a:pt x="1400923" y="676199"/>
                                <a:pt x="1408275" y="672445"/>
                              </a:cubicBezTo>
                              <a:lnTo>
                                <a:pt x="1413237" y="646349"/>
                              </a:lnTo>
                              <a:cubicBezTo>
                                <a:pt x="1408869" y="648803"/>
                                <a:pt x="1396488" y="655845"/>
                                <a:pt x="1379448" y="655845"/>
                              </a:cubicBezTo>
                              <a:cubicBezTo>
                                <a:pt x="1362668" y="655845"/>
                                <a:pt x="1351817" y="645247"/>
                                <a:pt x="1351817" y="626423"/>
                              </a:cubicBezTo>
                              <a:cubicBezTo>
                                <a:pt x="1351817" y="600079"/>
                                <a:pt x="1370162" y="573483"/>
                                <a:pt x="1399080" y="573483"/>
                              </a:cubicBezTo>
                              <a:cubicBezTo>
                                <a:pt x="1410312" y="573483"/>
                                <a:pt x="1417035" y="576590"/>
                                <a:pt x="1422249" y="579346"/>
                              </a:cubicBezTo>
                              <a:lnTo>
                                <a:pt x="1427004" y="554336"/>
                              </a:lnTo>
                              <a:cubicBezTo>
                                <a:pt x="1422592" y="552209"/>
                                <a:pt x="1412104" y="549208"/>
                                <a:pt x="1400114" y="549208"/>
                              </a:cubicBezTo>
                              <a:close/>
                              <a:moveTo>
                                <a:pt x="1228324" y="643733"/>
                              </a:moveTo>
                              <a:cubicBezTo>
                                <a:pt x="1225473" y="638812"/>
                                <a:pt x="1224438" y="630283"/>
                                <a:pt x="1224968" y="625893"/>
                              </a:cubicBezTo>
                              <a:cubicBezTo>
                                <a:pt x="1273517" y="626927"/>
                                <a:pt x="1307330" y="616582"/>
                                <a:pt x="1307330" y="584333"/>
                              </a:cubicBezTo>
                              <a:cubicBezTo>
                                <a:pt x="1307330" y="563137"/>
                                <a:pt x="1291585" y="548956"/>
                                <a:pt x="1266780" y="548956"/>
                              </a:cubicBezTo>
                              <a:cubicBezTo>
                                <a:pt x="1223404" y="548956"/>
                                <a:pt x="1195521" y="590263"/>
                                <a:pt x="1195521" y="628214"/>
                              </a:cubicBezTo>
                              <a:cubicBezTo>
                                <a:pt x="1195521" y="658949"/>
                                <a:pt x="1212301" y="680372"/>
                                <a:pt x="1247174" y="680372"/>
                              </a:cubicBezTo>
                              <a:cubicBezTo>
                                <a:pt x="1263709" y="680372"/>
                                <a:pt x="1282121" y="676139"/>
                                <a:pt x="1294703" y="668583"/>
                              </a:cubicBezTo>
                              <a:lnTo>
                                <a:pt x="1299850" y="641509"/>
                              </a:lnTo>
                              <a:cubicBezTo>
                                <a:pt x="1289613" y="648898"/>
                                <a:pt x="1274929" y="656627"/>
                                <a:pt x="1254138" y="656627"/>
                              </a:cubicBezTo>
                              <a:cubicBezTo>
                                <a:pt x="1242253" y="656627"/>
                                <a:pt x="1233220" y="652236"/>
                                <a:pt x="1228324" y="643733"/>
                              </a:cubicBezTo>
                              <a:close/>
                              <a:moveTo>
                                <a:pt x="1262919" y="571414"/>
                              </a:moveTo>
                              <a:cubicBezTo>
                                <a:pt x="1272483" y="571414"/>
                                <a:pt x="1278918" y="576309"/>
                                <a:pt x="1278918" y="584333"/>
                              </a:cubicBezTo>
                              <a:cubicBezTo>
                                <a:pt x="1278918" y="599549"/>
                                <a:pt x="1259033" y="603687"/>
                                <a:pt x="1228047" y="603410"/>
                              </a:cubicBezTo>
                              <a:cubicBezTo>
                                <a:pt x="1231680" y="588194"/>
                                <a:pt x="1244070" y="571414"/>
                                <a:pt x="1262919" y="571414"/>
                              </a:cubicBezTo>
                              <a:close/>
                              <a:moveTo>
                                <a:pt x="1695170" y="583525"/>
                              </a:moveTo>
                              <a:cubicBezTo>
                                <a:pt x="1695170" y="559781"/>
                                <a:pt x="1681216" y="548955"/>
                                <a:pt x="1663149" y="548955"/>
                              </a:cubicBezTo>
                              <a:cubicBezTo>
                                <a:pt x="1645210" y="548955"/>
                                <a:pt x="1628878" y="557828"/>
                                <a:pt x="1617217" y="575329"/>
                              </a:cubicBezTo>
                              <a:lnTo>
                                <a:pt x="1621873" y="551024"/>
                              </a:lnTo>
                              <a:lnTo>
                                <a:pt x="1594758" y="551024"/>
                              </a:lnTo>
                              <a:lnTo>
                                <a:pt x="1570693" y="677545"/>
                              </a:lnTo>
                              <a:lnTo>
                                <a:pt x="1600669" y="677545"/>
                              </a:lnTo>
                              <a:lnTo>
                                <a:pt x="1611798" y="619458"/>
                              </a:lnTo>
                              <a:cubicBezTo>
                                <a:pt x="1617223" y="589985"/>
                                <a:pt x="1634483" y="573483"/>
                                <a:pt x="1648160" y="573483"/>
                              </a:cubicBezTo>
                              <a:cubicBezTo>
                                <a:pt x="1660045" y="573483"/>
                                <a:pt x="1663931" y="580952"/>
                                <a:pt x="1663931" y="591550"/>
                              </a:cubicBezTo>
                              <a:cubicBezTo>
                                <a:pt x="1663931" y="596445"/>
                                <a:pt x="1663330" y="601885"/>
                                <a:pt x="1662448" y="606538"/>
                              </a:cubicBezTo>
                              <a:lnTo>
                                <a:pt x="1648942" y="677545"/>
                              </a:lnTo>
                              <a:lnTo>
                                <a:pt x="1678918" y="677545"/>
                              </a:lnTo>
                              <a:lnTo>
                                <a:pt x="1692967" y="604217"/>
                              </a:lnTo>
                              <a:cubicBezTo>
                                <a:pt x="1694254" y="598010"/>
                                <a:pt x="1695170" y="589228"/>
                                <a:pt x="1695170" y="583525"/>
                              </a:cubicBezTo>
                              <a:close/>
                              <a:moveTo>
                                <a:pt x="1521033" y="548955"/>
                              </a:moveTo>
                              <a:cubicBezTo>
                                <a:pt x="1505109" y="548955"/>
                                <a:pt x="1490452" y="555948"/>
                                <a:pt x="1479203" y="569759"/>
                              </a:cubicBezTo>
                              <a:lnTo>
                                <a:pt x="1490532" y="510629"/>
                              </a:lnTo>
                              <a:lnTo>
                                <a:pt x="1460325" y="510629"/>
                              </a:lnTo>
                              <a:lnTo>
                                <a:pt x="1428577" y="677545"/>
                              </a:lnTo>
                              <a:lnTo>
                                <a:pt x="1458554" y="677545"/>
                              </a:lnTo>
                              <a:lnTo>
                                <a:pt x="1469682" y="619458"/>
                              </a:lnTo>
                              <a:cubicBezTo>
                                <a:pt x="1475107" y="589985"/>
                                <a:pt x="1492368" y="573482"/>
                                <a:pt x="1506044" y="573482"/>
                              </a:cubicBezTo>
                              <a:cubicBezTo>
                                <a:pt x="1517930" y="573482"/>
                                <a:pt x="1521815" y="580952"/>
                                <a:pt x="1521815" y="591550"/>
                              </a:cubicBezTo>
                              <a:cubicBezTo>
                                <a:pt x="1521815" y="596445"/>
                                <a:pt x="1521215" y="601885"/>
                                <a:pt x="1520332" y="606538"/>
                              </a:cubicBezTo>
                              <a:lnTo>
                                <a:pt x="1506827" y="677545"/>
                              </a:lnTo>
                              <a:lnTo>
                                <a:pt x="1536803" y="677545"/>
                              </a:lnTo>
                              <a:lnTo>
                                <a:pt x="1550851" y="604217"/>
                              </a:lnTo>
                              <a:cubicBezTo>
                                <a:pt x="1552138" y="598010"/>
                                <a:pt x="1553054" y="589228"/>
                                <a:pt x="1553054" y="583525"/>
                              </a:cubicBezTo>
                              <a:cubicBezTo>
                                <a:pt x="1553054" y="559780"/>
                                <a:pt x="1539100" y="548955"/>
                                <a:pt x="1521033" y="548955"/>
                              </a:cubicBezTo>
                              <a:close/>
                              <a:moveTo>
                                <a:pt x="1171990" y="519414"/>
                              </a:moveTo>
                              <a:lnTo>
                                <a:pt x="1142748" y="519414"/>
                              </a:lnTo>
                              <a:lnTo>
                                <a:pt x="1136323" y="551782"/>
                              </a:lnTo>
                              <a:lnTo>
                                <a:pt x="1119542" y="551782"/>
                              </a:lnTo>
                              <a:lnTo>
                                <a:pt x="1115151" y="575022"/>
                              </a:lnTo>
                              <a:lnTo>
                                <a:pt x="1131958" y="575022"/>
                              </a:lnTo>
                              <a:lnTo>
                                <a:pt x="1121106" y="631066"/>
                              </a:lnTo>
                              <a:cubicBezTo>
                                <a:pt x="1119291" y="640351"/>
                                <a:pt x="1118507" y="647315"/>
                                <a:pt x="1118507" y="654305"/>
                              </a:cubicBezTo>
                              <a:cubicBezTo>
                                <a:pt x="1118507" y="668765"/>
                                <a:pt x="1127567" y="680120"/>
                                <a:pt x="1148208" y="680120"/>
                              </a:cubicBezTo>
                              <a:cubicBezTo>
                                <a:pt x="1155449" y="680120"/>
                                <a:pt x="1163449" y="679363"/>
                                <a:pt x="1167840" y="677546"/>
                              </a:cubicBezTo>
                              <a:lnTo>
                                <a:pt x="1167840" y="677542"/>
                              </a:lnTo>
                              <a:lnTo>
                                <a:pt x="1172375" y="653703"/>
                              </a:lnTo>
                              <a:cubicBezTo>
                                <a:pt x="1168933" y="654444"/>
                                <a:pt x="1164660" y="654835"/>
                                <a:pt x="1160345" y="654835"/>
                              </a:cubicBezTo>
                              <a:cubicBezTo>
                                <a:pt x="1152345" y="654835"/>
                                <a:pt x="1149243" y="650445"/>
                                <a:pt x="1149243" y="643455"/>
                              </a:cubicBezTo>
                              <a:cubicBezTo>
                                <a:pt x="1149243" y="638030"/>
                                <a:pt x="1150277" y="631571"/>
                                <a:pt x="1151563" y="625640"/>
                              </a:cubicBezTo>
                              <a:lnTo>
                                <a:pt x="1161380" y="575022"/>
                              </a:lnTo>
                              <a:lnTo>
                                <a:pt x="1189541" y="575022"/>
                              </a:lnTo>
                              <a:lnTo>
                                <a:pt x="1194183" y="551782"/>
                              </a:lnTo>
                              <a:lnTo>
                                <a:pt x="1166023" y="551782"/>
                              </a:lnTo>
                              <a:close/>
                              <a:moveTo>
                                <a:pt x="2182235" y="724544"/>
                              </a:moveTo>
                              <a:cubicBezTo>
                                <a:pt x="2205272" y="735202"/>
                                <a:pt x="2227976" y="730485"/>
                                <a:pt x="2244439" y="701035"/>
                              </a:cubicBezTo>
                              <a:lnTo>
                                <a:pt x="2244439" y="700986"/>
                              </a:lnTo>
                              <a:lnTo>
                                <a:pt x="2328568" y="551024"/>
                              </a:lnTo>
                              <a:lnTo>
                                <a:pt x="2296546" y="551024"/>
                              </a:lnTo>
                              <a:lnTo>
                                <a:pt x="2248768" y="644640"/>
                              </a:lnTo>
                              <a:lnTo>
                                <a:pt x="2237166" y="551024"/>
                              </a:lnTo>
                              <a:lnTo>
                                <a:pt x="2205649" y="551024"/>
                              </a:lnTo>
                              <a:lnTo>
                                <a:pt x="2228062" y="674169"/>
                              </a:lnTo>
                              <a:lnTo>
                                <a:pt x="2218252" y="693826"/>
                              </a:lnTo>
                              <a:cubicBezTo>
                                <a:pt x="2209437" y="708887"/>
                                <a:pt x="2194055" y="703972"/>
                                <a:pt x="2186900" y="700003"/>
                              </a:cubicBezTo>
                              <a:lnTo>
                                <a:pt x="2182235" y="724545"/>
                              </a:lnTo>
                              <a:close/>
                              <a:moveTo>
                                <a:pt x="2141307" y="548955"/>
                              </a:moveTo>
                              <a:cubicBezTo>
                                <a:pt x="2087828" y="548955"/>
                                <a:pt x="2060440" y="596239"/>
                                <a:pt x="2060440" y="636027"/>
                              </a:cubicBezTo>
                              <a:cubicBezTo>
                                <a:pt x="2060440" y="658505"/>
                                <a:pt x="2071550" y="680467"/>
                                <a:pt x="2098421" y="680467"/>
                              </a:cubicBezTo>
                              <a:cubicBezTo>
                                <a:pt x="2115094" y="680467"/>
                                <a:pt x="2130135" y="672336"/>
                                <a:pt x="2140224" y="658013"/>
                              </a:cubicBezTo>
                              <a:lnTo>
                                <a:pt x="2137816" y="669017"/>
                              </a:lnTo>
                              <a:cubicBezTo>
                                <a:pt x="2131634" y="698212"/>
                                <a:pt x="2116645" y="707498"/>
                                <a:pt x="2097014" y="707498"/>
                              </a:cubicBezTo>
                              <a:cubicBezTo>
                                <a:pt x="2085128" y="707498"/>
                                <a:pt x="2071200" y="704394"/>
                                <a:pt x="2063958" y="700003"/>
                              </a:cubicBezTo>
                              <a:lnTo>
                                <a:pt x="2059292" y="724545"/>
                              </a:lnTo>
                              <a:cubicBezTo>
                                <a:pt x="2067991" y="728825"/>
                                <a:pt x="2081655" y="731520"/>
                                <a:pt x="2096388" y="731520"/>
                              </a:cubicBezTo>
                              <a:cubicBezTo>
                                <a:pt x="2112297" y="731520"/>
                                <a:pt x="2130041" y="728417"/>
                                <a:pt x="2143349" y="717566"/>
                              </a:cubicBezTo>
                              <a:cubicBezTo>
                                <a:pt x="2157703" y="705706"/>
                                <a:pt x="2164765" y="686075"/>
                                <a:pt x="2169456" y="661548"/>
                              </a:cubicBezTo>
                              <a:lnTo>
                                <a:pt x="2180842" y="604510"/>
                              </a:lnTo>
                              <a:cubicBezTo>
                                <a:pt x="2182391" y="597530"/>
                                <a:pt x="2183423" y="589781"/>
                                <a:pt x="2183423" y="582806"/>
                              </a:cubicBezTo>
                              <a:cubicBezTo>
                                <a:pt x="2183423" y="560070"/>
                                <a:pt x="2167662" y="548955"/>
                                <a:pt x="2141307" y="548955"/>
                              </a:cubicBezTo>
                              <a:close/>
                              <a:moveTo>
                                <a:pt x="2150868" y="602956"/>
                              </a:moveTo>
                              <a:lnTo>
                                <a:pt x="2148545" y="614582"/>
                              </a:lnTo>
                              <a:cubicBezTo>
                                <a:pt x="2143377" y="639905"/>
                                <a:pt x="2127358" y="655924"/>
                                <a:pt x="2111855" y="655924"/>
                              </a:cubicBezTo>
                              <a:cubicBezTo>
                                <a:pt x="2097905" y="655924"/>
                                <a:pt x="2091958" y="644298"/>
                                <a:pt x="2091958" y="630602"/>
                              </a:cubicBezTo>
                              <a:cubicBezTo>
                                <a:pt x="2091958" y="605801"/>
                                <a:pt x="2109273" y="571955"/>
                                <a:pt x="2135623" y="571955"/>
                              </a:cubicBezTo>
                              <a:cubicBezTo>
                                <a:pt x="2146217" y="571955"/>
                                <a:pt x="2152159" y="577639"/>
                                <a:pt x="2152417" y="587974"/>
                              </a:cubicBezTo>
                              <a:cubicBezTo>
                                <a:pt x="2152675" y="593916"/>
                                <a:pt x="2151653" y="598375"/>
                                <a:pt x="2150868" y="602956"/>
                              </a:cubicBezTo>
                              <a:close/>
                              <a:moveTo>
                                <a:pt x="2362069" y="651612"/>
                              </a:moveTo>
                              <a:cubicBezTo>
                                <a:pt x="2363519" y="635661"/>
                                <a:pt x="2351798" y="622732"/>
                                <a:pt x="2335848" y="622732"/>
                              </a:cubicBezTo>
                              <a:cubicBezTo>
                                <a:pt x="2319897" y="622732"/>
                                <a:pt x="2305880" y="635661"/>
                                <a:pt x="2304430" y="651612"/>
                              </a:cubicBezTo>
                              <a:cubicBezTo>
                                <a:pt x="2302859" y="666233"/>
                                <a:pt x="2313613" y="680371"/>
                                <a:pt x="2330651" y="680371"/>
                              </a:cubicBezTo>
                              <a:cubicBezTo>
                                <a:pt x="2346602" y="680492"/>
                                <a:pt x="2360619" y="667562"/>
                                <a:pt x="2362069" y="651612"/>
                              </a:cubicBezTo>
                              <a:close/>
                              <a:moveTo>
                                <a:pt x="2357960" y="651249"/>
                              </a:moveTo>
                              <a:cubicBezTo>
                                <a:pt x="2356752" y="665025"/>
                                <a:pt x="2344427" y="676262"/>
                                <a:pt x="2330652" y="676262"/>
                              </a:cubicBezTo>
                              <a:cubicBezTo>
                                <a:pt x="2317118" y="676262"/>
                                <a:pt x="2307330" y="665387"/>
                                <a:pt x="2308538" y="651974"/>
                              </a:cubicBezTo>
                              <a:cubicBezTo>
                                <a:pt x="2309747" y="638320"/>
                                <a:pt x="2321951" y="626961"/>
                                <a:pt x="2335847" y="626961"/>
                              </a:cubicBezTo>
                              <a:cubicBezTo>
                                <a:pt x="2349260" y="626961"/>
                                <a:pt x="2359169" y="637836"/>
                                <a:pt x="2357960" y="651249"/>
                              </a:cubicBezTo>
                              <a:close/>
                              <a:moveTo>
                                <a:pt x="2338022" y="655116"/>
                              </a:moveTo>
                              <a:lnTo>
                                <a:pt x="2342614" y="668529"/>
                              </a:lnTo>
                              <a:lnTo>
                                <a:pt x="2338143" y="668529"/>
                              </a:lnTo>
                              <a:lnTo>
                                <a:pt x="2333672" y="655479"/>
                              </a:lnTo>
                              <a:lnTo>
                                <a:pt x="2327268" y="655479"/>
                              </a:lnTo>
                              <a:lnTo>
                                <a:pt x="2324851" y="668529"/>
                              </a:lnTo>
                              <a:lnTo>
                                <a:pt x="2320622" y="668529"/>
                              </a:lnTo>
                              <a:lnTo>
                                <a:pt x="2327026" y="634574"/>
                              </a:lnTo>
                              <a:lnTo>
                                <a:pt x="2338143" y="634574"/>
                              </a:lnTo>
                              <a:cubicBezTo>
                                <a:pt x="2343218" y="634574"/>
                                <a:pt x="2347085" y="638320"/>
                                <a:pt x="2347206" y="643153"/>
                              </a:cubicBezTo>
                              <a:cubicBezTo>
                                <a:pt x="2347327" y="647624"/>
                                <a:pt x="2344185" y="653425"/>
                                <a:pt x="2338023" y="655116"/>
                              </a:cubicBezTo>
                              <a:lnTo>
                                <a:pt x="2338022" y="655116"/>
                              </a:lnTo>
                              <a:close/>
                              <a:moveTo>
                                <a:pt x="2338143" y="638682"/>
                              </a:moveTo>
                              <a:lnTo>
                                <a:pt x="2330410" y="638682"/>
                              </a:lnTo>
                              <a:lnTo>
                                <a:pt x="2327993" y="651370"/>
                              </a:lnTo>
                              <a:lnTo>
                                <a:pt x="2335001" y="651370"/>
                              </a:lnTo>
                              <a:cubicBezTo>
                                <a:pt x="2338747" y="651370"/>
                                <a:pt x="2342010" y="648470"/>
                                <a:pt x="2342977" y="644604"/>
                              </a:cubicBezTo>
                              <a:cubicBezTo>
                                <a:pt x="2343702" y="641583"/>
                                <a:pt x="2341285" y="638683"/>
                                <a:pt x="2338143" y="638683"/>
                              </a:cubicBezTo>
                              <a:close/>
                            </a:path>
                          </a:pathLst>
                        </a:custGeom>
                        <a:solidFill>
                          <a:srgbClr val="000000"/>
                        </a:solidFill>
                        <a:ln w="12192" cap="flat">
                          <a:noFill/>
                          <a:prstDash val="solid"/>
                          <a:miter/>
                        </a:ln>
                      </wps:spPr>
                      <wps:bodyPr rtlCol="0" anchor="ctr"/>
                    </wps:wsp>
                  </wpg:wgp>
                </a:graphicData>
              </a:graphic>
            </wp:anchor>
          </w:drawing>
        </mc:Choice>
        <mc:Fallback xmlns:a="http://schemas.openxmlformats.org/drawingml/2006/main" xmlns:a14="http://schemas.microsoft.com/office/drawing/2010/main" xmlns:a16="http://schemas.microsoft.com/office/drawing/2014/main" xmlns:arto="http://schemas.microsoft.com/office/word/2006/arto">
          <w:pict w14:anchorId="06CB67D4">
            <v:group id="Group 16" style="position:absolute;margin-left:-54pt;margin-top:21.25pt;width:115.75pt;height:42.35pt;z-index:251636736" coordsize="14701,5375" o:spid="_x0000_s1026" w14:anchorId="7B2B2FD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MNvfZTUAALckAQAOAAAAZHJzL2Uyb0RvYy54bWy8nVtvJUdyoN8X2P9A8NHATtf90piWodXs DBYY2IJnFrYfj9jsbmLZPNzDI7XkX+8vKjOrIvIcsiK1gPUgNpkVeY2IjHv+8R9//fp488v96eXh +PThtv5DdXtz/3R3/Pjw9PnD7f/5+5//x3R783I+PH08PB6f7j/c/nb/cvuP3/33//bHb8/v75vj l+Pjx/vTDZ08vbz/9vzh9sv5/Pz+3buXuy/3Xw8vfzg+3z/R+Ol4+no48+vp87uPp8M3ev/6+K6p quHdt+Pp4/PpeHf/8sJf/xQab79b+v/06f7u/M+fPr3cn28eP9wyt/Py/9Py/5/k/+++++Ph/efT 4fnLw12cxuF3zOLr4eGJQdeu/nQ4H25+Pj1cdPX14e50fDl+Ov/h7vj13fHTp4e7+2UNrKaustX8 5XT8+XlZy+f33z4/r9vE1mb79Lu7vfunX/5yev7b848nduLb82f2YvlN1vLrp9NX+cksb35dtuy3 dcvufz3f3PHHuhureuxvb+5o69uxn8awp3df2PgLsLsv/+ttwHdp2HdmMt+eQY+XbQde/v924G9f Ds/3y8a+vGcHfjzdPHz8cNsOtzdPh69g6b+AN4enz4/3N/xt2Zjlu3WbXt6/sGOv7tFUtWkb0j51 /Qi6hm2K/6bfdbWH98+nl/Nf7o9fb+QfH25PzGBBqMMvf305h0/TJzLuy/Hx4eOfHx4fl1+EWu5/ eDzd/HIAz3/6XMuk6dx89fgk3z4dBSo0y1/Y57Sa5V/n3x7v5bvHp3+5/8S2cMbNMpGFJLdBDnd3 90/nOjR9OXy8D2P3Ff+l0dO0lrksHUrPnxh/7Tt2kL4MnaS+wyzj9wJ6v1D0Cly9NbEAvEIsIx+f zivw14en4+laB4+sKo4cvk+bFLZGdumn48ffQJrTMfCTl+e7Pz9wbH89vJx/PJxgIJw0TPH8z/zv 0+Px24fbY/zX7c2X4+k/rv1dvgerab29+QZD+nD78v9+Ppzub28e//cT+D7XXSccbPllQaHbm5Nu +Um3PP389YcjuFDDfp/vln8CfDo/pn9+Oh2//iu883sZlabD0x1jf7i9O5/SLz+cA6OE+97df//9 8hlc6/lw/uvT357vpHPZVUHLv//6r4fTc8TdM0j/T8dEY4f3GQqHbwXy6fj9z+fjp4cFv7d9jfsN vQtL+i8g/HpMhP/n0/29XDY3dU73Mt+X578e7/7vy83T8YcvsIf771+eIVPZB8EXmSrMRJhEmPcr PKIbmqbpbm+uMNOqGueeIxNm2tbVNC+zUFzi7ufAJWQ2aVu5dD7CI+RPnz9GBnZ3fHp6eTjf/xsn ++nrIxj5D+9u6qZrurq++XbTtGM99On2y4H+XQM1c9eM082Xm7Gt++Y1kH9j0mqcum+rfn8cDdQO TdsPu+M0epy66udh3B9HA7XzNIz97jitHqeq575zrEcDtePUNPPuOODBtm9VC4jjfDRQW9f11OyO ww29jVPDSlrHOBqobbu2HXfH4QpV4/TVNDT756OB2mqqp3Z3HChWjVN3TeM4Hw3UjFXHXu/hNeLr Nk7V12Pn2DcDNDfQze44sx6HA60bxzgaaJr7fh/dak3adTP0Xe04HwsFW6q63QXVmrjrpm+GudrH BAuFNFk71qTJu67Hca5mx0gGCvKu9pGh1gQOEVVN7+A+Fmqqqq7a3z1N4qypH8bOsSYN1dRtXztG 0kTuviFqDeW9IjSZj1VVN57N00AzqsY+a5DbfKXZvhom2P3ulWeAmnFsx31eV2s6H1qhWsdAGsh5 GdWa0Lm5ub4dA2mgdmqmZn/ruN+3rRvbqh4cNGuA2mpu5n1212juMPTDUDnYkAFqmwkJaZeQGk3m /SwYtL91BqgZRlTc/YE0bxhmeKRnIA3EZvfdPrsT0XFF77EbucodK9JA9djU7Pfe1ddoGh+Huhoc bNUA1RhoPGekadzLGBoN5GMMjWYMiODstoOpGqgWmqj3L79GE3nTdtPkEbsNVFtVc78vdzeayhuE tLHx4J2Gasdu5nbZQ4dW8wbRYBAI9xHPQAm7m/f5aquZQ8M2jN3kGMlAwcAdtNRq7tDUXT1Ng2Mk DYUBbELe2N09TelNM0xogY6RNBQS3rCPEK2m9KDnOW4lA1WP09Tvc7xW8weQHIXHQU4Z1Fw7bgsx zK0sr6kR8DxSuIUa0ZMcx/S7WESroZwsojUsQhAPat8VUzKorhr2VeZWE3vTIFJ7GLmBAmTkcPeQ XOxT2zkhHPdYDnbXZKCwHGD12B/JELt39zoL5dq9ThN7gwaIKuNYk4by3U6dpvV66lEUHMKXgXLK rZ1mEfU8Ib87uJ6BcgqunWER1TBi5XFsnoZySq6dYRHYEJrJIfUbKKfo2mlix6Y/um5cA+WUXTvN IjBBVZg5HLunoRbhdV/U6wyLqDDit56RNJRTesXoqFhENU9yp+2yCAPlFF/FjroxoxqDikfaM1CL /Lp/Efaa2N0swkD5WERvWUTX9o1n8zQUoscA+9/j5L1hEUivU+1gEQaqnZuhdYykiZ2jRYpwsL1e Q3lH0iwCQ8IEN3KgnoZq276v99XoXrMIMbRjqHaMpKHaGT16X73tNbHX/dBzvztG0lANtu15X67s LbE3mCE8IxkoDsphvxk0i8DgOvWg0S6LMFAiKu9v3qA5BNYbluTQaCyUXAD7mzdoDlFPTsI1UE7C HTSx1+MAuTvEfws1Tez5LosYDIvAO4Sm5jgmA9UPjUPzHDSxQ06dS/w3UCIZYfnZY3uDJnYQvO97 h0pjoNpmHHrH7mlix77b9R55ZdBQGDAQ3vbXpIndjxEGyokRmti7uUG+diCEBnIi+ag5RDdgmHLQ rQFyXhmj5hDtyM3p4HkWyHcLjppBcDMN3DK7LM8C+a6mUfOHBjMlvsP9gTSQ82YaNaGLacWDDBbI dzFJ8NEm541D5fHUGqDady+Nmjm0mMw8pmQD5LuWRk3knSzIIRAZIFix51YaNY176dUAeelV0zgR CK4LfdRAaPieO2nSjKFFg/aY8wwQMpTnSpoMY6jw2jsYgwFy3kiTYQytz29vgXwX0qRpvKtal33S ADnvo0kzBi8yGCAvMmjGUOMdbz0WtklDNRUhM/sK4KQ5Q83OSaTELlc1UO2E7rMvNhBWuDE7+Nbk iucxUAv/3tdhJs0c6rbFAujQYQxUO8we989kCB0xzbd7Gqrjxhz3Bf5Zs4eaWBs2cP+cDJR3JM0f 6hYW7rEazhoKe4/DYztr/lCDRTi8HUvSUM6BNH+oW8zBuAh2cXw2UB1+j30cnzWDgJrajn3YH0lD +S7aWZN6YBAOsjVQTgZBHJ8i227Ag+EQuwwU2lXliPOaDYPo2qb1BJRZqKEmxGBXr5gtgxiIJnLo fwaq6ftq3Df2z5rUwXEifDyop6HatunbfQcGBr/fc1AWzHlSdaWpHW7Ue3zEGRT81RGbgLdfL6vt q86B6BZKuMQ+UtSVJvge4dUhu1og70Ca3l2DaADEd66MXRzHbqc2biI418GJLJB7JMMiCPmqXENp KIxrBFw4FqV5BAbDanSQU11pKPHBOiI7CGFW+8eV0fgQT0PhGXWdlCZ3PzUZKCc1mXBIzIZz68E/ A7XYH/ZtN/is1f7hE2w8V6GFQhgVX9ie6QsHiRpqxo3Bru/euhbKvSrNJOBofU2shmMsDeYeS5M9 vGXwGP2J8VGb0bTkZu17MtBrFRD2jqnyRMhYMCf3Iz1hEyhmUos8CgfXuobyMXQTGAkGjr0L2TWz aEgGwH20j4Ga7JGQekR6B1ZoqH0dgCgQtQnIy9CHZxQN5RjFBEWOiP/EtO+vxUB5MdyERRI7j0/V Q00GjHt6gjB2j8hERmJMHpvJI0kYMOgC9cExlib3eqz72RWr3miwoZkwbDnG0vQu8U+d77w0WN+J 2uEYy7AJ/3lpMPd5aYrHlzZg8PXgoQbDIDY6ItwI51aERRg+0QqeG8SADT3nvO+nIbpDjzVV0wRG OehLgw1IMJPjDjYhluAGhkgPXzJgZH8i0e3jhgmX9J+XAfOeVxZm2ZEC4eFRBsyLhybQsp7Hevbk H9UGzMs3Ws0ACC+s8OI5cMOAefmGjZucWVXj4YcGzMs3bORk5T6v38M3TOwkoUd17wk9qg2YGw8N 35jRGT2GBExQigV4+YaNn6wkRcbDowyYl29kEZTT7Ao3x6ir1uXlGzaG0n1eBsx7XiaKMtjiPfRl wMhMGhzZkVwhajMIiiTlw0NfBoz8Dcne3JVtTCgl6yIT0cMPDZh7LC041LNYbT33l4nBdO+hZgAk rS0ZDPt3pYndJESoqRx3pQmohH0TR+ihLwM2YMXgdtg/L80AYAdI9q6xNBh3Cs5Sx1hacGAP0fpd OK/BJITahYeaAeA4x4brwnkNNojZ3KGy2sDKdpw7T6oF6KrIknCXybMuG1oJ58Xl5biXDRjxTOIN 2MUNE1wJS8V27pHZDFg/krjjGcvIG2QiNy5rhgnm7DEiEYS9vy7DN8jMJ5vUs4cajJim1qPrmRhL P98wYF6+0WuFA+vd1HpySXDWazzsWlyHjj3UDICxutkTyYhaosdq+omgo/3z0gwAPyATdOGhBoO6 Wte6NAPAGzOQmOTBDQ3mlUVNtCWMt+9dua8GDBmbuKD9PcwCLrsRvcixLgPm1R1MyGVNYoTPDG/A BpycHr5hgy6bGbuN57wM2NDBix183gZrNqT9tx47gAGTNN3GoZubwEs/LRuwwUnLJvQSnCcQx2P7 MmCYHDoXHmoGgJ43uYJ+ahOz6aXlQTMA2UOfx86ADQTxeHw0g2YABXuowbx7aIIw6wFFxWXjNWAQ V+8IlcFiqBh2PZCg77qXDdjCDx26gwnFrAdJUfHINgaMdLnWoxOZEE489TWJDA5+aMBIYyC0aZ/3 moBMLLAdJTk8Y1l5wzmW0VMw/rvCepfic2v8p1f/MmGZpC6RR+nhGwbMPZbhGwRXjC4brInoHEhe cmSDY500ON+RtuO5UwyYV+61AZrQl8+mZ8Cw6RMDso+HNkaTe8inpxgw7EoklzrGsnwDq77L9mWi O724YSI1uSqcd4oBc49l9JSB/CJP7SwcSgqlCEYWzrYr99p4TTefN2BePm8iNvHnEU7i4YcGzMvn Tcwmqf9YRVxjaT2lpwaCp1STidrk7qq4Hhy814B5bUQmbpOYO+w2HvuGAXOPpQUHLHxTT62dfXuU CRP14ryJ3awlycaT0FMbMPdYhm90BL96cisw/mn6cvJ5G/aJ9RB3gGMPDdjC5x2+URvDCX3hNPeM pfmGl8/b2E/qDRK84hlLyxtePm8COcUCi1HPM5YWU9y4oRkA+Q+ij3rG0mDusYy8wfUqxTz26cvE gHr5vAnn5Con0sOFh1pM8fJ5Gwbq5vMGzMnnl1K9q1CJxFZjQdzfQwtGdp5HryS2SDEAIo/IP3HI 2BbMPZbxp+Cvw7jsWZcGQ3cgSXtXBoB2zbqkhqaDli2YeyzNAIh/w2HpwPmm0mDoX54QV/zJZl0t C3OdlwZzj6UZgNQwcKXRNZUGQ/H1lIlpbIAnKf8EZ3twQ7MbknOl8uuefIgvyexhR9K/aw81mNN3 Qzi2GQsh25NQZ8EW3rtvn0f2/F1jGbBlLAd9mdhQeBRuIse9DAqpKaIRiYVz97xMcChxhJiWXGNp vgFuYLlxjGX5hiQmeniUKbOJ/bBzZGFjf1absbANTwkACzY0/eAo6UkZWDMWKb4e+7wF8/INE+kJ KcN7PfzQgLnH0gwAXwBV1FznpcG8fN6U3AQPqRvpGkvzDfdYmm8g9RJ77cJ5DSZpUkjmu/RlAj9x SZHn6bBHNQaMKpWVh75M4GfBWJpv4Heklp9jXZoBEEftK/eDC1WRCuflsVVyPAqI5D74jSMewIK5 x9J8gz0kmcRzf5nanUPXufiGKanJdClT4lqXZjfudWnBAfSCs7nwUIO5x9IMgCOfXDEwjY0XJQvf Uc6Izg1uQMyefEwLhjl6Ippln5Y1A4BvUPjaozuYeFHoiyCY/bFM4KefRxmwhUc57mUT+CkVHXBn O+RDA+bVv0zgJ+Is5g3PHhowMj2qZt9WSfy/xg34mqR87+rLFgxZlKxOx3kZviEVxD1xDhTXVFOk UCSBi46xNAOgGvjoquHFJafHAnkd9t7GBH4iOnMXOewAFmysKNm6b5+HAaoJghutT/8yYG76MnyD 5yakuLUDNzSYm74M36jmoSU63TGWBguPdOzjhgn8hJYpHOzh8waMOAwiAhxjacGhgV13ZEnsr8vE i1LFCtbhGEsLDvDDCmL2jKXBYDZIHI6xDN9A6HXlqaPMKPQlo49rzzGWZgB+3mvjRSU/xcHnTeAn 6gdFVDx4aMDgvJ5cmMYEfrKuyfXOigUbxK7v0JdNCU7UYAwcHnnegBHriDrqOC/NAOCHThuRqfhJ HKyUxd+VN2zxTkLaqT/iwXnNN4jfcOGGCfyUh01cRZAaA0YOoafeOPnwilD8eGjAvHhoAj+5lrhW PPzQgA3kEpChtnteJvATMYKYIA99GTCekBrxjOyPZfgGdUgwzzlwwxTydK9LCw6sC3e7R44y8aJL nN5+7DcWF40b/vPSYO51GXmjJVTXE1NB9qqaImNJVPD+eRm+seyh5/4yZUBJlycQzjGWZgDk6JJd 4cJDDca6XLRsAj8Dznt0BwPGqqgntL8uE/iJOOs8LwPmPS8T+Mm6JvEg7Ms2Bow7BUuWY11acEAl aLj4PGNpMIlNdcSYEWWvkFfWhYjoGUuDucfK+EZLooRnLA3GHhKM4dhDzQCwR41UJPKMpcHcY2kG wFgINx5+aOJF3Xto+QbXlw8PNZh7LM0AZA8rT44PxKtQiuwUXvXYPy8T+OnHQwPmHsvIG/KSiqeU FlWD9bp4V48aMbt83gR+Br7hoS8D5uUbJvDTz6MMmHsszQAKzkuDofdK5Mz+HmoGwFhUBfbINqb0 p3sszQAE50n1dfANGy9K6XBHDjjZ9gqhWBfV+D18w4Bxf/nG0gxA7pTZE4tF7LuaotixHQ8CsmcK qAA3NNhyXpa+eB11ff/08CU8lnx4f/frU3wTlX/xuC1PZofXgp+PL/IqtX4glcdW06//nt4uBkoe VN0BhvQ1cHo32AeMzUEDN/HRYR8wl7oGbouAoTYN3BUBQ3UauC8Chow0cHre1rdm6EIDLw+Nc/o+ YDBWA09F0wYFNfBcBCzOfQ3N7+F5ad/ExV9vwMuwTDz3BrwMz8SrbsDLME386wa8DNfEZW7Ay7BN 3NkGvAzfpPSRAS/DOPFVG/AynJM6RQa8DOvENazB+b0E68RJbMDLsE4cuAa8DOvElWvAy7Auvq69 MnV+L1p7hnU4YIvAM6zjpcIi8Azr8HcWgWdYh+ezCDzDOrySJeDiWNQHx+9F4BnW4TssAs+wDndg EXiGdTgGi8AzXofTrgg8wzr8cEXgGdbhkSsCz7AOb1kReIZ1FEwpAs+wjhooJeDiltJYx+9F4BnW 4XkqAs+wjuIjReAZ1uEfKgLPsA6XTxF4hnV4cYrAM6zDn1MEnmEdvpYi8AzrcJ8UgWdYhyOlBFyc Ghrr+L0IPMM6/BZF4BnW4YooAs+wDu9CEXiGdTgMisAzrMMHUASeYR3egCLwDOuw1BeBZ1iH8b0I PMM6HtYqAReTuMY6fi8Cz7AOq3cReIZ1GLKLwDOso5ZBEXiGdVipi8AzrKPiQBF4hnUUESgCz7AO O28ReIZ1pPoXgWdYhzW2BFwMqhrr+L0IPMM6bKZF4BnWYQYtAs+wDstmEXiGdeTEF4FnWIf9sQg8 wzpMikXgGdZhJSwCz7AOw18ReIZ1mABLwCV9W2MdvxeBZ1hHhnYReIZ1JF0XgWdYRx51EXiGdaRG F4FnWEe2cxF4hnXkPReBZ1hHTnIReIZ1pBkXgWdYR+ZwCbgk/2qs4/ci8AzryO8tAs+wjpTdIvAM 60jeLQLPsI583CLwDOtIsS0Cz7COB1CKwDOsI6O1CDzDOnJbi8AzrCPvtAR8eUNEo538oayDDPHk qZCyDjLUkwdAyjrIkE8e9ijrIEO/mgTNsg4yBJS3OMo6yFCQ1MnCDjIklHczymaQoaG8oVHWQYaI NQmQRR1cOCyKPRY5JuLDKJtBjol4Mco6yDERP0ZZBzkm4sko6yDHRHwZZR3kmIg3o6yDHBPxZ5R1 kGMiHo2yDnJMxKdR1EHuxKBWa2EHOSbi1yibQY6JeDbKOsgxEd9GWQc5JhZ6M2rJHzMXS6E/g5Jw eQeFmCgpW3YGhZgo6Vu2g0JMlOQq20EhJuaODZKfyo5R0qDMDAp9G0stfNtBISZKnpPtoBATJQvJ dlDIEyW1yHZQyBMlzch2UIiJkgRkOyjERKkEbzsoxEQp7247KMTE3NlBElkZJkpijZlBob9jKcpu OyjEREmBsR0UYqLktdgOCjFRklVsB4WYKIkrtoNCTJS0EttBISZKrojtoBATJW/EdlCIibkDRMqC F11tkqphZlDoAyH/JO+gEBMlqcLOoBATJVPCdlCIiZL+YDsoxERJhbAdFGKiJCrYDgoxUbIPbAeF mIgLJOugEBNzpwgFSsowUYL/zRIK/SKUYc07KMREKetsZ1CIiRKybzsoxEQpwGw7KMREqapsOyjE RAl9tx0UYqLUP7YdFGKiBKnbDgoxMXeUUN+4DBMlnNzMoNBXQh2gvINCTJTAbzuDQkyUosG2g0JM lBBt20EhJkrcte2gEBMlmNp2UIiJEiFtOyjERImWth0UYmLuPCEZugwTpaCtmUGh/4QiG3kHhZgo pWftDAoxUerJ2g4KMVGKxNoOCjFRCsbaDgoxUcq52g4KMVFqtNoOCjFRCq/aDgoxMXeoSHnVIjlR SqSaGRT6VHgELu+gEBOlBqqdQSEmSmFT20EhJkq1UttBISbKa/K2g0JMlAKhtoNCTJRiobaDQkyU Up62gzJMXOpz6g7kDyWYuBTdtB2U2RMbeYnddlCGiUt5TNtBGSYuNS9tB2WYuNS/tB2UYSJpdfke lGHiUqnSzqAME5fyk7aDMkxcikPaDgoxMfexSOXIIkzM00KkrmNZBzkmFvpYqCiUHWOhj4VyH3kH hZiYp4dIrcSyPcgxsdDHQi38fAmFmJgniVCzpnAJGU9sCn0sSw1Bg8qFPpbmIlWk0MeyVPuzMyjk iRfpIoU+FopwZcdY6GNpch+L/KEIE3MfS1OaNZL7WKROXtkMsttZit+VdZBjYmHuCCUoslMo9LE0 uY9F/lC0BKkfZzCxMIOErNa8g8LbOfexSOm3siVkcqLUcyvrIOeJhZkkS302u4mFmJj7WJrCbJIm 97HIH4r2IPexNIU+FsoiZXhQ6GNp5AVbs4mFWSVLmTHbQSEm5j4WitIWbmKOiYW5JUuVL7uEQjkx 97E0hfkllOzIT6GQJ+Y+FooAlW1i7mORUlpFqJz7WKSsVlkHOSYWZpo0uY9F/lA2g/x2Lsw2aXIf i/yhbAY5TyzMOFmKQRlULsw54bnRDBMLs06a3Mcifyjag9zH0hT6WChXlC2h0MdCUau8g0I5Mfex NIX5J0tZJHOMhRkoTe5jkT+UnUKOiYVZKE3uY5E/lM0gx8TCTJSlEJDdxEJMzH0sVCAqW0LuY5Ea PkV7kPtYqCNV2EEuJxbmpPBGTEYLhVkpvF+ed1CIibmPpSnMTFnq3Bg8KMxNWarQ2A4Kb+fcxyIl ahQehNoisYzM6f7ufPP44fbx9ub84fZ8e3P6cHu6vfnpw+1PAnN4/3w4S/WZ9M+bbx9ul1rtcoN/ +XAbKvPeSvPX4y/3fz8uH56lFg2lAREYA3fkyWFZV5jF9uHdzz893P3P+/94Daylrm6QkplI7JSn s6IPqOXd+aASb62UqZKHbNg/qidSMzQt3Ax0dVheLKPkcgCdBmqbxvWHYYnJ4AGu0MqjSSGHfh2W eGxeHYyt07DlQu0PW1FHOQ07TzyFY4atKBoVfW7tJE8p21Z5fChOmbeLNsXUDPv4ZLaXN/B4TjjM VarFJhJPn13dnIqnaSN7AZw3TO08pom67qHLlqLLC+vdNqemPGcccG0VJDSztL/Fw+Ylpzqa1ynl fNGx1PANlydl6EAxM6mlwm9srSZ57zHSgGPYreNmlkqLtuOuoizfsloedOdxdttKHFk0m7BP3ebS 2R8WVOjjYcvr7eEKXLex4n2qqH/xWgLvoJthVStuIYkgcq9Wg7YVr52ajkl2mKK3T+osZ1vBU+fR TrY2+k6WJVBjc9nEFXJdKtoA7wwujRQkCyHqWyMPYMTqP+QQzFsqhdnghM2Ja0C+0V9Hee9pNSam z65iH+rxFAPieJuCZ7HNxmDaHmPEH0W8+5CVss6yHsdZXmiCEW2tvq3hvTnJrrCgW8cU14+hTTXv bAS152orNLnp92Zzrq5Wqvanjnm+NmRXbB1TBTiGreMtGjNGJCXT49WN/Zzp+7EPrwdF9ZfVCl8K CbzrsPoKgdcHLfFqq75g7PruHo8v91DD5Q1FuXwePA94xqISh3j7furhw3UGlGYkry1GCYQImSFQ 4ZVGhIR2Ewt2z0Z1K5sbWPbabc/zn5H58nhNuHtSI4+kQaLLCtu10YWGA29NRUfEBrl2O/e8/hG7 RUo0LIOHXJKxjJdFps1obdaZKC8Q6NhWEty23NuVvEYQESh9ZU80wlCMPUaHyZ0UJMV1hrwKEaMc kBd4Kk7T7kCB/+ix3Bp9u9JMvOkW5nnRbY9gEDGjraUyqh5TNaKbgPNuEtGQvP8XeNe6Tt46jE43 NrAPdpi1cYY/Rk6yNrrWySMIvP2zrPOy25FLL4aowoIy/jx2I9d9gAQxtly7t05/IB8tMkveLF/Z x5un3/VtLIQ2d6CM3usRz0cMbZATMRf0KzRvEex1lkHPbHLgV9Tm5F3LeI5vMw28DqBoDpbOCYM+ RT6jILeU8NerwVY+TVGObnmgajORvLGlmOyp9BrOvuUBklWPemtPYcANJZEDevNQhyUplo4slFp5 /8eIebi7eJwuHLwwjC1L1czS7nMgZDymvFsURbUVdN0cVszToWFSnLkV83BZr63UjmelbroyoOhI 4bJch+VZyj6RADRv1RB5qyKJRbyXPW25iI7Vjh0F6wOFyBNghjXhdoSzhm1EMApGiHVOlHXuosS7 NrroGXSoUIiWQVfItVt5eysaVFk0GpRFP9U6TlR79u+w6pgdjHLBNixPGcUUKHn/y2pcYD0qTdgm HB0S6+SVaCEnXrSKiiel94OIuA4LBbcx5KaZOjiqWW2N3JbE7BH9qACfRLJMqill560EhUMaASsS 5Mo49KSushVLL2/wJUHHaE0FOXkZNW7XHl9iUpH1AsZr7GYzaILjLFgDtciHixwVyRZeMSe2jfq7 OZf3aUCeUYnXM5oZjwLZjkUVD8Oiz095Ky84RjVpa/VRAcTVx2ytDXQ9A2mMIo+8EmtlXCIYrm+w +4SQ1WFzy2autxLTfvuA5N3JKnrNVqg0Y2a5Kt6X8qZuLRQ4NeilxAmHgr0nY0gucqKwo4rnrb7z qdCV4IeLGLiKq2m1EBA12eMtOedSJ+FXY+JwbrGTiKmaxxvDgF65k0gxFMMgrlwKnvA56OI1EZHI vHG9llcB0rU5vEgx88ZUmOsKmjYH3EWNineoCJ/WUqRaF+nTz0x1x9gVMvGTw0YJDpO6FBTZKe6y MKmt1bVajpN7MPDwDTStlnPjbcok2eYiKKxKHuRcdoq8AZ8MitgFd4jXsgih6Zp7U2CCc3XxthAp 1EiaaLaYr8I0LkiXrbnKDbzcpJ7Y9vXyxFaU7qmNnaSJB25dI0KiE0XawkWUANJn6Wf8HCxdNR04 /+7n7cRqQ+8tBoykS6de7brWMQYMmAFI7lqLswOMJLXO6ITmakJg4V3YxAxSqwu16h4zQ7y3EATy jnvU9uhVRAThqXt9NdXSmraduW/FVHbvPAHlDllWy1NMYv1Sl2mN6NDGYdG96rCBCd/RqBHCIka3 8L60vXZb7W9xkwcxTUdQeGSIVlg7RhHlIYllUiIX2j1G7EZUso2+LeYx8mQFnXg10WhnoKG847F0 SzWYKjM4TrLUqEAKu0xeA7s4+1tCcYxUMTiiFpXHKChQjLw9GIbFWmSv91fpyQ70ugBWy/NEUejk mNk5OV52ayNI21WigYHVBsKpMd4EB/p2PDxWH7k6+CMapMYZnC/wurCitdV3QMPEg6CRb6+g67CY WFE0l45RW3lBxQwrrauIzBxWT+s+DQholIF4mSk36A+8x5FMWQwbwhm2SfGwXeIHa6tvtfKmY1Ih V9C1Y2gisRIkFy48s1ogMbCFveDDEooXOTWGE8M0sNbajgdu6SRc89if5QevoZNFotfxUd6Xjw4r gi737wceu0DYX5YJg9nj9y1IkRwzjq+xJcV94N0P3+WAiWmKogNaZHY3wJjr5FK64OANVq+Yo7Wx dxeesGOrP+2yW3kaOOpvF/eC2APSbpddC4uyFtHr4lZAK14ekxUvwsWlACLzpGeg/rI7QR5Fi8FD zDq7EjCyi6IuMvjFjdDCVCF30+baWXx3UrcrAGb3AZjfRX388jroZJFhNvC6ktsA0ZOLPGzPxWXA xc1dERov7oLXSMdNemBrvDYLbgKxAEYiubwIQGQ8oWG+F+ya59lwhGaNrmPhBTRspRlk4otthbE7 HPblJUCjOMTkQEW3LLgDBDKGRF9eARhCeQBu6ZbXiLIbAJPm6kheG33rxJvxercz9srA+S7Zf1e1 yeKG3aiE+4sNJvrZL5k/HszkecKdlvF+giau4o8X/3Ag4rWOh4OBMbhn2KgdUUSDwRRCoHzCBnkU dYziEwZprgtzmbFJcpsLPvCqHo5saXWdDU/wcelGLYCjyARU+A08IHSMf4V/agmIk0shJguvL5CL eY8vJZUvoMYMWPNwND6iuB5uLyt4tS0ydeAtrbzeuOzFxWqT7hMlPYgkbRHK67BGd6XP0s/4OcZ4 VrfMwPM574QlyQplf3W6pU7TzzSXCQ9v2FXP1/LWd9TFoaNVtE2dWsRMQ8ww/SjH47MM0bErNtFN ima4uGXqDpWEFZRfMyCpOB8t5Drmgt8BR+u2HUKE4LVW0hk3orGLe13gYtaYjgMzRSqPXtp9qlNg iJ4iiGoE7wYoLVlQeE/TalJdK6bxZbk80htbL/DQrmA9nk0bWkHXzUDkmqOuyj+64KveWnkQOCrQ uAsiTTqHxaeSLMo4CkM2z9YxLCYJfQjHIUlka8XkE1fLV7HVNyyoSHDVslEb6NqxOgJEZQg/O4Lr 52q39Q3EQBOO7jsOSYxagTVu3DjRUToawl8CmgptJlNd+ij9DB9v27n/bWRn8+LaDXNInaWfoVNe so7R7Qh84gd+62Nk8zE6rLBLYDnLvrbbFJeIay05ponwsR5apB/oICI1LN8on1ylVQxEE0+Ni/PC vCRFYmEnWKtdE5wxB0Y+glMxu+twG0VxC9+f9S7Vrxy23YXXkQXrxyodiWKVrB+vIQseAHxny9q4 gKNRA5pIB5p+hn2fMTuul6nqPX2VfsZTwhyPHSVQjZ5M+iz9jJ1zo0RLBvbnavWcpa/Sz9Q5nrno L95H3ZlXS6N4sf8xezImxZpo0DX5NU0g/YzTlrCnQBrpGk8fpJ/hQ65MtnjZjbc/BF/QXV/fttdP H18YiknYcdjktOaobcdvESnupQbrICdjhxZ7GzbPZT7LQ+T2DkESaaKYv7X6uOqIMh+PcANdueoo htZwdeGZxK5iuKpuhZ4K3Lu1AsUygwZjO+56Md4LtWPzwaZpW8U0F85ma/WtFkIj4Oi1jtUR9Lxh b33or56rPc03EGPsxGIXzhCFa4032EEMDYZ318ZOYBRDUUgnxK5ae+k44lAK6x0I/g2tvq2Chwnf ljPYQFfEmCr0yjgsfvogCF9thb9vRfL3rYuqY8zpWaRIzSPmqPrh/PAKZcNisU5hdP3a6lztsIi3 C8atoOt69BHgya2zTX7lXL2IgVOU2NOA0AUcw4BdcAxRSafUKf/IKGxGOIzWt43sfVuFk6y+YDbr Vsn1FO1SVziGbi3kGAr0CseQGyUOu/GEbVKsNcZtbK2u1aJGDBJVdJ0V6SO45Bi61ZyrFzFEl+gj uuM4cHMMDXbJMWbCCKMAcYWwCQpIcXxbq2urasltiI6BDTSdAfhIFEJkRRccw7SWcQwNeskxxN7Y R8PaxhPSpNCLsFsGu8XW6lwtfpB0lVxyDH0ElxxDt+pzdSPG4pwKxgvUzWHNGtmuEiv3EAyC8TbI z0SuioX8TX0ARyaSS2D+js8l1jxGppnppEm8cSnipJIAzEBf0PilsGw3JUpLbU/QbA62HiuiK9kV odMJRdfq46p1QNkJvkvfoWtQYnrZIrZxGxaTUgwe42esCL+14gKJCLO1OoedUOHibXvZsfj5ov6A ZgQZmkkR55Iy6iS+az15u63ppOL24iZJ8d8YLzCkZehigRMQF300KQyEu3L5mM0hzCKaI7AJi+PS tBK7Gb17W6tzc8RpmwSVy45x2NcR8YMOaYZVraTQsou0OodVoHjAswQjnrgXU06QJ7C15nuBaBUv lTG1+obFxcBd9lrHWFqJ0YytRA3kSq8EVcfWGaP41dXmqEAKFPrxshI0hVWdSZ9dRwVUaNSBAETY ZIaSWM5Tl2gN1jpA4ON1jmAHeoOlYF+QwH0ZnND2qEmxuxtztF1F9GXKmK4CGPlSoebUSr3sXBdN 5zANRjDoK/uacJCE+BBE5DtQDC5khYVhkTVyaxoBSNHTQpABhgIzbLu1gvhiqvWjrwIl/SDL98Mx lBzmm8C07QV214S+q3rmXC0xwevRX2h2CDxYfwPaYIcNOfDrsKqVmGOcrv7ValCOJ/CztWP8OETz hiO4FJWxO+G/yFqdqyX+PsZgbFL2NuyWeSd8O4Rnba0zdqmIjpjrA8JdDJuoMOGwyGCBsQyERa8q ZvrsOuITnRu9lsKiQ3TENg/i8eMbFZJzk+EnNFMnslhbL2Z5fVgJL4oLXEG3YbGExSwdCdcKbGdr fYXE7UBv8QhkpuiMRS+OEWLMe49HcINyEoGtJ7BtVuOUHKpI2IREG2IlGG9tLSRWDTpLbILtGD4f jVoDGQLoZvqKE2trtJzSyvXhpxqC8JM8cylZkxrekff36l68ssHuEyKsUPT7ZasJq1u9kTsnpMF6 LN/WJThIdray/1ghZIARpvtR+FoSkrM5GyNGJLwB2SJGXCwMM+tYvPBBRCE6jIQ6c0KYT1K1PsLi 21WYt8MmEk4DEswebyvJNV0D99Nn6Wf8nPgM9KCwm57PyXyMkUQedQHtVqKTlhvXoS5g2xuTIQwL z5oMleZsF54WzC5FKVfSN7PQP2TUjTCTRLUSJmyNAOSIqqnVx6XwIKcIHTT8XJADY5IZhTD+Ge1X k55u5UKFMbuvZwNKfHKGTwN3fWTzGGPyvRggzSgQk8C6+h/stqbNTtsLwidTg+cIN2bmQhCukFhc gVigaEDjANIk7NTSlJhQDBbsZ9QeK8xqQp9muJzd+le4hx3ojQtCyDky1Y2g9y+IJfAqitgrC1nx kNwc+ESkQkjSzrkbkYXj5UJyRggmvMDStGVxk+gSlhG61JaA9Fn6mT7nDogRVVc19fxzvFExRt9z zBJlGU/M9Tl+2hjlh9rq5APwsWTJuMIHkFW4ATdKtwSJlSKl7S3EvLRe7LDFkbhxXEbJqbeBrgcL tuBaCsNe8gHdWsgHDOgFH6BVCssufPeSD/RgU3INuPkAW4S9IHTp4AOYYVYrs+dzScmKkrabD4hO EGXMK3xAch0Tl7jkA6ZVSRH2jO1v6cRVxyJJWPZDdJc8g7qIJ5eEzoyvcg870BvsBwcZbvPQPaSx 6jqb9JNRKn6elGFLiNsGkD5LP+PiqMqChSf0D2oHvVIx5PxzFKjkd3F9juE66nG4cXfiH0iUoPtE tI7PyfOJgU+SOL+mSaY5201OCyb7NAaeEMSNym2uC/JqiIEJWI8RIMti0a2YQEJ4j49taFAk81BT bWUbOCUouhGGvbTr4cAR28hC3Wurc1jYcJRkN1vjNqxIS0lcm8EEuxco99HjsTBxl5WIgA8DlDhr OpP0M50GMdEx+A4BRfTcIBmlz64fIe7TpOewvFD0Uy2qS9F+WObRGLJFoftETrm2evcSm0UOug3L jZP858T8ZIIa6sTaSmp9iUahQYkOzpzR6PY4DgJugK6hStw2Kcgv5t8MTR+TFi5WmzY7nQlGgGTV 8RAtClLMIEFr2adxeFLSnD0cRKp7vMGfXmed3MToCeG8JOZxrQ27sc5r2IWxoZdaeUJtWOTkNQQl yhM2MKZ0WQKkYmZQ2m+xDRIBG2CRUwPu7ey3BSLdMdFZOpb0MxwP4ThrQqRD4ZMwhz5GOLk+l/jU yGs6AhaTqpImkX7GyUC95N8tC3b1XoGEUSre1z7Z7Cm5kyTCFM3Scod8Mpx48jvO5A3nG/nKcRPb GghoxG9hjSaSRYobOx4oAXQWGWrcHPHuxzYupR6u6XXZLHO0TMaF9NlbGI2NLd5OBboId8diargu opCcC7eKEsZMwK2xKelWAsKk6MG1JV7dWdUxBmsUIkNIRP6l/DBuJqI2bSuBqtEAvLVeENLVYQm4 r6IrdwNdKZQNxP+8HChesOjF2FqpoJA8BujxGEOvrTadVKQBbOYpGRfjh1QNslh6fZaY1KLfUnJj rZMBuYYkh4R22F2NfogXZS2zReRlSd4qqECqciDvDXRdPmeCnzxiu4Ty2zPBxhGlMz+2U0xRKkAt 3FSY8AW2XzGiSfo/dbkiEEWaMsxhtxNNcuWFtyC2NUgodFzh2urFHLhlZAUr6NoxmJMyJQmyk9Qp jnlrxesSOZskKK6yqD18+1vCHzTrqO6PRGSEoNutY7JgY0negVKWtiQYNkzU5RhMMRAjsiDKxWpz hCW2Kpl4sEOsluD02fVZUvwrnglKUF5Xhis9RfmjjGfWVm5i1So8/SpZvTLsBooFzgZ6sXxyF6PR 40L5kjy+q+zSDvQWv5XakfEyJOBsrUC6SRBpy9JRIhAkEZFMoAttyo68ApFKkkQ4lD2L7agGKf8H rEeKtGgnekVkZ2vrxflfHRYuImMtWsUKuqIdNVMTsWNtIA3TDKtbW/h8kvLtQPa3uFoNSmhtiKBf h62JYEjWbDTfICdvrRSBTcLg2upbLRkdm239smP09BhVCzHGhNltWELO63BARKhu5bfs+uxv6Wyp VRn1G8IzqVVgthHdGK1nOQIMGqIIGZbyCvbZgd5AX0qobCFcpCukU9rQ13YV54weKAUNFsRgw0MJ 9HUzxEmdbPYIw9iV9JxJCSb2MsCurb4TQveHc2Sg27DgSlRKmN7FpBBhkh2cPV1Xatdnf0urxYef AqrhJcF1vg0rVWvDCSFMIOxmq8WcpvzFKRvEDmR/S8OKkho4l0gpIWR6G5bYu3QE4I/NFMKwef1c 7UBvIQZlcKMbhPlLKEiQWPYQAxtFkq8p2ZFdy5gSJAVoQRtJeM8RYymhaVu9iEHAVMSpKx1v8QuU HCAH1p6QRPNGWJA61FxwDguDTP7SlkASY/ZDC4OJxKMnWiMnEiGDhMup1TksuJDO5krHUu8k0eYY cwo2tHnlXP2IgeIfc4i5bJBCLxAju/C4nCWfcjlWghNWl2X6LP1MWE8+aTKSuD4nsTMSCYastfR5 6jX9TL2jt6fr2vU5t3U8Qs9kILq0N67PSY2PkhkGnxXz0pzTzzR3tTPXPrdHmIDIGUyUsQJt2EDc SCx2gUh8gcCUlEzGU6kOe13VeWVY2H7EboTTTCSBDyCTBJQgry/nEoJhkaFqDLMDXW7OVbRMn73F 6vS+Isxd3oGpk7SnWHWiA59d2wDSZ+ln+hx7UHKQk/If5FMoPX2WfqbPqciQIoyufW63YQWiMFfc 7xVIHTORz0Fpw73NmVsGiOyWhEvsOSHBzcuJWE6kPmKIbKQbptC12tqyTwv+bJPKtv0V7IrVnJmP PE2wRFyubxQsk3w5/+X++FX0rJfj48PHPz88Pi6/nD7/9MPj6eaXA88diOUFrTVcYeazxyd54gDX mGigd4fnD7efHg/n5YGDp6P0FUSX08v5T4eXL6G3pYOwhV8fzven0O3jE5P79vzy/uX5x9N3f5R/ /XT8+NuPp5vT+fGHo8zi9ubwdPflyJsLd+fTMhv56tvL8wL5+f23z/Kvw/vPp8Pzl4e7Px3OB/37 8tX7++b45fj48f703X8CAAD//wMAUEsDBBQABgAIAAAAIQCrR6eG5QAAABABAAAPAAAAZHJzL2Rv d25yZXYueG1sTI9Pb8IwDMXvk/YdIk/aDdKWsaHSFCH254SQBpMQt9CatqJxqia05dvPPW0X61m2 n98vWQ2mFh22rrKkIJwGIJAym1dUKPg5fE4WIJzXlOvaEiq4o4NV+viQ6Di3PX1jt/eFYBNysVZQ et/EUrqsRKPd1DZIPLvY1mjPbVvIvNU9m5taRkHwKo2uiD+UusFNidl1fzMKvnrdr2fhR7e9Xjb3 02G+O25DVOr5aXhfclkvQXgc/N8FjAycH1IOdrY3yp2oFUzCYMFEXsFLNAcxbkQzFudRvEUg00T+ B0l/AQAA//8DAFBLAQItABQABgAIAAAAIQC2gziS/gAAAOEBAAATAAAAAAAAAAAAAAAAAAAAAABb Q29udGVudF9UeXBlc10ueG1sUEsBAi0AFAAGAAgAAAAhADj9If/WAAAAlAEAAAsAAAAAAAAAAAAA AAAALwEAAF9yZWxzLy5yZWxzUEsBAi0AFAAGAAgAAAAhAAgw299lNQAAtyQBAA4AAAAAAAAAAAAA AAAALgIAAGRycy9lMm9Eb2MueG1sUEsBAi0AFAAGAAgAAAAhAKtHp4blAAAAEAEAAA8AAAAAAAAA AAAAAAAAvzcAAGRycy9kb3ducmV2LnhtbFBLBQYAAAAABAAEAPMAAADROAAAAAA= ">
              <v:rect id="Rectangle 36" style="position:absolute;top:803;width:4572;height:4572;visibility:visible;mso-wrap-style:square;v-text-anchor:middle" o:spid="_x0000_s1027" fillcolor="white [3212]" stroked="f" strokeweight="1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eeNQyAAAAOAAAAAPAAAAZHJzL2Rvd25yZXYueG1sRI9BawIx FITvhf6H8ApeSs22AZHVKG2l4MVDVUqPj83rJrh5WTZxd/XXm0Khl4FhmG+Y5Xr0jeipiy6whudp AYK4CsZxreF4+Hiag4gJ2WATmDRcKMJ6dX+3xNKEgT+p36daZAjHEjXYlNpSylhZ8hinoSXO2U/o PKZsu1qaDocM9418KYqZ9Og4L1hs6d1SddqfvYbdRalt/6hOw9Gp2l3l99uXDVpPHsbNIsvrAkSi Mf03/hBbo0HN4PdQPgNydQMAAP//AwBQSwECLQAUAAYACAAAACEA2+H2y+4AAACFAQAAEwAAAAAA AAAAAAAAAAAAAAAAW0NvbnRlbnRfVHlwZXNdLnhtbFBLAQItABQABgAIAAAAIQBa9CxbvwAAABUB AAALAAAAAAAAAAAAAAAAAB8BAABfcmVscy8ucmVsc1BLAQItABQABgAIAAAAIQCfeeNQyAAAAOAA AAAPAAAAAAAAAAAAAAAAAAcCAABkcnMvZG93bnJldi54bWxQSwUGAAAAAAMAAwC3AAAA/AIAAAAA "/>
              <v:shape id="Freeform 16" style="position:absolute;left:4622;width:10079;height:3108;visibility:visible;mso-wrap-style:square;v-text-anchor:middle" coordsize="2371650,731520" o:spid="_x0000_s1028" fillcolor="black" stroked="f" strokeweight=".96pt" path="m1242411,294278v,27360,-9131,50245,-27106,68078c1191395,386091,1152606,399033,1105967,398675v-33472,-554,-67289,-8690,-86422,-20446l1032291,311182v20280,11524,55709,23155,82140,23155c1136198,334337,1150862,324294,1150862,308183v,-14604,-10308,-24810,-36637,-37692c1072578,249666,1051741,223266,1051741,192152v,-61221,52145,-102593,130380,-102593c1223519,89559,1250469,99314,1265412,108904r-12722,66915c1240846,166918,1210743,154501,1177909,154501v-22802,,-37652,9550,-37652,25539c1140257,191509,1151620,201785,1175674,213510v31340,15659,66737,38840,66737,80768xm700127,90173v-110210,,-193252,80479,-193252,187204c506875,351082,555850,398675,631821,398675v32494,,64079,-5954,84416,-15852l730160,309292v-27196,13482,-48475,19018,-73558,19018c628820,328310,599017,312324,599017,267701v,-52582,37293,-107152,99890,-107152c717876,160549,733752,164314,747443,172102r13626,-71492c745316,94092,722493,90173,700127,90173xm2245494,330114v36780,,68611,-8996,103317,-29156l2334727,374974v-41913,21400,-91153,23723,-110384,23723c2142522,398697,2095748,353194,2095748,273749v,-45809,16828,-91711,46138,-125940c2174044,110240,2219003,89568,2268462,89568v61900,,103189,35962,103189,89283c2371651,203510,2363628,223791,2347824,239192v-29563,28812,-102425,44959,-168783,31927c2175880,308509,2204027,330114,2245494,330114xm2188658,214066v51611,424,80642,-4797,93311,-17342c2295685,183096,2291390,153896,2257578,153896v-38043,,-62263,31189,-68920,60170xm2051252,90173v-110210,,-193252,80479,-193252,187204c1858000,351082,1906976,398675,1982946,398675v32494,,64079,-5954,84416,-15852l2081285,309292v-27196,13482,-48475,19018,-73558,19018c1979945,328310,1950142,312325,1950142,267702v,-52583,37293,-107153,99890,-107153c2069001,160549,2084877,164314,2098568,172102r13626,-71491c2096441,94093,2073618,90173,2051252,90173xm1843528,226669r-31712,165970l1727820,392639r10916,-57126c1726954,371115,1698254,399290,1650105,399290v-58436,,-84846,-51876,-84877,-103792c1565188,236519,1588359,178113,1627168,139273v32510,-32528,74466,-49713,121371,-49713c1784225,89702,1810622,100031,1827163,120078v24484,29669,22475,74207,16365,106591xm1762661,188485v-1025,-20928,-11919,-32211,-31452,-32211c1689845,156274,1654009,227668,1654041,277317v11,31020,11509,50338,31513,50338c1717548,327655,1745105,294195,1754585,245198v3228,-16558,8665,-43739,8076,-56713xm492406,226669l460693,392639r-83995,l387613,335513v-11781,35602,-40482,63777,-88631,63777c240545,399290,214137,347414,214106,295498v-41,-58979,23130,-117385,61939,-156225c308555,106745,350510,89560,397417,89560v35684,142,62082,10471,78623,30518c500525,149747,498516,194285,492406,226669xm411539,188485v-1026,-20928,-11920,-32211,-31453,-32211c338722,156274,302887,227668,302918,277317v12,31020,11508,50338,31513,50338c366426,327655,393983,294195,403462,245198v3229,-16558,8665,-43739,8077,-56713xm1559358,202421v,72107,-34620,146039,-97021,179304c1439414,393945,1417476,399076,1398411,399293v-31239,-2,-48751,-11679,-58736,-29683l1317337,487670r-87939,l1304052,95023r77454,l1372451,142685v21882,-31832,54290,-53125,90972,-53125c1521623,89560,1559357,133667,1559357,202421r1,xm1467902,209082v,-13977,-3300,-47920,-35511,-47920c1399638,161162,1371988,198477,1361269,255076v-3669,19351,-13937,77458,26522,77458c1433981,332534,1467902,266966,1467902,209082xm122511,161001l135047,95022r-77447,l,397876r87953,l111703,273006v14004,-73633,56248,-103098,116368,-93996l245247,88676c191123,83740,142846,114704,122511,161001xm827930,392638l858223,233285r62353,159353l1015149,392638,950636,232019,1068043,95022r-96006,l858750,230516,902570,,815233,,740583,392638r87347,xm1839859,600836v,42897,-29700,79536,-72572,79536c1735543,680372,1715912,658419,1715912,628492v,-42620,29699,-79536,72571,-79536c1822296,548956,1839859,573230,1839859,600836xm1746898,627709v,17285,9034,29448,24528,29448c1793908,657157,1808872,626170,1808872,601088v,-12894,-5930,-28918,-24022,-28918c1760853,572170,1746898,604217,1746898,627709xm2044503,600836v,42897,-29700,79536,-72572,79536c1940187,680372,1920555,658419,1920555,628492v,-42620,29700,-79536,72572,-79536c2026940,548956,2044503,573230,2044503,600836xm1951542,627709v,17285,9034,29448,24527,29448c1998552,657157,2013516,626170,2013516,601088v,-12894,-5930,-28918,-24022,-28918c1965496,572170,1951542,604217,1951542,627709xm1884855,510629r-31748,166916l1883083,677545r31979,-166916l1884855,510629xm1400114,549208v-46480,,-79788,36917,-79788,80823c1320326,659983,1339680,680120,1371196,680120v16676,,29727,-3921,37079,-7675l1413237,646349v-4368,2454,-16749,9496,-33789,9496c1362668,655845,1351817,645247,1351817,626423v,-26344,18345,-52940,47263,-52940c1410312,573483,1417035,576590,1422249,579346r4755,-25010c1422592,552209,1412104,549208,1400114,549208xm1228324,643733v-2851,-4921,-3886,-13450,-3356,-17840c1273517,626927,1307330,616582,1307330,584333v,-21196,-15745,-35377,-40550,-35377c1223404,548956,1195521,590263,1195521,628214v,30735,16780,52158,51653,52158c1263709,680372,1282121,676139,1294703,668583r5147,-27074c1289613,648898,1274929,656627,1254138,656627v-11885,,-20918,-4391,-25814,-12894xm1262919,571414v9564,,15999,4895,15999,12919c1278918,599549,1259033,603687,1228047,603410v3633,-15216,16023,-31996,34872,-31996xm1695170,583525v,-23744,-13954,-34570,-32021,-34570c1645210,548955,1628878,557828,1617217,575329r4656,-24305l1594758,551024r-24065,126521l1600669,677545r11129,-58087c1617223,589985,1634483,573483,1648160,573483v11885,,15771,7469,15771,18067c1663931,596445,1663330,601885,1662448,606538r-13506,71007l1678918,677545r14049,-73328c1694254,598010,1695170,589228,1695170,583525xm1521033,548955v-15924,,-30581,6993,-41830,20804l1490532,510629r-30207,l1428577,677545r29977,l1469682,619458v5425,-29473,22686,-45976,36362,-45976c1517930,573482,1521815,580952,1521815,591550v,4895,-600,10335,-1483,14988l1506827,677545r29976,l1550851,604217v1287,-6207,2203,-14989,2203,-20692c1553054,559780,1539100,548955,1521033,548955xm1171990,519414r-29242,l1136323,551782r-16781,l1115151,575022r16807,l1121106,631066v-1815,9285,-2599,16249,-2599,23239c1118507,668765,1127567,680120,1148208,680120v7241,,15241,-757,19632,-2574l1167840,677542r4535,-23839c1168933,654444,1164660,654835,1160345,654835v-8000,,-11102,-4390,-11102,-11380c1149243,638030,1150277,631571,1151563,625640r9817,-50618l1189541,575022r4642,-23240l1166023,551782r5967,-32368xm2182235,724544v23037,10658,45741,5941,62204,-23509l2244439,700986r84129,-149962l2296546,551024r-47778,93616l2237166,551024r-31517,l2228062,674169r-9810,19657c2209437,708887,2194055,703972,2186900,700003r-4665,24542l2182235,724544xm2141307,548955v-53479,,-80867,47284,-80867,87072c2060440,658505,2071550,680467,2098421,680467v16673,,31714,-8131,41803,-22454l2137816,669017v-6182,29195,-21171,38481,-40802,38481c2085128,707498,2071200,704394,2063958,700003r-4666,24542c2067991,728825,2081655,731520,2096388,731520v15909,,33653,-3103,46961,-13954c2157703,705706,2164765,686075,2169456,661548r11386,-57038c2182391,597530,2183423,589781,2183423,582806v,-22736,-15761,-33851,-42116,-33851xm2150868,602956r-2323,11626c2143377,639905,2127358,655924,2111855,655924v-13950,,-19897,-11626,-19897,-25322c2091958,605801,2109273,571955,2135623,571955v10594,,16536,5684,16794,16019c2152675,593916,2151653,598375,2150868,602956xm2362069,651612v1450,-15951,-10271,-28880,-26221,-28880c2319897,622732,2305880,635661,2304430,651612v-1571,14621,9183,28759,26221,28759c2346602,680492,2360619,667562,2362069,651612xm2357960,651249v-1208,13776,-13533,25013,-27308,25013c2317118,676262,2307330,665387,2308538,651974v1209,-13654,13413,-25013,27309,-25013c2349260,626961,2359169,637836,2357960,651249xm2338022,655116r4592,13413l2338143,668529r-4471,-13050l2327268,655479r-2417,13050l2320622,668529r6404,-33955l2338143,634574v5075,,8942,3746,9063,8579c2347327,647624,2344185,653425,2338023,655116r-1,xm2338143,638682r-7733,l2327993,651370r7008,c2338747,651370,2342010,648470,2342977,644604v725,-3021,-1692,-5921,-4834,-5921l2338143,63868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cAIxgAAAOAAAAAPAAAAZHJzL2Rvd25yZXYueG1sRI/BagIx EIbvBd8hjOCtZpViZTWKKBbprSqIt2EzmyxuJusm6vr2plDoZZjh5/+Gb77sXC3u1IbKs4LRMANB XHhdsVFwPGzfpyBCRNZYeyYFTwqwXPTe5phr/+Afuu+jEQnCIUcFNsYmlzIUlhyGoW+IU1b61mFM Z2ukbvGR4K6W4yybSIcVpw8WG1pbKi77m1NgbrYuzVd2up7XE9OcwvdHub0qNeh3m1kaqxmISF38 b/whdjo5fMKvUFpALl4AAAD//wMAUEsBAi0AFAAGAAgAAAAhANvh9svuAAAAhQEAABMAAAAAAAAA AAAAAAAAAAAAAFtDb250ZW50X1R5cGVzXS54bWxQSwECLQAUAAYACAAAACEAWvQsW78AAAAVAQAA CwAAAAAAAAAAAAAAAAAfAQAAX3JlbHMvLnJlbHNQSwECLQAUAAYACAAAACEA/hXACMYAAADgAAAA DwAAAAAAAAAAAAAAAAAHAgAAZHJzL2Rvd25yZXYueG1sUEsFBgAAAAADAAMAtwAAAPoCAAAAAA== ">
                <v:stroke joinstyle="miter"/>
                <v:path arrowok="t" o:connecttype="custom" o:connectlocs="528025,125068;516504,154001;470036,169437;433307,160747;438724,132252;473633,142093;489116,130978;473546,114959;446990,81665;502401,38063;537800,46284;532393,74723;500611,65663;484609,76517;499661,90742;528025,125068;297554,38324;215422,117885;268524,169437;304401,162700;310318,131449;279056,139532;254582,113773;297035,68233;317663,73143;323454,42759;297554,38324;954335,140298;998244,127907;992259,159364;945346,169446;890693,116343;910301,62819;964096,38066;1007951,76012;997825,101657;926092,115226;954335,140298;930179,90978;969837,83608;959470,65406;930179,90978;871782,38324;789650,117885;842752,169437;878629,162700;884546,131449;853284,139532;828810,113773;871263,68233;891891,73143;897682,42760;871782,38324;783499,96334;770022,166872;734323,166872;738963,142593;701294,169698;665222,125587;691546,59191;743129,38063;776544,51033;783499,96334;749131,80106;735764,66416;702967,117860;716360,139253;745698,104209;749131,80106;209272,96334;195794,166872;160097,166872;164735,142593;127067,169698;90995,125587;117319,59191;168902,38063;202317,51033;209272,96334;174904,80106;161537,66416;128740,117860;142133,139253;171471,104209;174904,80106;662727,86029;621493,162233;594325,169700;569362,157084;559868,207260;522494,207260;554222,40385;587140,40385;583292,60641;621955,38063;662727,86029;623858,88860;608766,68494;578539,108407;589811,141327;623858,88860;52067,68425;57395,40384;24480,40384;0,169097;37380,169097;47474,116028;96930,76079;104230,37687;52067,68425;351870,166871;364745,99146;391245,166871;431438,166871;404020,98608;453918,40384;413116,40384;364969,97969;383592,0;346474,0;314748,166871;781940,255355;751097,289158;729262,267109;760105,233306;781940,255355;742431,266776;752856,279292;768770,255462;758561,243172;742431,266776;868914,255355;838070,289158;816236,267109;847079,233306;868914,255355;829405,266776;839829,279292;855744,255462;845535,243172;829405,266776;801063,217017;787570,287957;800310,287957;813901,217017;595048,233413;561138,267763;582758,289051;598517,285789;600626,274698;586265,278734;574522,266230;594609,243730;604456,246222;606477,235593;595048,233413;522038,273587;520611,266005;555615,248342;538381,233306;508096,266991;530049,289158;550249,284148;552436,272641;533009,279066;522038,273587;536740,242851;543540,248342;521920,256449;536740,242851;720447,247998;706838,233306;687317,244515;689296,234185;677772,234185;667544,287957;680284,287957;685014,263270;700468,243730;707170,251409;706540,257779;700800,287957;713540,287957;719511,256792;720447,247998;646439,233306;628661,242148;633476,217017;620638,217017;607145,287957;619885,287957;624615,263270;640069,243730;646771,251409;646141,257779;640401,287957;653141,287957;659112,256792;660048,247998;646439,233306;498096,220751;485668,220751;482937,234507;475805,234507;473939,244384;481082,244384;476470,268203;475365,278080;487988,289051;496332,287957;496332,287955;498259,277824;493147,278305;488428,273468;489414,265897;493586,244384;505555,244384;507528,234507;495560,234507;927450,307931;953886,297940;953886,297919;989641,234185;976032,234185;955726,273972;950795,234185;937401,234185;946926,286522;942757,294876;929432,297501;927450,307932;910055,233306;875687,270311;891829,289198;909595,279656;908572,284332;891231,300687;877182,297501;875199,307932;890965,310896;910923,304966;922019,281158;926858,256917;927955,247693;910055,233306;914119,256256;913131,261197;897538,278768;889082,268006;907640,243081;914777,249889;914119,256256;1003879,276935;992735,264661;979383,276935;990526,289158;1003879,276935;1002133,276781;990527,287411;981128,277089;992735,266458;1002133,276781;993659,278424;995611,284125;993711,284125;991810,278579;989089,278579;988061,284125;986264,284125;988986,269694;993711,269694;997562,273340;993660,278424;993659,278424;993711,271440;990424,271440;989397,276832;992375,276832;995765,273957;993711,2714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7B08" w14:textId="5F8E75E8" w:rsidR="0044247A" w:rsidRDefault="00AA107C" w:rsidP="0032314F">
    <w:r>
      <w:rPr>
        <w:noProof/>
      </w:rPr>
      <mc:AlternateContent>
        <mc:Choice Requires="wpg">
          <w:drawing>
            <wp:anchor distT="0" distB="0" distL="114300" distR="114300" simplePos="0" relativeHeight="251658244" behindDoc="0" locked="0" layoutInCell="1" allowOverlap="1" wp14:anchorId="774E37FE" wp14:editId="4E71CB13">
              <wp:simplePos x="0" y="0"/>
              <wp:positionH relativeFrom="column">
                <wp:posOffset>2227521</wp:posOffset>
              </wp:positionH>
              <wp:positionV relativeFrom="paragraph">
                <wp:posOffset>356013</wp:posOffset>
              </wp:positionV>
              <wp:extent cx="4635795" cy="457200"/>
              <wp:effectExtent l="0" t="0" r="0" b="0"/>
              <wp:wrapNone/>
              <wp:docPr id="2" name="Group 2"/>
              <wp:cNvGraphicFramePr/>
              <a:graphic xmlns:a="http://schemas.openxmlformats.org/drawingml/2006/main">
                <a:graphicData uri="http://schemas.microsoft.com/office/word/2010/wordprocessingGroup">
                  <wpg:wgp>
                    <wpg:cNvGrpSpPr/>
                    <wpg:grpSpPr>
                      <a:xfrm>
                        <a:off x="0" y="0"/>
                        <a:ext cx="4635795" cy="457200"/>
                        <a:chOff x="0" y="0"/>
                        <a:chExt cx="4635795" cy="457200"/>
                      </a:xfrm>
                    </wpg:grpSpPr>
                    <wps:wsp>
                      <wps:cNvPr id="26" name="Rectangle 26"/>
                      <wps:cNvSpPr/>
                      <wps:spPr>
                        <a:xfrm>
                          <a:off x="4178595"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Text Box 27"/>
                      <wps:cNvSpPr txBox="1">
                        <a:spLocks noChangeAspect="1" noEditPoints="1" noChangeArrowheads="1" noChangeShapeType="1" noTextEdit="1"/>
                      </wps:cNvSpPr>
                      <wps:spPr bwMode="auto">
                        <a:xfrm>
                          <a:off x="0" y="63796"/>
                          <a:ext cx="41751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F5CA7" w14:textId="67B92119" w:rsidR="0073480C" w:rsidRPr="00D27175" w:rsidRDefault="0073480C" w:rsidP="0073480C">
                            <w:pPr>
                              <w:spacing w:before="20"/>
                              <w:ind w:left="20"/>
                              <w:jc w:val="right"/>
                              <w:rPr>
                                <w:rFonts w:cs="Arial"/>
                                <w:sz w:val="16"/>
                                <w:szCs w:val="16"/>
                              </w:rPr>
                            </w:pPr>
                            <w:r w:rsidRPr="00E40351">
                              <w:rPr>
                                <w:sz w:val="16"/>
                                <w:szCs w:val="16"/>
                              </w:rPr>
                              <w:t xml:space="preserve">Sales: </w:t>
                            </w:r>
                            <w:r w:rsidR="000F2E76" w:rsidRPr="000F2E76">
                              <w:rPr>
                                <w:sz w:val="16"/>
                                <w:szCs w:val="16"/>
                              </w:rPr>
                              <w:t>0800 988 0100</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wps:txbx>
                      <wps:bodyPr rot="0" vert="horz" wrap="square" lIns="0" tIns="0" rIns="0" bIns="0" anchor="t" anchorCtr="0" upright="1">
                        <a:noAutofit/>
                      </wps:bodyPr>
                    </wps:wsp>
                  </wpg:wgp>
                </a:graphicData>
              </a:graphic>
            </wp:anchor>
          </w:drawing>
        </mc:Choice>
        <mc:Fallback>
          <w:pict>
            <v:group w14:anchorId="774E37FE" id="Group 2" o:spid="_x0000_s1030" style="position:absolute;margin-left:175.4pt;margin-top:28.05pt;width:365pt;height:36pt;z-index:251658244" coordsize="46357,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">
              <v:rect id="Rectangle 26" o:spid="_x0000_s1031" style="position:absolute;left:41785;width:457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" fillcolor="white [3212]" stroked="f" strokeweight="1pt"/>
              <v:shapetype id="_x0000_t202" coordsize="21600,21600" o:spt="202" path="m,l,21600r21600,l21600,xe">
                <v:stroke joinstyle="miter"/>
                <v:path gradientshapeok="t" o:connecttype="rect"/>
              </v:shapetype>
              <v:shape id="Text Box 27" o:spid="_x0000_s1032" type="#_x0000_t202" style="position:absolute;top:637;width:41751;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o:lock v:ext="edit" aspectratio="t" verticies="t" text="t" shapetype="t"/>
                <v:textbox inset="0,0,0,0">
                  <w:txbxContent>
                    <w:p w14:paraId="295F5CA7" w14:textId="67B92119" w:rsidR="0073480C" w:rsidRPr="00D27175" w:rsidRDefault="0073480C" w:rsidP="0073480C">
                      <w:pPr>
                        <w:spacing w:before="20"/>
                        <w:ind w:left="20"/>
                        <w:jc w:val="right"/>
                        <w:rPr>
                          <w:rFonts w:cs="Arial"/>
                          <w:sz w:val="16"/>
                          <w:szCs w:val="16"/>
                        </w:rPr>
                      </w:pPr>
                      <w:r w:rsidRPr="00E40351">
                        <w:rPr>
                          <w:sz w:val="16"/>
                          <w:szCs w:val="16"/>
                        </w:rPr>
                        <w:t xml:space="preserve">Sales: </w:t>
                      </w:r>
                      <w:r w:rsidR="000F2E76" w:rsidRPr="000F2E76">
                        <w:rPr>
                          <w:sz w:val="16"/>
                          <w:szCs w:val="16"/>
                        </w:rPr>
                        <w:t>0800 988 0100</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v:textbox>
              </v:shape>
            </v:group>
          </w:pict>
        </mc:Fallback>
      </mc:AlternateContent>
    </w:r>
    <w:r w:rsidR="00CA5EAA">
      <w:rPr>
        <w:noProof/>
      </w:rPr>
      <mc:AlternateContent>
        <mc:Choice Requires="wpg">
          <w:drawing>
            <wp:anchor distT="0" distB="0" distL="114300" distR="114300" simplePos="0" relativeHeight="251658242" behindDoc="0" locked="0" layoutInCell="1" allowOverlap="1" wp14:anchorId="2D939351" wp14:editId="20732AB8">
              <wp:simplePos x="0" y="0"/>
              <wp:positionH relativeFrom="column">
                <wp:posOffset>-685800</wp:posOffset>
              </wp:positionH>
              <wp:positionV relativeFrom="paragraph">
                <wp:posOffset>183515</wp:posOffset>
              </wp:positionV>
              <wp:extent cx="1768510" cy="628022"/>
              <wp:effectExtent l="0" t="0" r="0" b="0"/>
              <wp:wrapNone/>
              <wp:docPr id="12" name="Group 12"/>
              <wp:cNvGraphicFramePr/>
              <a:graphic xmlns:a="http://schemas.openxmlformats.org/drawingml/2006/main">
                <a:graphicData uri="http://schemas.microsoft.com/office/word/2010/wordprocessingGroup">
                  <wpg:wgp>
                    <wpg:cNvGrpSpPr/>
                    <wpg:grpSpPr>
                      <a:xfrm>
                        <a:off x="0" y="0"/>
                        <a:ext cx="1768510" cy="628022"/>
                        <a:chOff x="0" y="0"/>
                        <a:chExt cx="1768510" cy="628022"/>
                      </a:xfrm>
                    </wpg:grpSpPr>
                    <wps:wsp>
                      <wps:cNvPr id="7" name="Rectangle 7"/>
                      <wps:cNvSpPr/>
                      <wps:spPr>
                        <a:xfrm>
                          <a:off x="0" y="170822"/>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Freeform 16"/>
                      <wps:cNvSpPr>
                        <a:spLocks noChangeAspect="1"/>
                      </wps:cNvSpPr>
                      <wps:spPr>
                        <a:xfrm>
                          <a:off x="462224" y="0"/>
                          <a:ext cx="1306286" cy="402504"/>
                        </a:xfrm>
                        <a:custGeom>
                          <a:avLst/>
                          <a:gdLst>
                            <a:gd name="connsiteX0" fmla="*/ 1242411 w 2371650"/>
                            <a:gd name="connsiteY0" fmla="*/ 294278 h 731520"/>
                            <a:gd name="connsiteX1" fmla="*/ 1215305 w 2371650"/>
                            <a:gd name="connsiteY1" fmla="*/ 362356 h 731520"/>
                            <a:gd name="connsiteX2" fmla="*/ 1105967 w 2371650"/>
                            <a:gd name="connsiteY2" fmla="*/ 398675 h 731520"/>
                            <a:gd name="connsiteX3" fmla="*/ 1019545 w 2371650"/>
                            <a:gd name="connsiteY3" fmla="*/ 378229 h 731520"/>
                            <a:gd name="connsiteX4" fmla="*/ 1032291 w 2371650"/>
                            <a:gd name="connsiteY4" fmla="*/ 311182 h 731520"/>
                            <a:gd name="connsiteX5" fmla="*/ 1114431 w 2371650"/>
                            <a:gd name="connsiteY5" fmla="*/ 334337 h 731520"/>
                            <a:gd name="connsiteX6" fmla="*/ 1150862 w 2371650"/>
                            <a:gd name="connsiteY6" fmla="*/ 308183 h 731520"/>
                            <a:gd name="connsiteX7" fmla="*/ 1114225 w 2371650"/>
                            <a:gd name="connsiteY7" fmla="*/ 270491 h 731520"/>
                            <a:gd name="connsiteX8" fmla="*/ 1051741 w 2371650"/>
                            <a:gd name="connsiteY8" fmla="*/ 192152 h 731520"/>
                            <a:gd name="connsiteX9" fmla="*/ 1182121 w 2371650"/>
                            <a:gd name="connsiteY9" fmla="*/ 89559 h 731520"/>
                            <a:gd name="connsiteX10" fmla="*/ 1265412 w 2371650"/>
                            <a:gd name="connsiteY10" fmla="*/ 108904 h 731520"/>
                            <a:gd name="connsiteX11" fmla="*/ 1252690 w 2371650"/>
                            <a:gd name="connsiteY11" fmla="*/ 175819 h 731520"/>
                            <a:gd name="connsiteX12" fmla="*/ 1177909 w 2371650"/>
                            <a:gd name="connsiteY12" fmla="*/ 154501 h 731520"/>
                            <a:gd name="connsiteX13" fmla="*/ 1140257 w 2371650"/>
                            <a:gd name="connsiteY13" fmla="*/ 180040 h 731520"/>
                            <a:gd name="connsiteX14" fmla="*/ 1175674 w 2371650"/>
                            <a:gd name="connsiteY14" fmla="*/ 213510 h 731520"/>
                            <a:gd name="connsiteX15" fmla="*/ 1242411 w 2371650"/>
                            <a:gd name="connsiteY15" fmla="*/ 294278 h 731520"/>
                            <a:gd name="connsiteX16" fmla="*/ 700127 w 2371650"/>
                            <a:gd name="connsiteY16" fmla="*/ 90173 h 731520"/>
                            <a:gd name="connsiteX17" fmla="*/ 506875 w 2371650"/>
                            <a:gd name="connsiteY17" fmla="*/ 277377 h 731520"/>
                            <a:gd name="connsiteX18" fmla="*/ 631821 w 2371650"/>
                            <a:gd name="connsiteY18" fmla="*/ 398675 h 731520"/>
                            <a:gd name="connsiteX19" fmla="*/ 716237 w 2371650"/>
                            <a:gd name="connsiteY19" fmla="*/ 382823 h 731520"/>
                            <a:gd name="connsiteX20" fmla="*/ 730160 w 2371650"/>
                            <a:gd name="connsiteY20" fmla="*/ 309292 h 731520"/>
                            <a:gd name="connsiteX21" fmla="*/ 656602 w 2371650"/>
                            <a:gd name="connsiteY21" fmla="*/ 328310 h 731520"/>
                            <a:gd name="connsiteX22" fmla="*/ 599017 w 2371650"/>
                            <a:gd name="connsiteY22" fmla="*/ 267701 h 731520"/>
                            <a:gd name="connsiteX23" fmla="*/ 698907 w 2371650"/>
                            <a:gd name="connsiteY23" fmla="*/ 160549 h 731520"/>
                            <a:gd name="connsiteX24" fmla="*/ 747443 w 2371650"/>
                            <a:gd name="connsiteY24" fmla="*/ 172102 h 731520"/>
                            <a:gd name="connsiteX25" fmla="*/ 761069 w 2371650"/>
                            <a:gd name="connsiteY25" fmla="*/ 100610 h 731520"/>
                            <a:gd name="connsiteX26" fmla="*/ 700127 w 2371650"/>
                            <a:gd name="connsiteY26" fmla="*/ 90173 h 731520"/>
                            <a:gd name="connsiteX27" fmla="*/ 2245494 w 2371650"/>
                            <a:gd name="connsiteY27" fmla="*/ 330114 h 731520"/>
                            <a:gd name="connsiteX28" fmla="*/ 2348811 w 2371650"/>
                            <a:gd name="connsiteY28" fmla="*/ 300958 h 731520"/>
                            <a:gd name="connsiteX29" fmla="*/ 2334727 w 2371650"/>
                            <a:gd name="connsiteY29" fmla="*/ 374974 h 731520"/>
                            <a:gd name="connsiteX30" fmla="*/ 2224343 w 2371650"/>
                            <a:gd name="connsiteY30" fmla="*/ 398697 h 731520"/>
                            <a:gd name="connsiteX31" fmla="*/ 2095748 w 2371650"/>
                            <a:gd name="connsiteY31" fmla="*/ 273749 h 731520"/>
                            <a:gd name="connsiteX32" fmla="*/ 2141886 w 2371650"/>
                            <a:gd name="connsiteY32" fmla="*/ 147809 h 731520"/>
                            <a:gd name="connsiteX33" fmla="*/ 2268462 w 2371650"/>
                            <a:gd name="connsiteY33" fmla="*/ 89568 h 731520"/>
                            <a:gd name="connsiteX34" fmla="*/ 2371651 w 2371650"/>
                            <a:gd name="connsiteY34" fmla="*/ 178851 h 731520"/>
                            <a:gd name="connsiteX35" fmla="*/ 2347824 w 2371650"/>
                            <a:gd name="connsiteY35" fmla="*/ 239192 h 731520"/>
                            <a:gd name="connsiteX36" fmla="*/ 2179041 w 2371650"/>
                            <a:gd name="connsiteY36" fmla="*/ 271119 h 731520"/>
                            <a:gd name="connsiteX37" fmla="*/ 2245494 w 2371650"/>
                            <a:gd name="connsiteY37" fmla="*/ 330114 h 731520"/>
                            <a:gd name="connsiteX38" fmla="*/ 2188658 w 2371650"/>
                            <a:gd name="connsiteY38" fmla="*/ 214066 h 731520"/>
                            <a:gd name="connsiteX39" fmla="*/ 2281969 w 2371650"/>
                            <a:gd name="connsiteY39" fmla="*/ 196724 h 731520"/>
                            <a:gd name="connsiteX40" fmla="*/ 2257578 w 2371650"/>
                            <a:gd name="connsiteY40" fmla="*/ 153896 h 731520"/>
                            <a:gd name="connsiteX41" fmla="*/ 2188658 w 2371650"/>
                            <a:gd name="connsiteY41" fmla="*/ 214066 h 731520"/>
                            <a:gd name="connsiteX42" fmla="*/ 2051252 w 2371650"/>
                            <a:gd name="connsiteY42" fmla="*/ 90173 h 731520"/>
                            <a:gd name="connsiteX43" fmla="*/ 1858000 w 2371650"/>
                            <a:gd name="connsiteY43" fmla="*/ 277377 h 731520"/>
                            <a:gd name="connsiteX44" fmla="*/ 1982946 w 2371650"/>
                            <a:gd name="connsiteY44" fmla="*/ 398675 h 731520"/>
                            <a:gd name="connsiteX45" fmla="*/ 2067362 w 2371650"/>
                            <a:gd name="connsiteY45" fmla="*/ 382823 h 731520"/>
                            <a:gd name="connsiteX46" fmla="*/ 2081285 w 2371650"/>
                            <a:gd name="connsiteY46" fmla="*/ 309292 h 731520"/>
                            <a:gd name="connsiteX47" fmla="*/ 2007727 w 2371650"/>
                            <a:gd name="connsiteY47" fmla="*/ 328310 h 731520"/>
                            <a:gd name="connsiteX48" fmla="*/ 1950142 w 2371650"/>
                            <a:gd name="connsiteY48" fmla="*/ 267702 h 731520"/>
                            <a:gd name="connsiteX49" fmla="*/ 2050032 w 2371650"/>
                            <a:gd name="connsiteY49" fmla="*/ 160549 h 731520"/>
                            <a:gd name="connsiteX50" fmla="*/ 2098568 w 2371650"/>
                            <a:gd name="connsiteY50" fmla="*/ 172102 h 731520"/>
                            <a:gd name="connsiteX51" fmla="*/ 2112194 w 2371650"/>
                            <a:gd name="connsiteY51" fmla="*/ 100611 h 731520"/>
                            <a:gd name="connsiteX52" fmla="*/ 2051252 w 2371650"/>
                            <a:gd name="connsiteY52" fmla="*/ 90173 h 731520"/>
                            <a:gd name="connsiteX53" fmla="*/ 1843528 w 2371650"/>
                            <a:gd name="connsiteY53" fmla="*/ 226669 h 731520"/>
                            <a:gd name="connsiteX54" fmla="*/ 1811816 w 2371650"/>
                            <a:gd name="connsiteY54" fmla="*/ 392639 h 731520"/>
                            <a:gd name="connsiteX55" fmla="*/ 1727820 w 2371650"/>
                            <a:gd name="connsiteY55" fmla="*/ 392639 h 731520"/>
                            <a:gd name="connsiteX56" fmla="*/ 1738736 w 2371650"/>
                            <a:gd name="connsiteY56" fmla="*/ 335513 h 731520"/>
                            <a:gd name="connsiteX57" fmla="*/ 1650105 w 2371650"/>
                            <a:gd name="connsiteY57" fmla="*/ 399290 h 731520"/>
                            <a:gd name="connsiteX58" fmla="*/ 1565228 w 2371650"/>
                            <a:gd name="connsiteY58" fmla="*/ 295498 h 731520"/>
                            <a:gd name="connsiteX59" fmla="*/ 1627168 w 2371650"/>
                            <a:gd name="connsiteY59" fmla="*/ 139273 h 731520"/>
                            <a:gd name="connsiteX60" fmla="*/ 1748539 w 2371650"/>
                            <a:gd name="connsiteY60" fmla="*/ 89560 h 731520"/>
                            <a:gd name="connsiteX61" fmla="*/ 1827163 w 2371650"/>
                            <a:gd name="connsiteY61" fmla="*/ 120078 h 731520"/>
                            <a:gd name="connsiteX62" fmla="*/ 1843528 w 2371650"/>
                            <a:gd name="connsiteY62" fmla="*/ 226669 h 731520"/>
                            <a:gd name="connsiteX63" fmla="*/ 1762661 w 2371650"/>
                            <a:gd name="connsiteY63" fmla="*/ 188485 h 731520"/>
                            <a:gd name="connsiteX64" fmla="*/ 1731209 w 2371650"/>
                            <a:gd name="connsiteY64" fmla="*/ 156274 h 731520"/>
                            <a:gd name="connsiteX65" fmla="*/ 1654041 w 2371650"/>
                            <a:gd name="connsiteY65" fmla="*/ 277317 h 731520"/>
                            <a:gd name="connsiteX66" fmla="*/ 1685554 w 2371650"/>
                            <a:gd name="connsiteY66" fmla="*/ 327655 h 731520"/>
                            <a:gd name="connsiteX67" fmla="*/ 1754585 w 2371650"/>
                            <a:gd name="connsiteY67" fmla="*/ 245198 h 731520"/>
                            <a:gd name="connsiteX68" fmla="*/ 1762661 w 2371650"/>
                            <a:gd name="connsiteY68" fmla="*/ 188485 h 731520"/>
                            <a:gd name="connsiteX69" fmla="*/ 492406 w 2371650"/>
                            <a:gd name="connsiteY69" fmla="*/ 226669 h 731520"/>
                            <a:gd name="connsiteX70" fmla="*/ 460693 w 2371650"/>
                            <a:gd name="connsiteY70" fmla="*/ 392639 h 731520"/>
                            <a:gd name="connsiteX71" fmla="*/ 376698 w 2371650"/>
                            <a:gd name="connsiteY71" fmla="*/ 392639 h 731520"/>
                            <a:gd name="connsiteX72" fmla="*/ 387613 w 2371650"/>
                            <a:gd name="connsiteY72" fmla="*/ 335513 h 731520"/>
                            <a:gd name="connsiteX73" fmla="*/ 298982 w 2371650"/>
                            <a:gd name="connsiteY73" fmla="*/ 399290 h 731520"/>
                            <a:gd name="connsiteX74" fmla="*/ 214106 w 2371650"/>
                            <a:gd name="connsiteY74" fmla="*/ 295498 h 731520"/>
                            <a:gd name="connsiteX75" fmla="*/ 276045 w 2371650"/>
                            <a:gd name="connsiteY75" fmla="*/ 139273 h 731520"/>
                            <a:gd name="connsiteX76" fmla="*/ 397417 w 2371650"/>
                            <a:gd name="connsiteY76" fmla="*/ 89560 h 731520"/>
                            <a:gd name="connsiteX77" fmla="*/ 476040 w 2371650"/>
                            <a:gd name="connsiteY77" fmla="*/ 120078 h 731520"/>
                            <a:gd name="connsiteX78" fmla="*/ 492406 w 2371650"/>
                            <a:gd name="connsiteY78" fmla="*/ 226669 h 731520"/>
                            <a:gd name="connsiteX79" fmla="*/ 411539 w 2371650"/>
                            <a:gd name="connsiteY79" fmla="*/ 188485 h 731520"/>
                            <a:gd name="connsiteX80" fmla="*/ 380086 w 2371650"/>
                            <a:gd name="connsiteY80" fmla="*/ 156274 h 731520"/>
                            <a:gd name="connsiteX81" fmla="*/ 302918 w 2371650"/>
                            <a:gd name="connsiteY81" fmla="*/ 277317 h 731520"/>
                            <a:gd name="connsiteX82" fmla="*/ 334431 w 2371650"/>
                            <a:gd name="connsiteY82" fmla="*/ 327655 h 731520"/>
                            <a:gd name="connsiteX83" fmla="*/ 403462 w 2371650"/>
                            <a:gd name="connsiteY83" fmla="*/ 245198 h 731520"/>
                            <a:gd name="connsiteX84" fmla="*/ 411539 w 2371650"/>
                            <a:gd name="connsiteY84" fmla="*/ 188485 h 731520"/>
                            <a:gd name="connsiteX85" fmla="*/ 1559358 w 2371650"/>
                            <a:gd name="connsiteY85" fmla="*/ 202421 h 731520"/>
                            <a:gd name="connsiteX86" fmla="*/ 1462337 w 2371650"/>
                            <a:gd name="connsiteY86" fmla="*/ 381725 h 731520"/>
                            <a:gd name="connsiteX87" fmla="*/ 1398411 w 2371650"/>
                            <a:gd name="connsiteY87" fmla="*/ 399293 h 731520"/>
                            <a:gd name="connsiteX88" fmla="*/ 1339675 w 2371650"/>
                            <a:gd name="connsiteY88" fmla="*/ 369610 h 731520"/>
                            <a:gd name="connsiteX89" fmla="*/ 1317337 w 2371650"/>
                            <a:gd name="connsiteY89" fmla="*/ 487670 h 731520"/>
                            <a:gd name="connsiteX90" fmla="*/ 1229398 w 2371650"/>
                            <a:gd name="connsiteY90" fmla="*/ 487670 h 731520"/>
                            <a:gd name="connsiteX91" fmla="*/ 1304052 w 2371650"/>
                            <a:gd name="connsiteY91" fmla="*/ 95023 h 731520"/>
                            <a:gd name="connsiteX92" fmla="*/ 1381506 w 2371650"/>
                            <a:gd name="connsiteY92" fmla="*/ 95023 h 731520"/>
                            <a:gd name="connsiteX93" fmla="*/ 1372451 w 2371650"/>
                            <a:gd name="connsiteY93" fmla="*/ 142685 h 731520"/>
                            <a:gd name="connsiteX94" fmla="*/ 1463423 w 2371650"/>
                            <a:gd name="connsiteY94" fmla="*/ 89560 h 731520"/>
                            <a:gd name="connsiteX95" fmla="*/ 1559357 w 2371650"/>
                            <a:gd name="connsiteY95" fmla="*/ 202421 h 731520"/>
                            <a:gd name="connsiteX96" fmla="*/ 1467902 w 2371650"/>
                            <a:gd name="connsiteY96" fmla="*/ 209082 h 731520"/>
                            <a:gd name="connsiteX97" fmla="*/ 1432391 w 2371650"/>
                            <a:gd name="connsiteY97" fmla="*/ 161162 h 731520"/>
                            <a:gd name="connsiteX98" fmla="*/ 1361269 w 2371650"/>
                            <a:gd name="connsiteY98" fmla="*/ 255076 h 731520"/>
                            <a:gd name="connsiteX99" fmla="*/ 1387791 w 2371650"/>
                            <a:gd name="connsiteY99" fmla="*/ 332534 h 731520"/>
                            <a:gd name="connsiteX100" fmla="*/ 1467902 w 2371650"/>
                            <a:gd name="connsiteY100" fmla="*/ 209082 h 731520"/>
                            <a:gd name="connsiteX101" fmla="*/ 122511 w 2371650"/>
                            <a:gd name="connsiteY101" fmla="*/ 161001 h 731520"/>
                            <a:gd name="connsiteX102" fmla="*/ 135047 w 2371650"/>
                            <a:gd name="connsiteY102" fmla="*/ 95022 h 731520"/>
                            <a:gd name="connsiteX103" fmla="*/ 57600 w 2371650"/>
                            <a:gd name="connsiteY103" fmla="*/ 95022 h 731520"/>
                            <a:gd name="connsiteX104" fmla="*/ 0 w 2371650"/>
                            <a:gd name="connsiteY104" fmla="*/ 397876 h 731520"/>
                            <a:gd name="connsiteX105" fmla="*/ 87953 w 2371650"/>
                            <a:gd name="connsiteY105" fmla="*/ 397876 h 731520"/>
                            <a:gd name="connsiteX106" fmla="*/ 111703 w 2371650"/>
                            <a:gd name="connsiteY106" fmla="*/ 273006 h 731520"/>
                            <a:gd name="connsiteX107" fmla="*/ 228071 w 2371650"/>
                            <a:gd name="connsiteY107" fmla="*/ 179010 h 731520"/>
                            <a:gd name="connsiteX108" fmla="*/ 245247 w 2371650"/>
                            <a:gd name="connsiteY108" fmla="*/ 88676 h 731520"/>
                            <a:gd name="connsiteX109" fmla="*/ 122511 w 2371650"/>
                            <a:gd name="connsiteY109" fmla="*/ 161001 h 731520"/>
                            <a:gd name="connsiteX110" fmla="*/ 827930 w 2371650"/>
                            <a:gd name="connsiteY110" fmla="*/ 392638 h 731520"/>
                            <a:gd name="connsiteX111" fmla="*/ 858223 w 2371650"/>
                            <a:gd name="connsiteY111" fmla="*/ 233285 h 731520"/>
                            <a:gd name="connsiteX112" fmla="*/ 920576 w 2371650"/>
                            <a:gd name="connsiteY112" fmla="*/ 392638 h 731520"/>
                            <a:gd name="connsiteX113" fmla="*/ 1015149 w 2371650"/>
                            <a:gd name="connsiteY113" fmla="*/ 392638 h 731520"/>
                            <a:gd name="connsiteX114" fmla="*/ 950636 w 2371650"/>
                            <a:gd name="connsiteY114" fmla="*/ 232019 h 731520"/>
                            <a:gd name="connsiteX115" fmla="*/ 1068043 w 2371650"/>
                            <a:gd name="connsiteY115" fmla="*/ 95022 h 731520"/>
                            <a:gd name="connsiteX116" fmla="*/ 972037 w 2371650"/>
                            <a:gd name="connsiteY116" fmla="*/ 95022 h 731520"/>
                            <a:gd name="connsiteX117" fmla="*/ 858750 w 2371650"/>
                            <a:gd name="connsiteY117" fmla="*/ 230516 h 731520"/>
                            <a:gd name="connsiteX118" fmla="*/ 902570 w 2371650"/>
                            <a:gd name="connsiteY118" fmla="*/ 0 h 731520"/>
                            <a:gd name="connsiteX119" fmla="*/ 815233 w 2371650"/>
                            <a:gd name="connsiteY119" fmla="*/ 0 h 731520"/>
                            <a:gd name="connsiteX120" fmla="*/ 740583 w 2371650"/>
                            <a:gd name="connsiteY120" fmla="*/ 392638 h 731520"/>
                            <a:gd name="connsiteX121" fmla="*/ 1839859 w 2371650"/>
                            <a:gd name="connsiteY121" fmla="*/ 600836 h 731520"/>
                            <a:gd name="connsiteX122" fmla="*/ 1767287 w 2371650"/>
                            <a:gd name="connsiteY122" fmla="*/ 680372 h 731520"/>
                            <a:gd name="connsiteX123" fmla="*/ 1715912 w 2371650"/>
                            <a:gd name="connsiteY123" fmla="*/ 628492 h 731520"/>
                            <a:gd name="connsiteX124" fmla="*/ 1788483 w 2371650"/>
                            <a:gd name="connsiteY124" fmla="*/ 548956 h 731520"/>
                            <a:gd name="connsiteX125" fmla="*/ 1839859 w 2371650"/>
                            <a:gd name="connsiteY125" fmla="*/ 600836 h 731520"/>
                            <a:gd name="connsiteX126" fmla="*/ 1746898 w 2371650"/>
                            <a:gd name="connsiteY126" fmla="*/ 627709 h 731520"/>
                            <a:gd name="connsiteX127" fmla="*/ 1771426 w 2371650"/>
                            <a:gd name="connsiteY127" fmla="*/ 657157 h 731520"/>
                            <a:gd name="connsiteX128" fmla="*/ 1808872 w 2371650"/>
                            <a:gd name="connsiteY128" fmla="*/ 601088 h 731520"/>
                            <a:gd name="connsiteX129" fmla="*/ 1784850 w 2371650"/>
                            <a:gd name="connsiteY129" fmla="*/ 572170 h 731520"/>
                            <a:gd name="connsiteX130" fmla="*/ 1746898 w 2371650"/>
                            <a:gd name="connsiteY130" fmla="*/ 627709 h 731520"/>
                            <a:gd name="connsiteX131" fmla="*/ 2044503 w 2371650"/>
                            <a:gd name="connsiteY131" fmla="*/ 600836 h 731520"/>
                            <a:gd name="connsiteX132" fmla="*/ 1971931 w 2371650"/>
                            <a:gd name="connsiteY132" fmla="*/ 680372 h 731520"/>
                            <a:gd name="connsiteX133" fmla="*/ 1920555 w 2371650"/>
                            <a:gd name="connsiteY133" fmla="*/ 628492 h 731520"/>
                            <a:gd name="connsiteX134" fmla="*/ 1993127 w 2371650"/>
                            <a:gd name="connsiteY134" fmla="*/ 548956 h 731520"/>
                            <a:gd name="connsiteX135" fmla="*/ 2044503 w 2371650"/>
                            <a:gd name="connsiteY135" fmla="*/ 600836 h 731520"/>
                            <a:gd name="connsiteX136" fmla="*/ 1951542 w 2371650"/>
                            <a:gd name="connsiteY136" fmla="*/ 627709 h 731520"/>
                            <a:gd name="connsiteX137" fmla="*/ 1976069 w 2371650"/>
                            <a:gd name="connsiteY137" fmla="*/ 657157 h 731520"/>
                            <a:gd name="connsiteX138" fmla="*/ 2013516 w 2371650"/>
                            <a:gd name="connsiteY138" fmla="*/ 601088 h 731520"/>
                            <a:gd name="connsiteX139" fmla="*/ 1989494 w 2371650"/>
                            <a:gd name="connsiteY139" fmla="*/ 572170 h 731520"/>
                            <a:gd name="connsiteX140" fmla="*/ 1951542 w 2371650"/>
                            <a:gd name="connsiteY140" fmla="*/ 627709 h 731520"/>
                            <a:gd name="connsiteX141" fmla="*/ 1884855 w 2371650"/>
                            <a:gd name="connsiteY141" fmla="*/ 510629 h 731520"/>
                            <a:gd name="connsiteX142" fmla="*/ 1853107 w 2371650"/>
                            <a:gd name="connsiteY142" fmla="*/ 677545 h 731520"/>
                            <a:gd name="connsiteX143" fmla="*/ 1883083 w 2371650"/>
                            <a:gd name="connsiteY143" fmla="*/ 677545 h 731520"/>
                            <a:gd name="connsiteX144" fmla="*/ 1915062 w 2371650"/>
                            <a:gd name="connsiteY144" fmla="*/ 510629 h 731520"/>
                            <a:gd name="connsiteX145" fmla="*/ 1400114 w 2371650"/>
                            <a:gd name="connsiteY145" fmla="*/ 549208 h 731520"/>
                            <a:gd name="connsiteX146" fmla="*/ 1320326 w 2371650"/>
                            <a:gd name="connsiteY146" fmla="*/ 630031 h 731520"/>
                            <a:gd name="connsiteX147" fmla="*/ 1371196 w 2371650"/>
                            <a:gd name="connsiteY147" fmla="*/ 680120 h 731520"/>
                            <a:gd name="connsiteX148" fmla="*/ 1408275 w 2371650"/>
                            <a:gd name="connsiteY148" fmla="*/ 672445 h 731520"/>
                            <a:gd name="connsiteX149" fmla="*/ 1413237 w 2371650"/>
                            <a:gd name="connsiteY149" fmla="*/ 646349 h 731520"/>
                            <a:gd name="connsiteX150" fmla="*/ 1379448 w 2371650"/>
                            <a:gd name="connsiteY150" fmla="*/ 655845 h 731520"/>
                            <a:gd name="connsiteX151" fmla="*/ 1351817 w 2371650"/>
                            <a:gd name="connsiteY151" fmla="*/ 626423 h 731520"/>
                            <a:gd name="connsiteX152" fmla="*/ 1399080 w 2371650"/>
                            <a:gd name="connsiteY152" fmla="*/ 573483 h 731520"/>
                            <a:gd name="connsiteX153" fmla="*/ 1422249 w 2371650"/>
                            <a:gd name="connsiteY153" fmla="*/ 579346 h 731520"/>
                            <a:gd name="connsiteX154" fmla="*/ 1427004 w 2371650"/>
                            <a:gd name="connsiteY154" fmla="*/ 554336 h 731520"/>
                            <a:gd name="connsiteX155" fmla="*/ 1400114 w 2371650"/>
                            <a:gd name="connsiteY155" fmla="*/ 549208 h 731520"/>
                            <a:gd name="connsiteX156" fmla="*/ 1228324 w 2371650"/>
                            <a:gd name="connsiteY156" fmla="*/ 643733 h 731520"/>
                            <a:gd name="connsiteX157" fmla="*/ 1224968 w 2371650"/>
                            <a:gd name="connsiteY157" fmla="*/ 625893 h 731520"/>
                            <a:gd name="connsiteX158" fmla="*/ 1307330 w 2371650"/>
                            <a:gd name="connsiteY158" fmla="*/ 584333 h 731520"/>
                            <a:gd name="connsiteX159" fmla="*/ 1266780 w 2371650"/>
                            <a:gd name="connsiteY159" fmla="*/ 548956 h 731520"/>
                            <a:gd name="connsiteX160" fmla="*/ 1195521 w 2371650"/>
                            <a:gd name="connsiteY160" fmla="*/ 628214 h 731520"/>
                            <a:gd name="connsiteX161" fmla="*/ 1247174 w 2371650"/>
                            <a:gd name="connsiteY161" fmla="*/ 680372 h 731520"/>
                            <a:gd name="connsiteX162" fmla="*/ 1294703 w 2371650"/>
                            <a:gd name="connsiteY162" fmla="*/ 668583 h 731520"/>
                            <a:gd name="connsiteX163" fmla="*/ 1299850 w 2371650"/>
                            <a:gd name="connsiteY163" fmla="*/ 641509 h 731520"/>
                            <a:gd name="connsiteX164" fmla="*/ 1254138 w 2371650"/>
                            <a:gd name="connsiteY164" fmla="*/ 656627 h 731520"/>
                            <a:gd name="connsiteX165" fmla="*/ 1228324 w 2371650"/>
                            <a:gd name="connsiteY165" fmla="*/ 643733 h 731520"/>
                            <a:gd name="connsiteX166" fmla="*/ 1262919 w 2371650"/>
                            <a:gd name="connsiteY166" fmla="*/ 571414 h 731520"/>
                            <a:gd name="connsiteX167" fmla="*/ 1278918 w 2371650"/>
                            <a:gd name="connsiteY167" fmla="*/ 584333 h 731520"/>
                            <a:gd name="connsiteX168" fmla="*/ 1228047 w 2371650"/>
                            <a:gd name="connsiteY168" fmla="*/ 603410 h 731520"/>
                            <a:gd name="connsiteX169" fmla="*/ 1262919 w 2371650"/>
                            <a:gd name="connsiteY169" fmla="*/ 571414 h 731520"/>
                            <a:gd name="connsiteX170" fmla="*/ 1695170 w 2371650"/>
                            <a:gd name="connsiteY170" fmla="*/ 583525 h 731520"/>
                            <a:gd name="connsiteX171" fmla="*/ 1663149 w 2371650"/>
                            <a:gd name="connsiteY171" fmla="*/ 548955 h 731520"/>
                            <a:gd name="connsiteX172" fmla="*/ 1617217 w 2371650"/>
                            <a:gd name="connsiteY172" fmla="*/ 575329 h 731520"/>
                            <a:gd name="connsiteX173" fmla="*/ 1621873 w 2371650"/>
                            <a:gd name="connsiteY173" fmla="*/ 551024 h 731520"/>
                            <a:gd name="connsiteX174" fmla="*/ 1594758 w 2371650"/>
                            <a:gd name="connsiteY174" fmla="*/ 551024 h 731520"/>
                            <a:gd name="connsiteX175" fmla="*/ 1570693 w 2371650"/>
                            <a:gd name="connsiteY175" fmla="*/ 677545 h 731520"/>
                            <a:gd name="connsiteX176" fmla="*/ 1600669 w 2371650"/>
                            <a:gd name="connsiteY176" fmla="*/ 677545 h 731520"/>
                            <a:gd name="connsiteX177" fmla="*/ 1611798 w 2371650"/>
                            <a:gd name="connsiteY177" fmla="*/ 619458 h 731520"/>
                            <a:gd name="connsiteX178" fmla="*/ 1648160 w 2371650"/>
                            <a:gd name="connsiteY178" fmla="*/ 573483 h 731520"/>
                            <a:gd name="connsiteX179" fmla="*/ 1663931 w 2371650"/>
                            <a:gd name="connsiteY179" fmla="*/ 591550 h 731520"/>
                            <a:gd name="connsiteX180" fmla="*/ 1662448 w 2371650"/>
                            <a:gd name="connsiteY180" fmla="*/ 606538 h 731520"/>
                            <a:gd name="connsiteX181" fmla="*/ 1648942 w 2371650"/>
                            <a:gd name="connsiteY181" fmla="*/ 677545 h 731520"/>
                            <a:gd name="connsiteX182" fmla="*/ 1678918 w 2371650"/>
                            <a:gd name="connsiteY182" fmla="*/ 677545 h 731520"/>
                            <a:gd name="connsiteX183" fmla="*/ 1692967 w 2371650"/>
                            <a:gd name="connsiteY183" fmla="*/ 604217 h 731520"/>
                            <a:gd name="connsiteX184" fmla="*/ 1695170 w 2371650"/>
                            <a:gd name="connsiteY184" fmla="*/ 583525 h 731520"/>
                            <a:gd name="connsiteX185" fmla="*/ 1521033 w 2371650"/>
                            <a:gd name="connsiteY185" fmla="*/ 548955 h 731520"/>
                            <a:gd name="connsiteX186" fmla="*/ 1479203 w 2371650"/>
                            <a:gd name="connsiteY186" fmla="*/ 569759 h 731520"/>
                            <a:gd name="connsiteX187" fmla="*/ 1490532 w 2371650"/>
                            <a:gd name="connsiteY187" fmla="*/ 510629 h 731520"/>
                            <a:gd name="connsiteX188" fmla="*/ 1460325 w 2371650"/>
                            <a:gd name="connsiteY188" fmla="*/ 510629 h 731520"/>
                            <a:gd name="connsiteX189" fmla="*/ 1428577 w 2371650"/>
                            <a:gd name="connsiteY189" fmla="*/ 677545 h 731520"/>
                            <a:gd name="connsiteX190" fmla="*/ 1458554 w 2371650"/>
                            <a:gd name="connsiteY190" fmla="*/ 677545 h 731520"/>
                            <a:gd name="connsiteX191" fmla="*/ 1469682 w 2371650"/>
                            <a:gd name="connsiteY191" fmla="*/ 619458 h 731520"/>
                            <a:gd name="connsiteX192" fmla="*/ 1506044 w 2371650"/>
                            <a:gd name="connsiteY192" fmla="*/ 573482 h 731520"/>
                            <a:gd name="connsiteX193" fmla="*/ 1521815 w 2371650"/>
                            <a:gd name="connsiteY193" fmla="*/ 591550 h 731520"/>
                            <a:gd name="connsiteX194" fmla="*/ 1520332 w 2371650"/>
                            <a:gd name="connsiteY194" fmla="*/ 606538 h 731520"/>
                            <a:gd name="connsiteX195" fmla="*/ 1506827 w 2371650"/>
                            <a:gd name="connsiteY195" fmla="*/ 677545 h 731520"/>
                            <a:gd name="connsiteX196" fmla="*/ 1536803 w 2371650"/>
                            <a:gd name="connsiteY196" fmla="*/ 677545 h 731520"/>
                            <a:gd name="connsiteX197" fmla="*/ 1550851 w 2371650"/>
                            <a:gd name="connsiteY197" fmla="*/ 604217 h 731520"/>
                            <a:gd name="connsiteX198" fmla="*/ 1553054 w 2371650"/>
                            <a:gd name="connsiteY198" fmla="*/ 583525 h 731520"/>
                            <a:gd name="connsiteX199" fmla="*/ 1521033 w 2371650"/>
                            <a:gd name="connsiteY199" fmla="*/ 548955 h 731520"/>
                            <a:gd name="connsiteX200" fmla="*/ 1171990 w 2371650"/>
                            <a:gd name="connsiteY200" fmla="*/ 519414 h 731520"/>
                            <a:gd name="connsiteX201" fmla="*/ 1142748 w 2371650"/>
                            <a:gd name="connsiteY201" fmla="*/ 519414 h 731520"/>
                            <a:gd name="connsiteX202" fmla="*/ 1136323 w 2371650"/>
                            <a:gd name="connsiteY202" fmla="*/ 551782 h 731520"/>
                            <a:gd name="connsiteX203" fmla="*/ 1119542 w 2371650"/>
                            <a:gd name="connsiteY203" fmla="*/ 551782 h 731520"/>
                            <a:gd name="connsiteX204" fmla="*/ 1115151 w 2371650"/>
                            <a:gd name="connsiteY204" fmla="*/ 575022 h 731520"/>
                            <a:gd name="connsiteX205" fmla="*/ 1131958 w 2371650"/>
                            <a:gd name="connsiteY205" fmla="*/ 575022 h 731520"/>
                            <a:gd name="connsiteX206" fmla="*/ 1121106 w 2371650"/>
                            <a:gd name="connsiteY206" fmla="*/ 631066 h 731520"/>
                            <a:gd name="connsiteX207" fmla="*/ 1118507 w 2371650"/>
                            <a:gd name="connsiteY207" fmla="*/ 654305 h 731520"/>
                            <a:gd name="connsiteX208" fmla="*/ 1148208 w 2371650"/>
                            <a:gd name="connsiteY208" fmla="*/ 680120 h 731520"/>
                            <a:gd name="connsiteX209" fmla="*/ 1167840 w 2371650"/>
                            <a:gd name="connsiteY209" fmla="*/ 677546 h 731520"/>
                            <a:gd name="connsiteX210" fmla="*/ 1167840 w 2371650"/>
                            <a:gd name="connsiteY210" fmla="*/ 677542 h 731520"/>
                            <a:gd name="connsiteX211" fmla="*/ 1172375 w 2371650"/>
                            <a:gd name="connsiteY211" fmla="*/ 653703 h 731520"/>
                            <a:gd name="connsiteX212" fmla="*/ 1160345 w 2371650"/>
                            <a:gd name="connsiteY212" fmla="*/ 654835 h 731520"/>
                            <a:gd name="connsiteX213" fmla="*/ 1149243 w 2371650"/>
                            <a:gd name="connsiteY213" fmla="*/ 643455 h 731520"/>
                            <a:gd name="connsiteX214" fmla="*/ 1151563 w 2371650"/>
                            <a:gd name="connsiteY214" fmla="*/ 625640 h 731520"/>
                            <a:gd name="connsiteX215" fmla="*/ 1161380 w 2371650"/>
                            <a:gd name="connsiteY215" fmla="*/ 575022 h 731520"/>
                            <a:gd name="connsiteX216" fmla="*/ 1189541 w 2371650"/>
                            <a:gd name="connsiteY216" fmla="*/ 575022 h 731520"/>
                            <a:gd name="connsiteX217" fmla="*/ 1194183 w 2371650"/>
                            <a:gd name="connsiteY217" fmla="*/ 551782 h 731520"/>
                            <a:gd name="connsiteX218" fmla="*/ 1166023 w 2371650"/>
                            <a:gd name="connsiteY218" fmla="*/ 551782 h 731520"/>
                            <a:gd name="connsiteX219" fmla="*/ 2182235 w 2371650"/>
                            <a:gd name="connsiteY219" fmla="*/ 724544 h 731520"/>
                            <a:gd name="connsiteX220" fmla="*/ 2244439 w 2371650"/>
                            <a:gd name="connsiteY220" fmla="*/ 701035 h 731520"/>
                            <a:gd name="connsiteX221" fmla="*/ 2244439 w 2371650"/>
                            <a:gd name="connsiteY221" fmla="*/ 700986 h 731520"/>
                            <a:gd name="connsiteX222" fmla="*/ 2328568 w 2371650"/>
                            <a:gd name="connsiteY222" fmla="*/ 551024 h 731520"/>
                            <a:gd name="connsiteX223" fmla="*/ 2296546 w 2371650"/>
                            <a:gd name="connsiteY223" fmla="*/ 551024 h 731520"/>
                            <a:gd name="connsiteX224" fmla="*/ 2248768 w 2371650"/>
                            <a:gd name="connsiteY224" fmla="*/ 644640 h 731520"/>
                            <a:gd name="connsiteX225" fmla="*/ 2237166 w 2371650"/>
                            <a:gd name="connsiteY225" fmla="*/ 551024 h 731520"/>
                            <a:gd name="connsiteX226" fmla="*/ 2205649 w 2371650"/>
                            <a:gd name="connsiteY226" fmla="*/ 551024 h 731520"/>
                            <a:gd name="connsiteX227" fmla="*/ 2228062 w 2371650"/>
                            <a:gd name="connsiteY227" fmla="*/ 674169 h 731520"/>
                            <a:gd name="connsiteX228" fmla="*/ 2218252 w 2371650"/>
                            <a:gd name="connsiteY228" fmla="*/ 693826 h 731520"/>
                            <a:gd name="connsiteX229" fmla="*/ 2186900 w 2371650"/>
                            <a:gd name="connsiteY229" fmla="*/ 700003 h 731520"/>
                            <a:gd name="connsiteX230" fmla="*/ 2182235 w 2371650"/>
                            <a:gd name="connsiteY230" fmla="*/ 724545 h 731520"/>
                            <a:gd name="connsiteX231" fmla="*/ 2141307 w 2371650"/>
                            <a:gd name="connsiteY231" fmla="*/ 548955 h 731520"/>
                            <a:gd name="connsiteX232" fmla="*/ 2060440 w 2371650"/>
                            <a:gd name="connsiteY232" fmla="*/ 636027 h 731520"/>
                            <a:gd name="connsiteX233" fmla="*/ 2098421 w 2371650"/>
                            <a:gd name="connsiteY233" fmla="*/ 680467 h 731520"/>
                            <a:gd name="connsiteX234" fmla="*/ 2140224 w 2371650"/>
                            <a:gd name="connsiteY234" fmla="*/ 658013 h 731520"/>
                            <a:gd name="connsiteX235" fmla="*/ 2137816 w 2371650"/>
                            <a:gd name="connsiteY235" fmla="*/ 669017 h 731520"/>
                            <a:gd name="connsiteX236" fmla="*/ 2097014 w 2371650"/>
                            <a:gd name="connsiteY236" fmla="*/ 707498 h 731520"/>
                            <a:gd name="connsiteX237" fmla="*/ 2063958 w 2371650"/>
                            <a:gd name="connsiteY237" fmla="*/ 700003 h 731520"/>
                            <a:gd name="connsiteX238" fmla="*/ 2059292 w 2371650"/>
                            <a:gd name="connsiteY238" fmla="*/ 724545 h 731520"/>
                            <a:gd name="connsiteX239" fmla="*/ 2096388 w 2371650"/>
                            <a:gd name="connsiteY239" fmla="*/ 731520 h 731520"/>
                            <a:gd name="connsiteX240" fmla="*/ 2143349 w 2371650"/>
                            <a:gd name="connsiteY240" fmla="*/ 717566 h 731520"/>
                            <a:gd name="connsiteX241" fmla="*/ 2169456 w 2371650"/>
                            <a:gd name="connsiteY241" fmla="*/ 661548 h 731520"/>
                            <a:gd name="connsiteX242" fmla="*/ 2180842 w 2371650"/>
                            <a:gd name="connsiteY242" fmla="*/ 604510 h 731520"/>
                            <a:gd name="connsiteX243" fmla="*/ 2183423 w 2371650"/>
                            <a:gd name="connsiteY243" fmla="*/ 582806 h 731520"/>
                            <a:gd name="connsiteX244" fmla="*/ 2141307 w 2371650"/>
                            <a:gd name="connsiteY244" fmla="*/ 548955 h 731520"/>
                            <a:gd name="connsiteX245" fmla="*/ 2150868 w 2371650"/>
                            <a:gd name="connsiteY245" fmla="*/ 602956 h 731520"/>
                            <a:gd name="connsiteX246" fmla="*/ 2148545 w 2371650"/>
                            <a:gd name="connsiteY246" fmla="*/ 614582 h 731520"/>
                            <a:gd name="connsiteX247" fmla="*/ 2111855 w 2371650"/>
                            <a:gd name="connsiteY247" fmla="*/ 655924 h 731520"/>
                            <a:gd name="connsiteX248" fmla="*/ 2091958 w 2371650"/>
                            <a:gd name="connsiteY248" fmla="*/ 630602 h 731520"/>
                            <a:gd name="connsiteX249" fmla="*/ 2135623 w 2371650"/>
                            <a:gd name="connsiteY249" fmla="*/ 571955 h 731520"/>
                            <a:gd name="connsiteX250" fmla="*/ 2152417 w 2371650"/>
                            <a:gd name="connsiteY250" fmla="*/ 587974 h 731520"/>
                            <a:gd name="connsiteX251" fmla="*/ 2150868 w 2371650"/>
                            <a:gd name="connsiteY251" fmla="*/ 602956 h 731520"/>
                            <a:gd name="connsiteX252" fmla="*/ 2362069 w 2371650"/>
                            <a:gd name="connsiteY252" fmla="*/ 651612 h 731520"/>
                            <a:gd name="connsiteX253" fmla="*/ 2335848 w 2371650"/>
                            <a:gd name="connsiteY253" fmla="*/ 622732 h 731520"/>
                            <a:gd name="connsiteX254" fmla="*/ 2304430 w 2371650"/>
                            <a:gd name="connsiteY254" fmla="*/ 651612 h 731520"/>
                            <a:gd name="connsiteX255" fmla="*/ 2330651 w 2371650"/>
                            <a:gd name="connsiteY255" fmla="*/ 680371 h 731520"/>
                            <a:gd name="connsiteX256" fmla="*/ 2362069 w 2371650"/>
                            <a:gd name="connsiteY256" fmla="*/ 651612 h 731520"/>
                            <a:gd name="connsiteX257" fmla="*/ 2357960 w 2371650"/>
                            <a:gd name="connsiteY257" fmla="*/ 651249 h 731520"/>
                            <a:gd name="connsiteX258" fmla="*/ 2330652 w 2371650"/>
                            <a:gd name="connsiteY258" fmla="*/ 676262 h 731520"/>
                            <a:gd name="connsiteX259" fmla="*/ 2308538 w 2371650"/>
                            <a:gd name="connsiteY259" fmla="*/ 651974 h 731520"/>
                            <a:gd name="connsiteX260" fmla="*/ 2335847 w 2371650"/>
                            <a:gd name="connsiteY260" fmla="*/ 626961 h 731520"/>
                            <a:gd name="connsiteX261" fmla="*/ 2357960 w 2371650"/>
                            <a:gd name="connsiteY261" fmla="*/ 651249 h 731520"/>
                            <a:gd name="connsiteX262" fmla="*/ 2338022 w 2371650"/>
                            <a:gd name="connsiteY262" fmla="*/ 655116 h 731520"/>
                            <a:gd name="connsiteX263" fmla="*/ 2342614 w 2371650"/>
                            <a:gd name="connsiteY263" fmla="*/ 668529 h 731520"/>
                            <a:gd name="connsiteX264" fmla="*/ 2338143 w 2371650"/>
                            <a:gd name="connsiteY264" fmla="*/ 668529 h 731520"/>
                            <a:gd name="connsiteX265" fmla="*/ 2333672 w 2371650"/>
                            <a:gd name="connsiteY265" fmla="*/ 655479 h 731520"/>
                            <a:gd name="connsiteX266" fmla="*/ 2327268 w 2371650"/>
                            <a:gd name="connsiteY266" fmla="*/ 655479 h 731520"/>
                            <a:gd name="connsiteX267" fmla="*/ 2324851 w 2371650"/>
                            <a:gd name="connsiteY267" fmla="*/ 668529 h 731520"/>
                            <a:gd name="connsiteX268" fmla="*/ 2320622 w 2371650"/>
                            <a:gd name="connsiteY268" fmla="*/ 668529 h 731520"/>
                            <a:gd name="connsiteX269" fmla="*/ 2327026 w 2371650"/>
                            <a:gd name="connsiteY269" fmla="*/ 634574 h 731520"/>
                            <a:gd name="connsiteX270" fmla="*/ 2338143 w 2371650"/>
                            <a:gd name="connsiteY270" fmla="*/ 634574 h 731520"/>
                            <a:gd name="connsiteX271" fmla="*/ 2347206 w 2371650"/>
                            <a:gd name="connsiteY271" fmla="*/ 643153 h 731520"/>
                            <a:gd name="connsiteX272" fmla="*/ 2338023 w 2371650"/>
                            <a:gd name="connsiteY272" fmla="*/ 655116 h 731520"/>
                            <a:gd name="connsiteX273" fmla="*/ 2338022 w 2371650"/>
                            <a:gd name="connsiteY273" fmla="*/ 655116 h 731520"/>
                            <a:gd name="connsiteX274" fmla="*/ 2338143 w 2371650"/>
                            <a:gd name="connsiteY274" fmla="*/ 638682 h 731520"/>
                            <a:gd name="connsiteX275" fmla="*/ 2330410 w 2371650"/>
                            <a:gd name="connsiteY275" fmla="*/ 638682 h 731520"/>
                            <a:gd name="connsiteX276" fmla="*/ 2327993 w 2371650"/>
                            <a:gd name="connsiteY276" fmla="*/ 651370 h 731520"/>
                            <a:gd name="connsiteX277" fmla="*/ 2335001 w 2371650"/>
                            <a:gd name="connsiteY277" fmla="*/ 651370 h 731520"/>
                            <a:gd name="connsiteX278" fmla="*/ 2342977 w 2371650"/>
                            <a:gd name="connsiteY278" fmla="*/ 644604 h 731520"/>
                            <a:gd name="connsiteX279" fmla="*/ 2338143 w 2371650"/>
                            <a:gd name="connsiteY279" fmla="*/ 638683 h 7315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Lst>
                          <a:rect l="l" t="t" r="r" b="b"/>
                          <a:pathLst>
                            <a:path w="2371650" h="731520">
                              <a:moveTo>
                                <a:pt x="1242411" y="294278"/>
                              </a:moveTo>
                              <a:cubicBezTo>
                                <a:pt x="1242411" y="321638"/>
                                <a:pt x="1233280" y="344523"/>
                                <a:pt x="1215305" y="362356"/>
                              </a:cubicBezTo>
                              <a:cubicBezTo>
                                <a:pt x="1191395" y="386091"/>
                                <a:pt x="1152606" y="399033"/>
                                <a:pt x="1105967" y="398675"/>
                              </a:cubicBezTo>
                              <a:cubicBezTo>
                                <a:pt x="1072495" y="398121"/>
                                <a:pt x="1038678" y="389985"/>
                                <a:pt x="1019545" y="378229"/>
                              </a:cubicBezTo>
                              <a:lnTo>
                                <a:pt x="1032291" y="311182"/>
                              </a:lnTo>
                              <a:cubicBezTo>
                                <a:pt x="1052571" y="322706"/>
                                <a:pt x="1088000" y="334337"/>
                                <a:pt x="1114431" y="334337"/>
                              </a:cubicBezTo>
                              <a:cubicBezTo>
                                <a:pt x="1136198" y="334337"/>
                                <a:pt x="1150862" y="324294"/>
                                <a:pt x="1150862" y="308183"/>
                              </a:cubicBezTo>
                              <a:cubicBezTo>
                                <a:pt x="1150862" y="293579"/>
                                <a:pt x="1140554" y="283373"/>
                                <a:pt x="1114225" y="270491"/>
                              </a:cubicBezTo>
                              <a:cubicBezTo>
                                <a:pt x="1072578" y="249666"/>
                                <a:pt x="1051741" y="223266"/>
                                <a:pt x="1051741" y="192152"/>
                              </a:cubicBezTo>
                              <a:cubicBezTo>
                                <a:pt x="1051741" y="130931"/>
                                <a:pt x="1103886" y="89559"/>
                                <a:pt x="1182121" y="89559"/>
                              </a:cubicBezTo>
                              <a:cubicBezTo>
                                <a:pt x="1223519" y="89559"/>
                                <a:pt x="1250469" y="99314"/>
                                <a:pt x="1265412" y="108904"/>
                              </a:cubicBezTo>
                              <a:lnTo>
                                <a:pt x="1252690" y="175819"/>
                              </a:lnTo>
                              <a:cubicBezTo>
                                <a:pt x="1240846" y="166918"/>
                                <a:pt x="1210743" y="154501"/>
                                <a:pt x="1177909" y="154501"/>
                              </a:cubicBezTo>
                              <a:cubicBezTo>
                                <a:pt x="1155107" y="154501"/>
                                <a:pt x="1140257" y="164051"/>
                                <a:pt x="1140257" y="180040"/>
                              </a:cubicBezTo>
                              <a:cubicBezTo>
                                <a:pt x="1140257" y="191509"/>
                                <a:pt x="1151620" y="201785"/>
                                <a:pt x="1175674" y="213510"/>
                              </a:cubicBezTo>
                              <a:cubicBezTo>
                                <a:pt x="1207014" y="229169"/>
                                <a:pt x="1242411" y="252350"/>
                                <a:pt x="1242411" y="294278"/>
                              </a:cubicBezTo>
                              <a:close/>
                              <a:moveTo>
                                <a:pt x="700127" y="90173"/>
                              </a:moveTo>
                              <a:cubicBezTo>
                                <a:pt x="589917" y="90173"/>
                                <a:pt x="506875" y="170652"/>
                                <a:pt x="506875" y="277377"/>
                              </a:cubicBezTo>
                              <a:cubicBezTo>
                                <a:pt x="506875" y="351082"/>
                                <a:pt x="555850" y="398675"/>
                                <a:pt x="631821" y="398675"/>
                              </a:cubicBezTo>
                              <a:cubicBezTo>
                                <a:pt x="664315" y="398675"/>
                                <a:pt x="695900" y="392721"/>
                                <a:pt x="716237" y="382823"/>
                              </a:cubicBezTo>
                              <a:lnTo>
                                <a:pt x="730160" y="309292"/>
                              </a:lnTo>
                              <a:cubicBezTo>
                                <a:pt x="702964" y="322774"/>
                                <a:pt x="681685" y="328310"/>
                                <a:pt x="656602" y="328310"/>
                              </a:cubicBezTo>
                              <a:cubicBezTo>
                                <a:pt x="628820" y="328310"/>
                                <a:pt x="599017" y="312324"/>
                                <a:pt x="599017" y="267701"/>
                              </a:cubicBezTo>
                              <a:cubicBezTo>
                                <a:pt x="599017" y="215119"/>
                                <a:pt x="636310" y="160549"/>
                                <a:pt x="698907" y="160549"/>
                              </a:cubicBezTo>
                              <a:cubicBezTo>
                                <a:pt x="717876" y="160549"/>
                                <a:pt x="733752" y="164314"/>
                                <a:pt x="747443" y="172102"/>
                              </a:cubicBezTo>
                              <a:lnTo>
                                <a:pt x="761069" y="100610"/>
                              </a:lnTo>
                              <a:cubicBezTo>
                                <a:pt x="745316" y="94092"/>
                                <a:pt x="722493" y="90173"/>
                                <a:pt x="700127" y="90173"/>
                              </a:cubicBezTo>
                              <a:close/>
                              <a:moveTo>
                                <a:pt x="2245494" y="330114"/>
                              </a:moveTo>
                              <a:cubicBezTo>
                                <a:pt x="2282274" y="330114"/>
                                <a:pt x="2314105" y="321118"/>
                                <a:pt x="2348811" y="300958"/>
                              </a:cubicBezTo>
                              <a:lnTo>
                                <a:pt x="2334727" y="374974"/>
                              </a:lnTo>
                              <a:cubicBezTo>
                                <a:pt x="2292814" y="396374"/>
                                <a:pt x="2243574" y="398697"/>
                                <a:pt x="2224343" y="398697"/>
                              </a:cubicBezTo>
                              <a:cubicBezTo>
                                <a:pt x="2142522" y="398697"/>
                                <a:pt x="2095748" y="353194"/>
                                <a:pt x="2095748" y="273749"/>
                              </a:cubicBezTo>
                              <a:cubicBezTo>
                                <a:pt x="2095748" y="227940"/>
                                <a:pt x="2112576" y="182038"/>
                                <a:pt x="2141886" y="147809"/>
                              </a:cubicBezTo>
                              <a:cubicBezTo>
                                <a:pt x="2174044" y="110240"/>
                                <a:pt x="2219003" y="89568"/>
                                <a:pt x="2268462" y="89568"/>
                              </a:cubicBezTo>
                              <a:cubicBezTo>
                                <a:pt x="2330362" y="89568"/>
                                <a:pt x="2371651" y="125530"/>
                                <a:pt x="2371651" y="178851"/>
                              </a:cubicBezTo>
                              <a:cubicBezTo>
                                <a:pt x="2371651" y="203510"/>
                                <a:pt x="2363628" y="223791"/>
                                <a:pt x="2347824" y="239192"/>
                              </a:cubicBezTo>
                              <a:cubicBezTo>
                                <a:pt x="2318261" y="268004"/>
                                <a:pt x="2245399" y="284151"/>
                                <a:pt x="2179041" y="271119"/>
                              </a:cubicBezTo>
                              <a:cubicBezTo>
                                <a:pt x="2175880" y="308509"/>
                                <a:pt x="2204027" y="330114"/>
                                <a:pt x="2245494" y="330114"/>
                              </a:cubicBezTo>
                              <a:close/>
                              <a:moveTo>
                                <a:pt x="2188658" y="214066"/>
                              </a:moveTo>
                              <a:cubicBezTo>
                                <a:pt x="2240269" y="214490"/>
                                <a:pt x="2269300" y="209269"/>
                                <a:pt x="2281969" y="196724"/>
                              </a:cubicBezTo>
                              <a:cubicBezTo>
                                <a:pt x="2295685" y="183096"/>
                                <a:pt x="2291390" y="153896"/>
                                <a:pt x="2257578" y="153896"/>
                              </a:cubicBezTo>
                              <a:cubicBezTo>
                                <a:pt x="2219535" y="153896"/>
                                <a:pt x="2195315" y="185085"/>
                                <a:pt x="2188658" y="214066"/>
                              </a:cubicBezTo>
                              <a:close/>
                              <a:moveTo>
                                <a:pt x="2051252" y="90173"/>
                              </a:moveTo>
                              <a:cubicBezTo>
                                <a:pt x="1941042" y="90173"/>
                                <a:pt x="1858000" y="170652"/>
                                <a:pt x="1858000" y="277377"/>
                              </a:cubicBezTo>
                              <a:cubicBezTo>
                                <a:pt x="1858000" y="351082"/>
                                <a:pt x="1906976" y="398675"/>
                                <a:pt x="1982946" y="398675"/>
                              </a:cubicBezTo>
                              <a:cubicBezTo>
                                <a:pt x="2015440" y="398675"/>
                                <a:pt x="2047025" y="392721"/>
                                <a:pt x="2067362" y="382823"/>
                              </a:cubicBezTo>
                              <a:lnTo>
                                <a:pt x="2081285" y="309292"/>
                              </a:lnTo>
                              <a:cubicBezTo>
                                <a:pt x="2054089" y="322774"/>
                                <a:pt x="2032810" y="328310"/>
                                <a:pt x="2007727" y="328310"/>
                              </a:cubicBezTo>
                              <a:cubicBezTo>
                                <a:pt x="1979945" y="328310"/>
                                <a:pt x="1950142" y="312325"/>
                                <a:pt x="1950142" y="267702"/>
                              </a:cubicBezTo>
                              <a:cubicBezTo>
                                <a:pt x="1950142" y="215119"/>
                                <a:pt x="1987435" y="160549"/>
                                <a:pt x="2050032" y="160549"/>
                              </a:cubicBezTo>
                              <a:cubicBezTo>
                                <a:pt x="2069001" y="160549"/>
                                <a:pt x="2084877" y="164314"/>
                                <a:pt x="2098568" y="172102"/>
                              </a:cubicBezTo>
                              <a:lnTo>
                                <a:pt x="2112194" y="100611"/>
                              </a:lnTo>
                              <a:cubicBezTo>
                                <a:pt x="2096441" y="94093"/>
                                <a:pt x="2073618" y="90173"/>
                                <a:pt x="2051252" y="90173"/>
                              </a:cubicBezTo>
                              <a:close/>
                              <a:moveTo>
                                <a:pt x="1843528" y="226669"/>
                              </a:moveTo>
                              <a:lnTo>
                                <a:pt x="1811816" y="392639"/>
                              </a:lnTo>
                              <a:lnTo>
                                <a:pt x="1727820" y="392639"/>
                              </a:lnTo>
                              <a:lnTo>
                                <a:pt x="1738736" y="335513"/>
                              </a:lnTo>
                              <a:cubicBezTo>
                                <a:pt x="1726954" y="371115"/>
                                <a:pt x="1698254" y="399290"/>
                                <a:pt x="1650105" y="399290"/>
                              </a:cubicBezTo>
                              <a:cubicBezTo>
                                <a:pt x="1591669" y="399290"/>
                                <a:pt x="1565259" y="347414"/>
                                <a:pt x="1565228" y="295498"/>
                              </a:cubicBezTo>
                              <a:cubicBezTo>
                                <a:pt x="1565188" y="236519"/>
                                <a:pt x="1588359" y="178113"/>
                                <a:pt x="1627168" y="139273"/>
                              </a:cubicBezTo>
                              <a:cubicBezTo>
                                <a:pt x="1659678" y="106745"/>
                                <a:pt x="1701634" y="89560"/>
                                <a:pt x="1748539" y="89560"/>
                              </a:cubicBezTo>
                              <a:cubicBezTo>
                                <a:pt x="1784225" y="89702"/>
                                <a:pt x="1810622" y="100031"/>
                                <a:pt x="1827163" y="120078"/>
                              </a:cubicBezTo>
                              <a:cubicBezTo>
                                <a:pt x="1851647" y="149747"/>
                                <a:pt x="1849638" y="194285"/>
                                <a:pt x="1843528" y="226669"/>
                              </a:cubicBezTo>
                              <a:close/>
                              <a:moveTo>
                                <a:pt x="1762661" y="188485"/>
                              </a:moveTo>
                              <a:cubicBezTo>
                                <a:pt x="1761636" y="167557"/>
                                <a:pt x="1750742" y="156274"/>
                                <a:pt x="1731209" y="156274"/>
                              </a:cubicBezTo>
                              <a:cubicBezTo>
                                <a:pt x="1689845" y="156274"/>
                                <a:pt x="1654009" y="227668"/>
                                <a:pt x="1654041" y="277317"/>
                              </a:cubicBezTo>
                              <a:cubicBezTo>
                                <a:pt x="1654052" y="308337"/>
                                <a:pt x="1665550" y="327655"/>
                                <a:pt x="1685554" y="327655"/>
                              </a:cubicBezTo>
                              <a:cubicBezTo>
                                <a:pt x="1717548" y="327655"/>
                                <a:pt x="1745105" y="294195"/>
                                <a:pt x="1754585" y="245198"/>
                              </a:cubicBezTo>
                              <a:cubicBezTo>
                                <a:pt x="1757813" y="228640"/>
                                <a:pt x="1763250" y="201459"/>
                                <a:pt x="1762661" y="188485"/>
                              </a:cubicBezTo>
                              <a:close/>
                              <a:moveTo>
                                <a:pt x="492406" y="226669"/>
                              </a:moveTo>
                              <a:lnTo>
                                <a:pt x="460693" y="392639"/>
                              </a:lnTo>
                              <a:lnTo>
                                <a:pt x="376698" y="392639"/>
                              </a:lnTo>
                              <a:lnTo>
                                <a:pt x="387613" y="335513"/>
                              </a:lnTo>
                              <a:cubicBezTo>
                                <a:pt x="375832" y="371115"/>
                                <a:pt x="347131" y="399290"/>
                                <a:pt x="298982" y="399290"/>
                              </a:cubicBezTo>
                              <a:cubicBezTo>
                                <a:pt x="240545" y="399290"/>
                                <a:pt x="214137" y="347414"/>
                                <a:pt x="214106" y="295498"/>
                              </a:cubicBezTo>
                              <a:cubicBezTo>
                                <a:pt x="214065" y="236519"/>
                                <a:pt x="237236" y="178113"/>
                                <a:pt x="276045" y="139273"/>
                              </a:cubicBezTo>
                              <a:cubicBezTo>
                                <a:pt x="308555" y="106745"/>
                                <a:pt x="350510" y="89560"/>
                                <a:pt x="397417" y="89560"/>
                              </a:cubicBezTo>
                              <a:cubicBezTo>
                                <a:pt x="433101" y="89702"/>
                                <a:pt x="459499" y="100031"/>
                                <a:pt x="476040" y="120078"/>
                              </a:cubicBezTo>
                              <a:cubicBezTo>
                                <a:pt x="500525" y="149747"/>
                                <a:pt x="498516" y="194285"/>
                                <a:pt x="492406" y="226669"/>
                              </a:cubicBezTo>
                              <a:close/>
                              <a:moveTo>
                                <a:pt x="411539" y="188485"/>
                              </a:moveTo>
                              <a:cubicBezTo>
                                <a:pt x="410513" y="167557"/>
                                <a:pt x="399619" y="156274"/>
                                <a:pt x="380086" y="156274"/>
                              </a:cubicBezTo>
                              <a:cubicBezTo>
                                <a:pt x="338722" y="156274"/>
                                <a:pt x="302887" y="227668"/>
                                <a:pt x="302918" y="277317"/>
                              </a:cubicBezTo>
                              <a:cubicBezTo>
                                <a:pt x="302930" y="308337"/>
                                <a:pt x="314426" y="327655"/>
                                <a:pt x="334431" y="327655"/>
                              </a:cubicBezTo>
                              <a:cubicBezTo>
                                <a:pt x="366426" y="327655"/>
                                <a:pt x="393983" y="294195"/>
                                <a:pt x="403462" y="245198"/>
                              </a:cubicBezTo>
                              <a:cubicBezTo>
                                <a:pt x="406691" y="228640"/>
                                <a:pt x="412127" y="201459"/>
                                <a:pt x="411539" y="188485"/>
                              </a:cubicBezTo>
                              <a:close/>
                              <a:moveTo>
                                <a:pt x="1559358" y="202421"/>
                              </a:moveTo>
                              <a:cubicBezTo>
                                <a:pt x="1559358" y="274528"/>
                                <a:pt x="1524738" y="348460"/>
                                <a:pt x="1462337" y="381725"/>
                              </a:cubicBezTo>
                              <a:cubicBezTo>
                                <a:pt x="1439414" y="393945"/>
                                <a:pt x="1417476" y="399076"/>
                                <a:pt x="1398411" y="399293"/>
                              </a:cubicBezTo>
                              <a:cubicBezTo>
                                <a:pt x="1367172" y="399291"/>
                                <a:pt x="1349660" y="387614"/>
                                <a:pt x="1339675" y="369610"/>
                              </a:cubicBezTo>
                              <a:lnTo>
                                <a:pt x="1317337" y="487670"/>
                              </a:lnTo>
                              <a:lnTo>
                                <a:pt x="1229398" y="487670"/>
                              </a:lnTo>
                              <a:lnTo>
                                <a:pt x="1304052" y="95023"/>
                              </a:lnTo>
                              <a:lnTo>
                                <a:pt x="1381506" y="95023"/>
                              </a:lnTo>
                              <a:lnTo>
                                <a:pt x="1372451" y="142685"/>
                              </a:lnTo>
                              <a:cubicBezTo>
                                <a:pt x="1394333" y="110853"/>
                                <a:pt x="1426741" y="89560"/>
                                <a:pt x="1463423" y="89560"/>
                              </a:cubicBezTo>
                              <a:cubicBezTo>
                                <a:pt x="1521623" y="89560"/>
                                <a:pt x="1559357" y="133667"/>
                                <a:pt x="1559357" y="202421"/>
                              </a:cubicBezTo>
                              <a:close/>
                              <a:moveTo>
                                <a:pt x="1467902" y="209082"/>
                              </a:moveTo>
                              <a:cubicBezTo>
                                <a:pt x="1467902" y="195105"/>
                                <a:pt x="1464602" y="161162"/>
                                <a:pt x="1432391" y="161162"/>
                              </a:cubicBezTo>
                              <a:cubicBezTo>
                                <a:pt x="1399638" y="161162"/>
                                <a:pt x="1371988" y="198477"/>
                                <a:pt x="1361269" y="255076"/>
                              </a:cubicBezTo>
                              <a:cubicBezTo>
                                <a:pt x="1357600" y="274427"/>
                                <a:pt x="1347332" y="332534"/>
                                <a:pt x="1387791" y="332534"/>
                              </a:cubicBezTo>
                              <a:cubicBezTo>
                                <a:pt x="1433981" y="332534"/>
                                <a:pt x="1467902" y="266966"/>
                                <a:pt x="1467902" y="209082"/>
                              </a:cubicBezTo>
                              <a:close/>
                              <a:moveTo>
                                <a:pt x="122511" y="161001"/>
                              </a:moveTo>
                              <a:lnTo>
                                <a:pt x="135047" y="95022"/>
                              </a:lnTo>
                              <a:lnTo>
                                <a:pt x="57600" y="95022"/>
                              </a:lnTo>
                              <a:lnTo>
                                <a:pt x="0" y="397876"/>
                              </a:lnTo>
                              <a:lnTo>
                                <a:pt x="87953" y="397876"/>
                              </a:lnTo>
                              <a:lnTo>
                                <a:pt x="111703" y="273006"/>
                              </a:lnTo>
                              <a:cubicBezTo>
                                <a:pt x="125707" y="199373"/>
                                <a:pt x="167951" y="169908"/>
                                <a:pt x="228071" y="179010"/>
                              </a:cubicBezTo>
                              <a:lnTo>
                                <a:pt x="245247" y="88676"/>
                              </a:lnTo>
                              <a:cubicBezTo>
                                <a:pt x="191123" y="83740"/>
                                <a:pt x="142846" y="114704"/>
                                <a:pt x="122511" y="161001"/>
                              </a:cubicBezTo>
                              <a:close/>
                              <a:moveTo>
                                <a:pt x="827930" y="392638"/>
                              </a:moveTo>
                              <a:lnTo>
                                <a:pt x="858223" y="233285"/>
                              </a:lnTo>
                              <a:lnTo>
                                <a:pt x="920576" y="392638"/>
                              </a:lnTo>
                              <a:lnTo>
                                <a:pt x="1015149" y="392638"/>
                              </a:lnTo>
                              <a:lnTo>
                                <a:pt x="950636" y="232019"/>
                              </a:lnTo>
                              <a:lnTo>
                                <a:pt x="1068043" y="95022"/>
                              </a:lnTo>
                              <a:lnTo>
                                <a:pt x="972037" y="95022"/>
                              </a:lnTo>
                              <a:lnTo>
                                <a:pt x="858750" y="230516"/>
                              </a:lnTo>
                              <a:lnTo>
                                <a:pt x="902570" y="0"/>
                              </a:lnTo>
                              <a:lnTo>
                                <a:pt x="815233" y="0"/>
                              </a:lnTo>
                              <a:lnTo>
                                <a:pt x="740583" y="392638"/>
                              </a:lnTo>
                              <a:close/>
                              <a:moveTo>
                                <a:pt x="1839859" y="600836"/>
                              </a:moveTo>
                              <a:cubicBezTo>
                                <a:pt x="1839859" y="643733"/>
                                <a:pt x="1810159" y="680372"/>
                                <a:pt x="1767287" y="680372"/>
                              </a:cubicBezTo>
                              <a:cubicBezTo>
                                <a:pt x="1735543" y="680372"/>
                                <a:pt x="1715912" y="658419"/>
                                <a:pt x="1715912" y="628492"/>
                              </a:cubicBezTo>
                              <a:cubicBezTo>
                                <a:pt x="1715912" y="585872"/>
                                <a:pt x="1745611" y="548956"/>
                                <a:pt x="1788483" y="548956"/>
                              </a:cubicBezTo>
                              <a:cubicBezTo>
                                <a:pt x="1822296" y="548956"/>
                                <a:pt x="1839859" y="573230"/>
                                <a:pt x="1839859" y="600836"/>
                              </a:cubicBezTo>
                              <a:close/>
                              <a:moveTo>
                                <a:pt x="1746898" y="627709"/>
                              </a:moveTo>
                              <a:cubicBezTo>
                                <a:pt x="1746898" y="644994"/>
                                <a:pt x="1755932" y="657157"/>
                                <a:pt x="1771426" y="657157"/>
                              </a:cubicBezTo>
                              <a:cubicBezTo>
                                <a:pt x="1793908" y="657157"/>
                                <a:pt x="1808872" y="626170"/>
                                <a:pt x="1808872" y="601088"/>
                              </a:cubicBezTo>
                              <a:cubicBezTo>
                                <a:pt x="1808872" y="588194"/>
                                <a:pt x="1802942" y="572170"/>
                                <a:pt x="1784850" y="572170"/>
                              </a:cubicBezTo>
                              <a:cubicBezTo>
                                <a:pt x="1760853" y="572170"/>
                                <a:pt x="1746898" y="604217"/>
                                <a:pt x="1746898" y="627709"/>
                              </a:cubicBezTo>
                              <a:close/>
                              <a:moveTo>
                                <a:pt x="2044503" y="600836"/>
                              </a:moveTo>
                              <a:cubicBezTo>
                                <a:pt x="2044503" y="643733"/>
                                <a:pt x="2014803" y="680372"/>
                                <a:pt x="1971931" y="680372"/>
                              </a:cubicBezTo>
                              <a:cubicBezTo>
                                <a:pt x="1940187" y="680372"/>
                                <a:pt x="1920555" y="658419"/>
                                <a:pt x="1920555" y="628492"/>
                              </a:cubicBezTo>
                              <a:cubicBezTo>
                                <a:pt x="1920555" y="585872"/>
                                <a:pt x="1950255" y="548956"/>
                                <a:pt x="1993127" y="548956"/>
                              </a:cubicBezTo>
                              <a:cubicBezTo>
                                <a:pt x="2026940" y="548956"/>
                                <a:pt x="2044503" y="573230"/>
                                <a:pt x="2044503" y="600836"/>
                              </a:cubicBezTo>
                              <a:close/>
                              <a:moveTo>
                                <a:pt x="1951542" y="627709"/>
                              </a:moveTo>
                              <a:cubicBezTo>
                                <a:pt x="1951542" y="644994"/>
                                <a:pt x="1960576" y="657157"/>
                                <a:pt x="1976069" y="657157"/>
                              </a:cubicBezTo>
                              <a:cubicBezTo>
                                <a:pt x="1998552" y="657157"/>
                                <a:pt x="2013516" y="626170"/>
                                <a:pt x="2013516" y="601088"/>
                              </a:cubicBezTo>
                              <a:cubicBezTo>
                                <a:pt x="2013516" y="588194"/>
                                <a:pt x="2007586" y="572170"/>
                                <a:pt x="1989494" y="572170"/>
                              </a:cubicBezTo>
                              <a:cubicBezTo>
                                <a:pt x="1965496" y="572170"/>
                                <a:pt x="1951542" y="604217"/>
                                <a:pt x="1951542" y="627709"/>
                              </a:cubicBezTo>
                              <a:close/>
                              <a:moveTo>
                                <a:pt x="1884855" y="510629"/>
                              </a:moveTo>
                              <a:lnTo>
                                <a:pt x="1853107" y="677545"/>
                              </a:lnTo>
                              <a:lnTo>
                                <a:pt x="1883083" y="677545"/>
                              </a:lnTo>
                              <a:lnTo>
                                <a:pt x="1915062" y="510629"/>
                              </a:lnTo>
                              <a:close/>
                              <a:moveTo>
                                <a:pt x="1400114" y="549208"/>
                              </a:moveTo>
                              <a:cubicBezTo>
                                <a:pt x="1353634" y="549208"/>
                                <a:pt x="1320326" y="586125"/>
                                <a:pt x="1320326" y="630031"/>
                              </a:cubicBezTo>
                              <a:cubicBezTo>
                                <a:pt x="1320326" y="659983"/>
                                <a:pt x="1339680" y="680120"/>
                                <a:pt x="1371196" y="680120"/>
                              </a:cubicBezTo>
                              <a:cubicBezTo>
                                <a:pt x="1387872" y="680120"/>
                                <a:pt x="1400923" y="676199"/>
                                <a:pt x="1408275" y="672445"/>
                              </a:cubicBezTo>
                              <a:lnTo>
                                <a:pt x="1413237" y="646349"/>
                              </a:lnTo>
                              <a:cubicBezTo>
                                <a:pt x="1408869" y="648803"/>
                                <a:pt x="1396488" y="655845"/>
                                <a:pt x="1379448" y="655845"/>
                              </a:cubicBezTo>
                              <a:cubicBezTo>
                                <a:pt x="1362668" y="655845"/>
                                <a:pt x="1351817" y="645247"/>
                                <a:pt x="1351817" y="626423"/>
                              </a:cubicBezTo>
                              <a:cubicBezTo>
                                <a:pt x="1351817" y="600079"/>
                                <a:pt x="1370162" y="573483"/>
                                <a:pt x="1399080" y="573483"/>
                              </a:cubicBezTo>
                              <a:cubicBezTo>
                                <a:pt x="1410312" y="573483"/>
                                <a:pt x="1417035" y="576590"/>
                                <a:pt x="1422249" y="579346"/>
                              </a:cubicBezTo>
                              <a:lnTo>
                                <a:pt x="1427004" y="554336"/>
                              </a:lnTo>
                              <a:cubicBezTo>
                                <a:pt x="1422592" y="552209"/>
                                <a:pt x="1412104" y="549208"/>
                                <a:pt x="1400114" y="549208"/>
                              </a:cubicBezTo>
                              <a:close/>
                              <a:moveTo>
                                <a:pt x="1228324" y="643733"/>
                              </a:moveTo>
                              <a:cubicBezTo>
                                <a:pt x="1225473" y="638812"/>
                                <a:pt x="1224438" y="630283"/>
                                <a:pt x="1224968" y="625893"/>
                              </a:cubicBezTo>
                              <a:cubicBezTo>
                                <a:pt x="1273517" y="626927"/>
                                <a:pt x="1307330" y="616582"/>
                                <a:pt x="1307330" y="584333"/>
                              </a:cubicBezTo>
                              <a:cubicBezTo>
                                <a:pt x="1307330" y="563137"/>
                                <a:pt x="1291585" y="548956"/>
                                <a:pt x="1266780" y="548956"/>
                              </a:cubicBezTo>
                              <a:cubicBezTo>
                                <a:pt x="1223404" y="548956"/>
                                <a:pt x="1195521" y="590263"/>
                                <a:pt x="1195521" y="628214"/>
                              </a:cubicBezTo>
                              <a:cubicBezTo>
                                <a:pt x="1195521" y="658949"/>
                                <a:pt x="1212301" y="680372"/>
                                <a:pt x="1247174" y="680372"/>
                              </a:cubicBezTo>
                              <a:cubicBezTo>
                                <a:pt x="1263709" y="680372"/>
                                <a:pt x="1282121" y="676139"/>
                                <a:pt x="1294703" y="668583"/>
                              </a:cubicBezTo>
                              <a:lnTo>
                                <a:pt x="1299850" y="641509"/>
                              </a:lnTo>
                              <a:cubicBezTo>
                                <a:pt x="1289613" y="648898"/>
                                <a:pt x="1274929" y="656627"/>
                                <a:pt x="1254138" y="656627"/>
                              </a:cubicBezTo>
                              <a:cubicBezTo>
                                <a:pt x="1242253" y="656627"/>
                                <a:pt x="1233220" y="652236"/>
                                <a:pt x="1228324" y="643733"/>
                              </a:cubicBezTo>
                              <a:close/>
                              <a:moveTo>
                                <a:pt x="1262919" y="571414"/>
                              </a:moveTo>
                              <a:cubicBezTo>
                                <a:pt x="1272483" y="571414"/>
                                <a:pt x="1278918" y="576309"/>
                                <a:pt x="1278918" y="584333"/>
                              </a:cubicBezTo>
                              <a:cubicBezTo>
                                <a:pt x="1278918" y="599549"/>
                                <a:pt x="1259033" y="603687"/>
                                <a:pt x="1228047" y="603410"/>
                              </a:cubicBezTo>
                              <a:cubicBezTo>
                                <a:pt x="1231680" y="588194"/>
                                <a:pt x="1244070" y="571414"/>
                                <a:pt x="1262919" y="571414"/>
                              </a:cubicBezTo>
                              <a:close/>
                              <a:moveTo>
                                <a:pt x="1695170" y="583525"/>
                              </a:moveTo>
                              <a:cubicBezTo>
                                <a:pt x="1695170" y="559781"/>
                                <a:pt x="1681216" y="548955"/>
                                <a:pt x="1663149" y="548955"/>
                              </a:cubicBezTo>
                              <a:cubicBezTo>
                                <a:pt x="1645210" y="548955"/>
                                <a:pt x="1628878" y="557828"/>
                                <a:pt x="1617217" y="575329"/>
                              </a:cubicBezTo>
                              <a:lnTo>
                                <a:pt x="1621873" y="551024"/>
                              </a:lnTo>
                              <a:lnTo>
                                <a:pt x="1594758" y="551024"/>
                              </a:lnTo>
                              <a:lnTo>
                                <a:pt x="1570693" y="677545"/>
                              </a:lnTo>
                              <a:lnTo>
                                <a:pt x="1600669" y="677545"/>
                              </a:lnTo>
                              <a:lnTo>
                                <a:pt x="1611798" y="619458"/>
                              </a:lnTo>
                              <a:cubicBezTo>
                                <a:pt x="1617223" y="589985"/>
                                <a:pt x="1634483" y="573483"/>
                                <a:pt x="1648160" y="573483"/>
                              </a:cubicBezTo>
                              <a:cubicBezTo>
                                <a:pt x="1660045" y="573483"/>
                                <a:pt x="1663931" y="580952"/>
                                <a:pt x="1663931" y="591550"/>
                              </a:cubicBezTo>
                              <a:cubicBezTo>
                                <a:pt x="1663931" y="596445"/>
                                <a:pt x="1663330" y="601885"/>
                                <a:pt x="1662448" y="606538"/>
                              </a:cubicBezTo>
                              <a:lnTo>
                                <a:pt x="1648942" y="677545"/>
                              </a:lnTo>
                              <a:lnTo>
                                <a:pt x="1678918" y="677545"/>
                              </a:lnTo>
                              <a:lnTo>
                                <a:pt x="1692967" y="604217"/>
                              </a:lnTo>
                              <a:cubicBezTo>
                                <a:pt x="1694254" y="598010"/>
                                <a:pt x="1695170" y="589228"/>
                                <a:pt x="1695170" y="583525"/>
                              </a:cubicBezTo>
                              <a:close/>
                              <a:moveTo>
                                <a:pt x="1521033" y="548955"/>
                              </a:moveTo>
                              <a:cubicBezTo>
                                <a:pt x="1505109" y="548955"/>
                                <a:pt x="1490452" y="555948"/>
                                <a:pt x="1479203" y="569759"/>
                              </a:cubicBezTo>
                              <a:lnTo>
                                <a:pt x="1490532" y="510629"/>
                              </a:lnTo>
                              <a:lnTo>
                                <a:pt x="1460325" y="510629"/>
                              </a:lnTo>
                              <a:lnTo>
                                <a:pt x="1428577" y="677545"/>
                              </a:lnTo>
                              <a:lnTo>
                                <a:pt x="1458554" y="677545"/>
                              </a:lnTo>
                              <a:lnTo>
                                <a:pt x="1469682" y="619458"/>
                              </a:lnTo>
                              <a:cubicBezTo>
                                <a:pt x="1475107" y="589985"/>
                                <a:pt x="1492368" y="573482"/>
                                <a:pt x="1506044" y="573482"/>
                              </a:cubicBezTo>
                              <a:cubicBezTo>
                                <a:pt x="1517930" y="573482"/>
                                <a:pt x="1521815" y="580952"/>
                                <a:pt x="1521815" y="591550"/>
                              </a:cubicBezTo>
                              <a:cubicBezTo>
                                <a:pt x="1521815" y="596445"/>
                                <a:pt x="1521215" y="601885"/>
                                <a:pt x="1520332" y="606538"/>
                              </a:cubicBezTo>
                              <a:lnTo>
                                <a:pt x="1506827" y="677545"/>
                              </a:lnTo>
                              <a:lnTo>
                                <a:pt x="1536803" y="677545"/>
                              </a:lnTo>
                              <a:lnTo>
                                <a:pt x="1550851" y="604217"/>
                              </a:lnTo>
                              <a:cubicBezTo>
                                <a:pt x="1552138" y="598010"/>
                                <a:pt x="1553054" y="589228"/>
                                <a:pt x="1553054" y="583525"/>
                              </a:cubicBezTo>
                              <a:cubicBezTo>
                                <a:pt x="1553054" y="559780"/>
                                <a:pt x="1539100" y="548955"/>
                                <a:pt x="1521033" y="548955"/>
                              </a:cubicBezTo>
                              <a:close/>
                              <a:moveTo>
                                <a:pt x="1171990" y="519414"/>
                              </a:moveTo>
                              <a:lnTo>
                                <a:pt x="1142748" y="519414"/>
                              </a:lnTo>
                              <a:lnTo>
                                <a:pt x="1136323" y="551782"/>
                              </a:lnTo>
                              <a:lnTo>
                                <a:pt x="1119542" y="551782"/>
                              </a:lnTo>
                              <a:lnTo>
                                <a:pt x="1115151" y="575022"/>
                              </a:lnTo>
                              <a:lnTo>
                                <a:pt x="1131958" y="575022"/>
                              </a:lnTo>
                              <a:lnTo>
                                <a:pt x="1121106" y="631066"/>
                              </a:lnTo>
                              <a:cubicBezTo>
                                <a:pt x="1119291" y="640351"/>
                                <a:pt x="1118507" y="647315"/>
                                <a:pt x="1118507" y="654305"/>
                              </a:cubicBezTo>
                              <a:cubicBezTo>
                                <a:pt x="1118507" y="668765"/>
                                <a:pt x="1127567" y="680120"/>
                                <a:pt x="1148208" y="680120"/>
                              </a:cubicBezTo>
                              <a:cubicBezTo>
                                <a:pt x="1155449" y="680120"/>
                                <a:pt x="1163449" y="679363"/>
                                <a:pt x="1167840" y="677546"/>
                              </a:cubicBezTo>
                              <a:lnTo>
                                <a:pt x="1167840" y="677542"/>
                              </a:lnTo>
                              <a:lnTo>
                                <a:pt x="1172375" y="653703"/>
                              </a:lnTo>
                              <a:cubicBezTo>
                                <a:pt x="1168933" y="654444"/>
                                <a:pt x="1164660" y="654835"/>
                                <a:pt x="1160345" y="654835"/>
                              </a:cubicBezTo>
                              <a:cubicBezTo>
                                <a:pt x="1152345" y="654835"/>
                                <a:pt x="1149243" y="650445"/>
                                <a:pt x="1149243" y="643455"/>
                              </a:cubicBezTo>
                              <a:cubicBezTo>
                                <a:pt x="1149243" y="638030"/>
                                <a:pt x="1150277" y="631571"/>
                                <a:pt x="1151563" y="625640"/>
                              </a:cubicBezTo>
                              <a:lnTo>
                                <a:pt x="1161380" y="575022"/>
                              </a:lnTo>
                              <a:lnTo>
                                <a:pt x="1189541" y="575022"/>
                              </a:lnTo>
                              <a:lnTo>
                                <a:pt x="1194183" y="551782"/>
                              </a:lnTo>
                              <a:lnTo>
                                <a:pt x="1166023" y="551782"/>
                              </a:lnTo>
                              <a:close/>
                              <a:moveTo>
                                <a:pt x="2182235" y="724544"/>
                              </a:moveTo>
                              <a:cubicBezTo>
                                <a:pt x="2205272" y="735202"/>
                                <a:pt x="2227976" y="730485"/>
                                <a:pt x="2244439" y="701035"/>
                              </a:cubicBezTo>
                              <a:lnTo>
                                <a:pt x="2244439" y="700986"/>
                              </a:lnTo>
                              <a:lnTo>
                                <a:pt x="2328568" y="551024"/>
                              </a:lnTo>
                              <a:lnTo>
                                <a:pt x="2296546" y="551024"/>
                              </a:lnTo>
                              <a:lnTo>
                                <a:pt x="2248768" y="644640"/>
                              </a:lnTo>
                              <a:lnTo>
                                <a:pt x="2237166" y="551024"/>
                              </a:lnTo>
                              <a:lnTo>
                                <a:pt x="2205649" y="551024"/>
                              </a:lnTo>
                              <a:lnTo>
                                <a:pt x="2228062" y="674169"/>
                              </a:lnTo>
                              <a:lnTo>
                                <a:pt x="2218252" y="693826"/>
                              </a:lnTo>
                              <a:cubicBezTo>
                                <a:pt x="2209437" y="708887"/>
                                <a:pt x="2194055" y="703972"/>
                                <a:pt x="2186900" y="700003"/>
                              </a:cubicBezTo>
                              <a:lnTo>
                                <a:pt x="2182235" y="724545"/>
                              </a:lnTo>
                              <a:close/>
                              <a:moveTo>
                                <a:pt x="2141307" y="548955"/>
                              </a:moveTo>
                              <a:cubicBezTo>
                                <a:pt x="2087828" y="548955"/>
                                <a:pt x="2060440" y="596239"/>
                                <a:pt x="2060440" y="636027"/>
                              </a:cubicBezTo>
                              <a:cubicBezTo>
                                <a:pt x="2060440" y="658505"/>
                                <a:pt x="2071550" y="680467"/>
                                <a:pt x="2098421" y="680467"/>
                              </a:cubicBezTo>
                              <a:cubicBezTo>
                                <a:pt x="2115094" y="680467"/>
                                <a:pt x="2130135" y="672336"/>
                                <a:pt x="2140224" y="658013"/>
                              </a:cubicBezTo>
                              <a:lnTo>
                                <a:pt x="2137816" y="669017"/>
                              </a:lnTo>
                              <a:cubicBezTo>
                                <a:pt x="2131634" y="698212"/>
                                <a:pt x="2116645" y="707498"/>
                                <a:pt x="2097014" y="707498"/>
                              </a:cubicBezTo>
                              <a:cubicBezTo>
                                <a:pt x="2085128" y="707498"/>
                                <a:pt x="2071200" y="704394"/>
                                <a:pt x="2063958" y="700003"/>
                              </a:cubicBezTo>
                              <a:lnTo>
                                <a:pt x="2059292" y="724545"/>
                              </a:lnTo>
                              <a:cubicBezTo>
                                <a:pt x="2067991" y="728825"/>
                                <a:pt x="2081655" y="731520"/>
                                <a:pt x="2096388" y="731520"/>
                              </a:cubicBezTo>
                              <a:cubicBezTo>
                                <a:pt x="2112297" y="731520"/>
                                <a:pt x="2130041" y="728417"/>
                                <a:pt x="2143349" y="717566"/>
                              </a:cubicBezTo>
                              <a:cubicBezTo>
                                <a:pt x="2157703" y="705706"/>
                                <a:pt x="2164765" y="686075"/>
                                <a:pt x="2169456" y="661548"/>
                              </a:cubicBezTo>
                              <a:lnTo>
                                <a:pt x="2180842" y="604510"/>
                              </a:lnTo>
                              <a:cubicBezTo>
                                <a:pt x="2182391" y="597530"/>
                                <a:pt x="2183423" y="589781"/>
                                <a:pt x="2183423" y="582806"/>
                              </a:cubicBezTo>
                              <a:cubicBezTo>
                                <a:pt x="2183423" y="560070"/>
                                <a:pt x="2167662" y="548955"/>
                                <a:pt x="2141307" y="548955"/>
                              </a:cubicBezTo>
                              <a:close/>
                              <a:moveTo>
                                <a:pt x="2150868" y="602956"/>
                              </a:moveTo>
                              <a:lnTo>
                                <a:pt x="2148545" y="614582"/>
                              </a:lnTo>
                              <a:cubicBezTo>
                                <a:pt x="2143377" y="639905"/>
                                <a:pt x="2127358" y="655924"/>
                                <a:pt x="2111855" y="655924"/>
                              </a:cubicBezTo>
                              <a:cubicBezTo>
                                <a:pt x="2097905" y="655924"/>
                                <a:pt x="2091958" y="644298"/>
                                <a:pt x="2091958" y="630602"/>
                              </a:cubicBezTo>
                              <a:cubicBezTo>
                                <a:pt x="2091958" y="605801"/>
                                <a:pt x="2109273" y="571955"/>
                                <a:pt x="2135623" y="571955"/>
                              </a:cubicBezTo>
                              <a:cubicBezTo>
                                <a:pt x="2146217" y="571955"/>
                                <a:pt x="2152159" y="577639"/>
                                <a:pt x="2152417" y="587974"/>
                              </a:cubicBezTo>
                              <a:cubicBezTo>
                                <a:pt x="2152675" y="593916"/>
                                <a:pt x="2151653" y="598375"/>
                                <a:pt x="2150868" y="602956"/>
                              </a:cubicBezTo>
                              <a:close/>
                              <a:moveTo>
                                <a:pt x="2362069" y="651612"/>
                              </a:moveTo>
                              <a:cubicBezTo>
                                <a:pt x="2363519" y="635661"/>
                                <a:pt x="2351798" y="622732"/>
                                <a:pt x="2335848" y="622732"/>
                              </a:cubicBezTo>
                              <a:cubicBezTo>
                                <a:pt x="2319897" y="622732"/>
                                <a:pt x="2305880" y="635661"/>
                                <a:pt x="2304430" y="651612"/>
                              </a:cubicBezTo>
                              <a:cubicBezTo>
                                <a:pt x="2302859" y="666233"/>
                                <a:pt x="2313613" y="680371"/>
                                <a:pt x="2330651" y="680371"/>
                              </a:cubicBezTo>
                              <a:cubicBezTo>
                                <a:pt x="2346602" y="680492"/>
                                <a:pt x="2360619" y="667562"/>
                                <a:pt x="2362069" y="651612"/>
                              </a:cubicBezTo>
                              <a:close/>
                              <a:moveTo>
                                <a:pt x="2357960" y="651249"/>
                              </a:moveTo>
                              <a:cubicBezTo>
                                <a:pt x="2356752" y="665025"/>
                                <a:pt x="2344427" y="676262"/>
                                <a:pt x="2330652" y="676262"/>
                              </a:cubicBezTo>
                              <a:cubicBezTo>
                                <a:pt x="2317118" y="676262"/>
                                <a:pt x="2307330" y="665387"/>
                                <a:pt x="2308538" y="651974"/>
                              </a:cubicBezTo>
                              <a:cubicBezTo>
                                <a:pt x="2309747" y="638320"/>
                                <a:pt x="2321951" y="626961"/>
                                <a:pt x="2335847" y="626961"/>
                              </a:cubicBezTo>
                              <a:cubicBezTo>
                                <a:pt x="2349260" y="626961"/>
                                <a:pt x="2359169" y="637836"/>
                                <a:pt x="2357960" y="651249"/>
                              </a:cubicBezTo>
                              <a:close/>
                              <a:moveTo>
                                <a:pt x="2338022" y="655116"/>
                              </a:moveTo>
                              <a:lnTo>
                                <a:pt x="2342614" y="668529"/>
                              </a:lnTo>
                              <a:lnTo>
                                <a:pt x="2338143" y="668529"/>
                              </a:lnTo>
                              <a:lnTo>
                                <a:pt x="2333672" y="655479"/>
                              </a:lnTo>
                              <a:lnTo>
                                <a:pt x="2327268" y="655479"/>
                              </a:lnTo>
                              <a:lnTo>
                                <a:pt x="2324851" y="668529"/>
                              </a:lnTo>
                              <a:lnTo>
                                <a:pt x="2320622" y="668529"/>
                              </a:lnTo>
                              <a:lnTo>
                                <a:pt x="2327026" y="634574"/>
                              </a:lnTo>
                              <a:lnTo>
                                <a:pt x="2338143" y="634574"/>
                              </a:lnTo>
                              <a:cubicBezTo>
                                <a:pt x="2343218" y="634574"/>
                                <a:pt x="2347085" y="638320"/>
                                <a:pt x="2347206" y="643153"/>
                              </a:cubicBezTo>
                              <a:cubicBezTo>
                                <a:pt x="2347327" y="647624"/>
                                <a:pt x="2344185" y="653425"/>
                                <a:pt x="2338023" y="655116"/>
                              </a:cubicBezTo>
                              <a:lnTo>
                                <a:pt x="2338022" y="655116"/>
                              </a:lnTo>
                              <a:close/>
                              <a:moveTo>
                                <a:pt x="2338143" y="638682"/>
                              </a:moveTo>
                              <a:lnTo>
                                <a:pt x="2330410" y="638682"/>
                              </a:lnTo>
                              <a:lnTo>
                                <a:pt x="2327993" y="651370"/>
                              </a:lnTo>
                              <a:lnTo>
                                <a:pt x="2335001" y="651370"/>
                              </a:lnTo>
                              <a:cubicBezTo>
                                <a:pt x="2338747" y="651370"/>
                                <a:pt x="2342010" y="648470"/>
                                <a:pt x="2342977" y="644604"/>
                              </a:cubicBezTo>
                              <a:cubicBezTo>
                                <a:pt x="2343702" y="641583"/>
                                <a:pt x="2341285" y="638683"/>
                                <a:pt x="2338143" y="638683"/>
                              </a:cubicBezTo>
                              <a:close/>
                            </a:path>
                          </a:pathLst>
                        </a:custGeom>
                        <a:solidFill>
                          <a:srgbClr val="000000"/>
                        </a:solidFill>
                        <a:ln w="12192" cap="flat">
                          <a:noFill/>
                          <a:prstDash val="solid"/>
                          <a:miter/>
                        </a:ln>
                      </wps:spPr>
                      <wps:bodyPr rtlCol="0" anchor="ctr"/>
                    </wps:wsp>
                  </wpg:wgp>
                </a:graphicData>
              </a:graphic>
            </wp:anchor>
          </w:drawing>
        </mc:Choice>
        <mc:Fallback xmlns:a="http://schemas.openxmlformats.org/drawingml/2006/main" xmlns:a14="http://schemas.microsoft.com/office/drawing/2010/main" xmlns:arto="http://schemas.microsoft.com/office/word/2006/arto">
          <w:pict w14:anchorId="5679904C">
            <v:group id="Group 12" style="position:absolute;margin-left:-54pt;margin-top:14.45pt;width:139.25pt;height:49.45pt;z-index:251652096" coordsize="17685,6280" o:spid="_x0000_s1026" w14:anchorId="64B46C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cwi3ZTUAALYkAQAOAAAAZHJzL2Uyb0RvYy54bWy0nVtvJUdyoN8X2P9A8NHATtf90piWodXs DBYY2IJnFrYfj9jsbmLZPNzDI7XkX+8vKjOrIvIcsiK1sB7EJrMirxGRcc8//uOvXx9vfrk/vTwc nz7c1n+obm/un+6OHx+ePn+4/T9///P/mG5vXs6Hp4+Hx+PT/Yfb3+5fbv/xu//+3/747fn9fXP8 cnz8eH+6oZOnl/ffnj/cfjmfn9+/e/dy9+X+6+HlD8fn+ycaPx1PXw9nfj19fvfxdPhG718f3zVV Nbz7djx9fD4d7+5fXvjrn0Lj7XdL/58+3d+d//nTp5f7883jh1vmdl7+f1r+/5P8/913fzy8/3w6 PH95uIvTOPyOWXw9PDwx6NrVnw7nw83Pp4eLrr4+3J2OL8dP5z/cHb++O3769HB3v6yB1dRVtpq/ nI4/Py9r+fz+2+fndZvY2myffne3d//0y19Oz397/vHETnx7/sxeLL/JWn79dPoqP5nlza/Llv22 btn9r+ebO/5Yj8PU1+zsHW1DM1VNE/b07gsbfwF29+V/vQ34Lg37zkzm2zPo8bLtwMv/3w787cvh +X7Z2Jf37MCPp5uHjx9ux9ubp8NXkPRfQJvD0+fH+5tRFiOD89W6SS/vX9ivV3eoHqsp7ULapq4f wdawS/HfdLwu9vD++fRy/sv98euN/OPD7YkZLPh0+OWvL+fwafpEBn45Pj58/PPD4+PyixDL/Q+P p5tfDqD5T59rmTWdm68en+Tbp6NAhWb5C9uclrP86/zb47189/j0L/ef2BWOuFkmslDkNsjh7u7+ 6VyHpi+Hj/dh7L7ivzR6mtYyl6VD6fkT4699xw7Sl6GT1HeYZfxeQO8Xgl6Bq7cmFoBXiGXk49N5 Bf768HQ8XevgkVXFkcP3aZPC1sgu/XT8+Bs4czoGdvLyfPfnB47tr4eX84+HE/yDk4Ynnv+Z/316 PH77cHuM/7q9+XI8/ce1v8v3IDWttzff4Ecfbl/+38+H0/3tzeP/fgLd57rrhIEtvywodHtz0i0/ 6Zann7/+cAQXarjv893yT4BP58f0z0+n49d/hXV+L6PSdHi6Y+wPt3fnU/rlh3PgkzDfu/vvv18+ g2k9H85/ffrb8510LrsqaPn3X//1cHqOuHsG6f/pmEjs8D5D4fCtQD4dv//5fPz0sOD3tq9xvyH3 QHr/5XRfd4nw/3y6v5e75qYeMsKX+b48//V4939fbp6OP3yBPdx///IMmco+CL7IAiKXCPN+hUl0 Q9M0jHiFl7YVHHSIXKJq+qqLmJg48d3PgUvIbNK2cud8hEfInz5/jAzs7vj09PJwvv83TvbT10cw 8h/e3dRN13R1ffPtpmnHeujT5ZcD/bsGauauGaebLzdjW/fNayD/Bp6pceq+rfr9cTRQOzRtP+yO 0+hx6qqfh3F/HA3UztMw9rvjtHqcqp77zrEeDdSO3AHz7jjgwbZvVQuI43w0UFvX9dTsjtPrcWpY SesYRwO1bde24+44IO+2nrqvpqHZPx8N1FZTPbW743BVq3Hqrmkc56OBmrHq2Os9vEZ63cap+nrs HPtmgOYGutkdZ9bjcKB14xhHA01z3++jmwhq23qaoe9qx/lYqGqaq253QbUm7rrpm2Gu9jHBQo39 VDvWpMm7rsdxrmbHSAYK8q72kaHWBA4RwaEd3MdCTVXVVfu7p0mcNfXD2DnWpKGauu1rx0iayN03 RK2hvFeEJvOxqurGs3kaaK7qcZ811JrM+2qYYPe7V54BasaxHfd5Xa3pfGiFah0DaSDnZVRrQufm 5vp2DKSB2qmZmv2t437f2MPYVvXgoFkD1FZzM++zu0Zzh6EfhsrBhgxQ20ytA73Rw7YV9bNg0P7W GaBmGEcHb2g0bxhmeKRnIA3EZvfdPrsT0XFl4WM3cpU7VqSB6rGp2e+9q6/RND4OdTU42KoBqrHP eM5I07iXMTQayMcYGs0YEMHZbQdTNVAtNFHvX36NJvKm7abJI3YbqLaq5n5f7m40lTcIaWPjwTsN 1Y7dzO2yhw6t5g2iwSAQ7iOegRJ2N+/z1VYzh4ZtGLvJMZKBgoE7aKnV3KGpu3qaBsdIGqruxgl5 Y3f3NKU3zTChBTpG0lBIeMM+QrSa0oOe57iVDFQ9Tpj09pek+QNIjsLjIKfWQs2147ZoNa03NQKe Rwq3UCN6kuOYfheLaDWUk0W0hkUI4kHtu2JKBtVVw77K3GpibxpEag8jN1CAjBzuHpKLfWq9mtDI xh7Lwe6aDBSWg2neX1NniN27exmUa/c6TewNGiCqjGNNGsp3O3Wa1uupR1FwCF8Gyim3dppF1POE /O7gegbKKbh2htirYcTK49g8DeWUXDvDIrAhNJND6jdQTtG108SOTX903bgGyim7dppFYIKqMHM4 dk9DLcLrvqjXGRZRYcRvPSNpKKf0itFRsYhqnuRO22URBsopvvaWRWBQ8Uh7BmqRX/cvwl4Tu5tF GCgfi+gti+javvFsnoZC9Bhg/3ucvDcsAul1qh0swkC1czO0jpE0sXO0SBEOttdrKO9ImkVgSJjg Rg7U01Bt2/f1vhrdaxYhhnYM1Y6RNFQ7o0fvW296Tex1P/Tc746RNFSDbXvelyt7S+wNZgjPSAaK g3LYbwbNIjC4Tj1otMsiDJSIyvubN2gOgfWGJTk0GgslF8D+5g2aQ9STk3ANlJNwB03s+OYhd4f4 b6GmiT3fZRGDYRF4h9DUHMdkoPqhcWiegyZ2yKlzif8GSiQjLD97bG/QxA6C933vUGkMVNuMQ+/Y PU3s2He73iOvDBoKAwbC2/6aNLH7McJAOTFCE3s3N8jXDoTQQE4kHzWH6AYMUw66NUDOK2PUHKId uTkdPM8C+W7BUTMIbqaBW2aX5Vkg39U0av7QYKbEd7g/kAZy3kyjJnQxrXiQwQL5LqZRcweIr/J4 ag1Q7buXRs0cWkxmHlOyAfJdS6Mm8k4W5BCIDBCs2HMrjZrGvfRqgLz0qmmcCATXhT5qIDR8z500 acbQokF7zHkGCBnKcyVNhjFUeO0djMEAOW+kyTCG1ue3t0C+C2nSNN5Vrcs+aYCc99GkGYMXGQyQ Fxk0Y6jxjrceC9ukoZqKkJl9BVBCdla7V83OSaTELlc1UO2E7rMvNkyaN8C3Jlc8j4Fa+Pe+DjNp 5lC3LRZAhw5joNph9rh/JkPoiGm+3dNQHTfmuC/wz5o91MTasIH752SgvCNp/lC3sHCP1XDWUNh7 HB7bWfOHGizC4e1YkoZyDqT5Q91iDsZFsIvjs4Hq8Hvs4/isGQTU1Hbsw/5IGsp30c6a1AODcJCt gXIyiDljEHgwHGKXgUK7Iqp4V9qfDYPo2qb1BJRZqKEmxGB/JMsghpoIH8cxaaim76tx39g/a1IH x4nw8aCehmrbpm/3HRgY/Cwn9x2UBXOeVF1paocb9R4fcQYFf3XEJuDt18tqiSt1ILqFEi6xjxR1 pQm+R3h1yK4WyDuQpnfXIBoA8Z0rYxfHsdupjZvGuXdwIgvkHsmwCEK+KtdQGgrjGgEXjkVpHoHB sBod5FRXGkp8sI7Ijroy5N71jQ/xNBSeUddJaXL3U5OBclKTCYfEbDi3HvwzUIv9Yd92g89a419P SLEHKwwUwqj4wvZMX3WtecSMG4Nd3711LZR7VZpJwNH6mlgNx1gazD2WJnt4y+Ax+hPjo/a9aUnN 2vdkoNcqIOwdU+WJkLFgTu5HesKmccykFnkUDq51DeVj6CYwEq/02LuQXTOLhmQA3Ef7GKjJHgmp R6R3YIWG2tcBiAJRm4C8DH14RtFQjlFMUOSI+E9M+/5aDJQXw01YJLHz+FQ91GTAuKcnCGP3iExk JMbksZk8koQBgy5QHxxjaXKvx7qfXbHqNhCzmTBsOcbS9C7xT53vvDRY34na4RjLsAn/eWkw93lp iseXNmDw9eChBsMgNjoi3AjnVoRFGD7RCp4bxIANPee876chukOPNVXTBEY56EuDDUgwk+MONiGW 4AaGSA9fMmBkfyLR7eOGCZf0n5cB855XFmbZkQLh4VEGzIuHJtCynsd69uQf1QbMyzdawzdEksEf t48bBow0PBffsHGTM6tqPPzQgHn5ho2crNzn9Xv4homdJPSo7j2hR7UBc+Oh4RszOqPHkIAJSrEA L9+w8ZOVpMh4eJQB8/KNLIJyml3h5hh11bq8fMPGULrPy4B5z8tEUQZbvIe+DBiZSYMjO5IrRG0G QZGkfHjoy4CRvyHZm7uyjQmlZF1kInr4oQFzj6UFh3oWq63n/jIxmO491AyApLUlg2GfH5rYTUKE mspxV5qAStg3cYQe+jJgA1YMbof989IMAHaAZO8aS4Nxp+AsdYylBQf2EK3fhfMaTEKoXXioGQCO c2y4LpzXYIOYzR0qqw2sbMe586RagK6KLAl3mTzrsqGVcF5cXo572YARzyTegF3cMMGVsFRs5x6Z zYD1I4k7nrGMvEEmcuOyZphgzh4jEkHY++syfIPMfLJJPXuowYhpaj26nomx9PMNA+blG71WOLDe Ta0nlwRnvcbDrsV16NhDzQAYq5s9kYyoJXqspp8IOto/L80A8AMyQRceajCoq3WtSzMAvDEDiUke 3NBgXlnURFvCePvelftqwJCxiQva38Ms4LIb0Ysc6zJgXt3BhFzWJEb4zPAGbMDJ6eEbNuiymbHb eM7LgA0dvNjB522wZkPaf+uxAxgwSdNtHLq5Cbz007IBG5y0bEIvwXkCcTy2LwOGyaFz4aFmAOh5 kyvopzYxm15aHjQDkD30eewM2EAQj8dHM2gGULCHGsy7hyYIsx5QVFw2XgMGcfWOUBkshoph1wMJ +q572YAt/NChO5hQzHqQFBWPbGPASJdrPTqRCeHEU1+TyODghwaMNAZCm/Z5rwnIxALbUZLDM5aV N5xjGT0F478rrJfYaXXMXv3LhGWSukQepYdvGDD3WIZvEFwxumywJqJzIHnJkQ2OdVJtRj10pO14 7hQD5pV7bYAm9OWz6RkwbPrEgOzjoY3R5B7y6SkGDLsSyaWOsSzfwKrvsn2Z6E4vbphITa4K551i wNxjGT1lIL/IUzsLh5JCKYKRhbPtyr02XtPN5w2Yl8+biE38eYSTePihAfPyeROzSeo/VhHXWFpP 6amB4CnVZKI2ubsqrgcH7zVgXhuRidsk5g67jce+YcDcY2nBAQvf1FNrZ98eZcJEvThvYjdrSbLx JPTUBsw9luEbHcGvntwKjH+avpx83oZ9Yj3EHeDYQwO28HmHb9TGcEJfOM09Y2m+4eXzNvaTeoME r3jG0vKGl8+bQE6xwGLU84z1e+QNE8pJ/oPoo56xNN9w46GRN7hepZjHPn2ZGFAvn5+NvNFL2UcX HmowL5+3YaBuPm/AnHx+KdW7RfSjSmBB3N9DC0Z2nkevJLZIMQAij8g/ccjYFsw9lvGn4K/DuOxZ lwZDdyBJe1cGgHbNuqSGpoOWLZh7LM0AiJrDYenA+Yb6qlsYFfqXJ8QVf7ICquuWhbnOS4O5x9IM gGC72pVG11QaDMXXUyamsQGepPwTnO3BDc1uSM6Vyq978iG+JLOHHUn/rj3UYE7fDeHYZiyEbE9C nQVbeO++fR7Z83eNZcCWsRz0ZaI80SpxEznuZVBITRGNSCycu+dlgkOJI8S05BpL8w1wA8uNYyzL NyQx0cOjTJlN7IedIwsb+7PajIVteEoAWLCh6QdHSU/KwJqxSPH12OctmJdvmEhPSBne6+GHBsw9 lmYA+AKoouY6Lw3m5fOm5CZ4SN1I11iab7jH0nwDqZfYaxfOazBJk0Iy36UvE/iJS4o8T4c9qjFg VKmsPPRlAj8LxtJ8A78jtfwc69IMgDhqX7kfXKiKVDgvj62S41FAJPfBbxzxABbMPZbmG+whySSe +8vU7hy6zsU3TElNpkuZEte6NLtxr0sLDqAXnM2FhxrMPZZmABz55IqBaWy8KFn4jnJGdG5wA2L2 5GNaMMzRE9Es+7SsGQB8g8LXHt3BxItCXwTB7I9lAj/9PMqALTzKcS+bwE+p6IA72yEfGjCv/mUC PxFnMW949tCAkelRNfu2SuL/NW7A1yTle1dftmDIoh3W1F3cMIGf7CEKh0NfprimmiKFIglcdIyl GQDVwEdXDS8uOT0WyOuw9zYm8BPRmbvItS7NN8aKkq379nkYoJoguNH69C8D5qYvwzd4bkKKWztw Q4O56cvwjWoeWqLTHWNpsPBIxz5umMBP8JDCwR4+b8CIwyAiwDGWFhwa2HVHlsT+uky8KFWsYB2O sbTgAD+sIGbPWBoMZoPE4RjL8A2EXleeOsqMQl8y+rj2HGNpBuDnvTZeVPJTHHzeBH6iflBExYOH BgzO68mFaUzgJ+uaXO+sWLBB7PoOfdmU4EQNxsDhkecNGLGOqKOO89IMAH7otBGZip/EwUpZ/N07 xRbvJKSd+iMenNd8g/gNF26YwE952MRVBImHjAzOj5564+TDKyA/HhowLx6awE9uM64VDz80YAO5 BGSo7Z6XCfxEjCAmyENfBownpEY8I/tjGb5BHRLMcw7cMIU83evSggPrwt3ukaNMvOgSp7cf+43F ReOG/7w0mHtdRt5oCdX1xFSQvaqmyFgSFbx/XoZvLHvoub9MGVDS5QmEc4ylGQA5umRXuPBQg7Eu Fy2bwM+A8x7dwYCxKuoJ7a/LBH4izjrPy4B5z8sEfrIuef7SQV8GjDsFS5ZjXVpwQCVouPg8Y2kw iU11xJgRZa+QV9aFiOgZS4O5x8r4RkuihGcsDcYeEozh2EPNALBHjVQk8oylwdxjaQbAWAg3Hn5o 4kXde2j5BteXDw81mHsszQBkDytPjg/Eq1CK7BRe9dg/LxP46cdDA+Yey8gb8pKKp5QWVYP1unhX jxoxu3zeBH4GvuGhLwPm5Rsm8NPPowyYeyzNAArOS4Oh90rkzP4eagbAWFQF9sg2Nl7UO5ZmAILz pPo6+IaNF6V0uCMHnGx7hVCsi2r8Hr5hwLi/fGNpBiB3yuyJxSL2XU1R7NiOBwHZMwVUgBsabMEN S188c7y+f3r4Eh5LPry/+/UpvonKv3jclhezw2vBz8cXeZRaP5DKQ6zp139PbxcDJQ+q7gBD+ho4 vRvsA8bmoIGXZ7NZjA+YS10Dt/GdWB8w1KaB0yOzPmCoTgP3RSNDRhp4eWTXvWboQgMvT3O7gcFY DTwVTRsU1MBzEbA49zU0v4fnpX37Lf56A16GZeK5N+BleCZedQNehmniXzfgZbgmLnMDXoZt4s42 4GX4JqWPDHgZxomv2oCX4ZzUKTLgZVgnrmENzu8lWCdOYgNehnXiwDXgZVgnrlwDXoZ18XXtlanz e9HaM6zDAVsEnmEdLxUWgWdYh7+zCDzDOjyfReAZ1uGVLAEXx6I+OH4vAs+wDt9hEXiGdbgDi8Az rMMxWASe8TqcdkXgGdbhhysCz7AOj1wReIZ1eMuKwDOso2BKEXiGddRAKQEXt5TGOn4vAs+wDs9T EXiGdRQfKQLPsA7/UBF4hnW4fIrAM6zDi1MEnmEd/pwi8Azr8LUUgWdYh/ukCDzDOhwpJeDi1NBY x+9F4BnW4bcoAs+wDldEEXiGdXgXisAzrMNhUASeYR0+gCLwDOvwBhSBZ1iHpb4IPMM6jO9F4BnW 8bBWCbiYxDXW8XsReIZ1WL2LwDOsw5BdBJ5hHbUMisAzrMNKXQSeYR0VB4rAM6yjiEAReIZ12HmL wDOsI9W/CDzDOqyxJeBiUNVYx+9F4BnWYTMtAs+wDjNoEXiGdVg2i8AzrCMnvgg8wzrsj0XgGdZh UiwCz7AOK2EReIZ1GP6KwDOswwRYAi7p2xrr+L0IPMM6MrSLwDOsI+m6CDzDOvKoi8AzrCM1ugg8 wzqynYvAM6wj77kIPMM6cpKLwDOsI824CDzDOjKHS8Al+VdjHb8XgWdYR35vEXiGdaTsFoFnWEfy bhF4hnXk4xaBZ1hHim0ReIZ1ZM0WgWdYR0ZrEXiGdeS2FoFnWEfeaQn48oaIRjv5Q1kHGeLJUyFl HWSoJw+AlHWQIZ887FHWQYZ+NQmaZR1kCChvcZR1kKEgqZOFHWRIKO9mlM0gQ0N5Q6OsgwwRaxIg izq4cFgUeyxyTMSHUTaDHBPxYpR1kGMifoyyDnJMxJNR1kGOifgyyjrIMRFvRlkHOSbizyjrIMdE PBplHeSYiE+jqIPciUGt1sIOckzEr1E2gxwT8WyUdZBjIr6Nsg5yTCz0ZtSSP2YulkJ/BiXh8g4K MVFStuwMCjFR0rdsB4WYKMlVtoNCTMwdGyQ/lR2jpEGZGRT6NpZa+LaDQkyUPCfbQSEmShaS7aCQ J0pqke2gkCdKmpHtoBATJQnIdlCIiVIJ3nZQiIlS3t12UIiJubODJLIyTJTEGjODQn/HUpTddlCI iZICYzsoxETJa7EdFGKiJKvYDgoxURJXbAeFmChpJbaDQkyUXBHbQSEmSt6I7aAQE3MHiJQFL7ra JFXDzKDQB0L+Sd5BISZKUoWdQSEmSqaE7aAQEyX9wXZQiImSCmE7KMRESVSwHRRiomQf2A4KMREX SNZBISbmThEKlJRhogT/myUU+kUow5p3UIiJUtbZzqAQEyVk33ZQiIlSgNl2UIiJUlXZdlCIiRL6 bjsoxESpf2w7KMRECVK3HRRiYu4oob5xGSZKOLmZQaGvhDpAeQeFmCiB33YGhZgoRYNtB4WYKCHa toNCTJS4a9tBISZKMLXtoBATJULadlCIiRItbTsoxMTceUIydBkmSkFbM4NC/wlFNvIOCjFRSs/a GRRiotSTtR0UYqIUibUdFGKiFIy1HRRiopRztR0UYqLUaLUdFGKiFF61HRRiYu5QkfKqRXKilEg1 Myj0qdRS99R2UIiJUgPVdlCIiVLY1HZQiIlSrdR2UIiJUoLUdlCIiVIg1HZQiIlSLNR2UIiJUsrT dlCGiUt9Tt2B/KEEE5eim7aDMntiIy+x2w7KMHEpj2k7KMPEpeal7aAME5f6l7aDMkwkrS7fgzJM XCpV2hmUYeJSftJ2UIaJS3FI20EhJuY+FqkcWYSJeVqI1HUs6yDHxEIfCxWFsmMs9LFQ7iPvoBAT 8/QQqZVYtgc5Jhb6WKiFny+hEBPzJBFq1hQuIeOJTaGPZakhaFC50MfSXKSKFPpYlmp/dgaFPPEi XaTQx0IRruwYC30sTe5jkT8UYWLuY2lKs0ZyH4vUySubQXY7S/G7sg5yTCzMHaEERXYKhT6WJvex yB+KliD14wwmFmaQkNWad1B4O+c+Fin9VraETE6Uem5lHeQ8sTCTZKnPZjexEBNzH0tTmE3S5D4W +UPRHuQ+lqbQx0JZpAwPCn0sjbxgazaxMKtkKTNmOyjExNzHQlHawk3MMbEwt2Sp8mWXUCgn5j6W pjC/hJId+SkU8sTcx0IRoLJNzH0sUkqrCJVzH4uU1SrrIMfEwkyTJvexyB/KZpDfzoXZJk3uY5E/ lM0g54mFGSdLMSiDyoU5Jzw3mmFiYdZJk/tY5A9Fe5D7WJpCHwvlirIlFPpYKGqVd1AoJ+Y+lqYw /2Qpi2SOsTADpcl9LPKHslPIMbEwC6XJfSzyh7IZ5JhYmImyFAKym1iIibmPhQpEZUvIfSxSw6do D3IfC3WkCjvI5cTCnBTeiMlooTArhffL8w4KMTH3sTSFmSlLnRuDB4W5KUsVGttB4e2c+1ikRI3C g1BbJJaROd3fnW8eP9w+3t6cP9yeb29OH25Ptzc/fbj9SWAO758PZ6k+k/558+3D7VKrXW7wLx9u Q2XeW2n+evzl/u/H5cOz1KKhNCACY+COPDks6wqz2D68+/mnh7v/ef8fr4G11NUNUjITiZ3ydFb0 AbW8Ox9U4q2VMlXykA37R/VEaoamhZuBrg7Li2WUXA6g00Bt07j+MCwxGTzAFVp5NCnk0K/DEo/N q4OxdRq2XKj9YSvqKKdh54mncMywFYWcos+tneQpZdsqjw/FKfN20aaYmmEfn8z28gYezwmHuUq1 2ETi6bOrm1PxNG1kL4DzhqmdxzRR1z102VJ0eWG92+bUlOeMA66tgoRmlva3eNi85FRH8zqlnC86 lhq+4fKkDB0oZia1VPiNrdUk7z1GGnAMu3XczFJp0XbcVZTlW1bLg+48zm5biSOLZhP2qdtcOvvD ggp9PGx5vT1cges2VrxPFfUvXkvgHXQzrGrFLSQRRO7VatC24rVT0zHJDlP09kmd5WwreOo82snW Rt/JsgRqbC6buEKuS0Ub4J3BpZGCZCFEfWvkAYxY/YccgnlLpTAbnLA5cQ3IN/rrKO89rcbE9NlV 7EM9nmJAHG9T8Cy22RhM22OM+KOIdx+yUtZZ1uM4ywtNMKKt1bc1PB0r2RUWdOuY4voxtImHcDk7 MykpvZ9aoclNvzebc3W1GpTna0N2xTYsVYBj2DreojFjRFIyPV7d2M+Zvh/78HpQVH9ZrfClkMC7 DquvEHh90BKvtuoLxq7v7vH4cg81XN5QlMvnwfOAZywqcYi376cePlxnQGlG8tpilECIkBkCFV5p REhoN7Fg92xUt7K5gWWv3fY8/xmZL4/XhLsnNfJIGiS6rLBdG11oOPDWVHREbJBrt3PP6x+xW6RE g4Q85JKMZbwsMm1Ga7PORHmBQMe2kuC25d6u5DWCiEDpK3uiEYZi7DE6TO6kICmuM+RViBjlgLzA U3GaTAYK/EeP5dbo25Vm4k23MM+LbnsEg4gZbS2VUfWYqhHdBJx3k4iG5P2/wLvWdfLWYXS6sYF9 sMOsjTP8MXKStdG1Th5B4O2fZZ2X3Y5cejFEFRaU8eexG7nuAySIseXavXX6A/lokVnyZvnKPt48 /a5vYyG0uQNl9F6PeD5iaIOciLmgX6F5i2Cvswx6ZpMDv6I2J+9axnN8m2ngdQBFc7B0Thj0KfIZ BbmlhL9eDbbyaYpydMsDVZuJ5I0txWRPpddw9i0PkKx61Ft7CgNuKIkc0JuHOixJsXRkodTK+z9G zMPdxeN04eCFYWxZqmaWdp8DIeMx5d2iKKqtoOvmsGKeDg2T4sytmIfLem2ldjwrddOVAUVHCpfl OizPUvaJBKB5q4bIWxVJLOK97GnLRXSsduwoWB8oRJ4AM6wJtyOcNWwjglEwQqxzoqxzFyXetdFF z6BDhUK0DLpCrt3K21vRoMqi0aAs+qnWcaLas3+HVcfsYJQLtmF5yiimQMn7X1bjAutRacI24eiQ WCevRAs58aJVVDwpvR9ExHVYKLiNITfN1MFRzWpr5LYkZo/oRwX4JJJlUk0pO28lKBzSyGaRIFfG oSd1la1YenmDLwk6RmsqyMnLqHG79vgSk4qsFzBeYzebQRMcZ8EaqEU+XOSoSLbwijmxbdTfzbm8 TwPyjEq8ntHMeBTIdiyqeBgWfX7KW3nBMapJW6uPCiCuPmZrbaDrGUhjFHnklVgr4xLBcH2D3SeE rA6bWzZzvZWY9tsHJO9OVtFrtkKlGTPLVfG+lDd1a6HAqUEvJU44FOw9GUNykROFHVU8b/WdT4Wu BD9cxMBVXE2rhYCoyR5vyTmXOgm/GhOHc4udREzVPN4YBvTKnUSKoRgGceVS8ITPQReviYhE5o3r tbwKkK7N4UWKmTemwlxX0LQ54C5qVLxDRfi0liLVukiffmaqO8aukImfHDZKcJjUpaDITnGXhUlt ra7Vcpzcg4GHb6BptZwbb1MmyTYXQWFV8iDnslPkDfhkUMQuuEO8lkUITdfcmwITnKuLt4VIoUbS RLPFfBWmcUG6bM1VbuDlJvXEtq+XJ7aidE9t7CRNPHDrGhESnSjSFi6iBJA+Sz/j52DpqunA+Xc/ bydWG3pvMWAkXTr1ate1jjFgwAxActdanB1gJKl1Ric0VxMCC+/CJmaQWl2oVfeYGeK9hSCQd9yj tkevIiIIT93rq6mW1rTtzH0rprJ75wkod8iyWp5iEuuXukxrRIc2DovuxfvrpnXAl5MwuoX3pe21 22p/i5s8iGk6EgM8MkQrJELi1sDCHo5A5EK7x4jdiErLjNdG3xbzGHmygk68mmi0M9BQ3vFYuqUa TJUZHCdZalQghV0mr4FdnP0toThGqhgcUYvKYxQUKEbeHgzDYi2y1/ur9GQHel0Aq+V5oih0cszs nBwgu7URpO0q0cDAagPh1BhvggN9Ox4eq49cHfwRDVLjDM4XeF1Y0drqO6Bh4kHQyLdX0HVYTKwo mkvHqK28oGKGldZVRGYOq6d1nwYENMpAvMyUG/QH3uNIpiyGDeEM26R42C7xg7XVt1p50zGpkCvo 2jE0kVgJkgsXnlktkBjYwl7wYQnFi5waw4lhGlhrbccDt3QSrnnsz/KD19DJItHr+Cjvy0eHFUGX +/cDj10g7C/LhMHs8fsWpEiOGcfX2JLiPvDuh+9ywMQ0RdEBLTK7G2DMdXIpXXDwBqtXzNHa2LsL T9ix1Z922a08DRz1t4t7QewBabfLroVFWYvodXEroBUvb9CKF+HiUgCRedIzUH/ZnSCPosXgIWad XQkY2UVRFxl8ZfqJVFqYKuRu2lw7i+9O6nYFwOw+APO7qI9fXgedLDLMBl5XchsgenKRh+25uAy4 uLkrQuPFXfAa6bhJD2yN12bBTSAWwEgklxcBiIwnNMz3gl3zPBuO0KzRdSy8gIatNINcD7vC2B0O +/ISaDG+R9lWdMuCO0AgY0j05RWAIZQH4JYJ8RpRdgNg0lwdyWujb514M17vdsZeGTjfJfvvqjZZ 3LAblXB/scFEP/sl88eDmTxPuNMy3k/QxFX88eIfDkS81lHSxMAY3DNs1I4oosFgCiFQPmGDPIo6 RvEJgzTXhbnM2CS5zRfNfULpStJPNmcjIUQJqGu5dKMWwFFkAir8Bh4QOsa/wj+1BMTJpRCThdcX yMW8x5eSyhdQYwaseTgaH1FcD7eXFbzaFpk68JZWXm9c9uICE5PuE9cJkaQtQnkd1uiu9Fn6GT/H GM/qlhl4PuedsCRZoeyvTrfUafqZ5jLh4Q276vla3vqOujh0tIq2qVN7yGmIGaYf5Xh8liE6dsUm uknRDBe3TN2hkrCC8msGJBXno4Vcx1zwO+Bo3bZDiBC81ko640Y0dnGvC1zMGtNxYKZI5dFLu091 CgzRUwRRjeDdAKUlCwrvaVpNqmvFNL4sl0d6Y+sFHtoVrMezaUMr6LoZiFxz1FX5Rxd81VsrDwJH BRp3QaRJ57D4VJJFGUdhyObZOobFJKEP4TgkiWytmHziavkqtvqGBRUJrlo2agNdO1ZHgKgM4WdH cP1c7ba+gRhowtF9xyGJUStXDBMdpaMh/CWgqdBmMtWlj9LP8PG2nfvfRnY2L67dMIfUWfoZOp1G LOFhs/Y/RjYfo8MKuwSWs7i81KXdprhEXGvJMU2Ej/XQIv1ABxGpYflG+eQqrWIgmnhqXJwX5iUp Egs7wVrtmuCMOTDyEZyK2V2H2yiKW/j+rHepfuWw7S68jixYP1bpSBSrZP3Yru60r/GoeCM+TpQL OBo1oIn0VfoZvp4xO66Xqeo9fZV+xlPCHI8dJSLC7ucgYLJkYH+uVs9Z6jT9TJ3jmYv+4n3UnXm1 NIoX+x/jFRmTYk006Jr8miaQfsY9kYipQBrpGk8fpJ/hQ65MtnjZjbc/BF/QXV/fttdPH18YiknY cdjktOaobcdvESnupQbrICdrPMTehs1zmc/yELm9Q5BEmijmb60+rjqizMcj3EBXrjqKoTVcXXgm sasYrqpboacC926tQLHMoMHYjrtejPdC7dh8sGnaVjHNhbPZWn2rhdAIOHqtY3UEPW/YWx/6q+dq T/MNxBg7sdiFM0ThWuMNdhBDg+HdtbETGMVQFNIJsavWXjqOOJTCegeCf0Orb6vgYcK35Qw20BUx pgq9Mg6Lnz4Iwldb4e9bkXyjO9iNS2SwdYw5PYsUqXnEHFU/nB9eoWxYLNYpjK5fW52rHRbxdsG4 FXRdjz4CPLl1tsmvnKtd3+uIgVOU2NOA0AUcw4BdcAxRSafUKf/IKGxGOIzWt43sfVuFk6y+YDbr Vsn1FO1SVziGbi3kGAr0CseQGyUOu/GEbVKsNcZtbK2u1aJGDBJVdJ0V6SO45Bi61ZyrFzFEl+gj uuM4cHMMDXbJMWbCCKMAcYWwCQpIcXxbq2urasltiI6BDTSdAfhIFEJkRRccw7SWcQwNeskxxN7Y R8PaxhPSpNCLsFsGu8XW6lwtfpB0lVxyDH0ElxxDt+pzdSPG4pwKxgvUzWHNGtmuEiv3EAyC8TbI z0SuioX8LeUBk6fY9QLzd3wuseYxMs1MJ03idd5HmNMSgBnoCxq/FJbtpsRrou0Jmo0Hh+BhFQwK UhOyEK/5CUXX6uOqdUDZCb5L36FrUGJ62SKt6ItJKQaP8TNWhF9xTVwgEWG2VuewE/pevG0vOxY/ X9Qf0IwgQzMp4lxSRp3Ed60nb7c1nVTcXtwkKf4b4wWGtAxdLHAC4uqOJoWBcFcuH7M5hFlEcwQ2 YXFcmlZiN6N3b2t1bo44bZOgctkxDvs6In7QIc2wqpUUWnaRVuewChQPeJZgxBP3YsoJ8gS21nwv EK3ipTKmVt+wuBi4y17rGEsrMZqxlaiBXOmVoOrYOmMUv7raHBVIgUI/XlaCprCqM+mz66iACo06 EIAIm8xQEst56vKSeF/jCHagN1gK9gUJ3JfBCW2PmhS7uzFH21VEX6aM6SqAkS8Vak6t1MvOddF0 DtNgBIO+sq8JB0mID0FEvgPF4EJWWBgWWSO3phGAFD0tBBlgKDDDtlsriC+mWj/6KlDSD7J8PxxD yWG+CUzbXmB3Tei7qmfO1RITvB79hWaHwIP1N6ANdtiQA78Oq1qJOcbp6l+tBuV4Aj9bO8aPQzRv OIJLURm7E/6LrNW5WuLvYwzGJmVvw26Zd8K3Q3jW1jpjl4roiLk+INzFsIkKEw6LDBYYy0BY9Kpi ps+uIz7RudFrKSw6REds8yAeP75RITk3GX5CM3Uii7X1YpbXh5XworjAFXQbFktYzNKRcK3AdrbW V0jcDvQWj0Bmis5Y9OIYIca893gENygnEdh6AttmNU7JoYqETUi0IVaC8dbWQmLVoLPEJtiO4fPR qDWQIYBupq84sbZGyymtXB9+qiEIP8kzl5I1qeEdeX+v7sUrG+w+IcIKRb9ftpqwutUbuXNCGqzH 8m1dgoNkZyv7jxVCBhhhuh+FryUhOZuzMWJEwhuQLWLExcIws47FCx9EFKLDSKgzJ4T5JFXrIyy+ XYV5O2wi4TQgwezxtpJc0zVwP32WfsbPic9ADwq76fmczMcYSeRRF9BuJTppuXEd6gK2vTEZwrDw rMlQac524WnB7FKUciV9Mwv9Q0bdCDNJVCthwtYIQI6omlp9XAoPcorQQcPPBTkwJplRCOOf0X41 6elWLlQYs/t6NqDEJ2f4NHDXRzaPMSbfiwHSjAIxCayr/8Fua9rstL0gfDI1eI5wY2YuBOEKicUV iAWKBjQOIE3CTi1NiQnFYMF+Ru2xwqwm9GmGy9mtf4V72IHeuCCEnCNT3Qh6/4JYAq+iiL2ykBUP yc2BT0QqhCTtnLsRRTZeLiRnhGDCCyxNWxY3iS5hGaFLbQlIn6Wf6XPugBhRdVVTzz/HGxVj9D3H LFGW8cRcn+OnjVF+qK1OPgAfS5aMK3wAWYUbcKN0S5BYKVLa3kLMS+vFDlsciRvHZZScehvoerBg C66lMOwlH9CthXzAgF7wAVqlsOzCdy/5QA82JdeAmw+wRdgLQpcOPoAZZrUyez6XlKwoabv5gOgE Uca8wgck1zFxiUs+YFqVFGHP2P6WTlx1LJKEZT9Ed8kzqIt4cknozPgq97ADvcF+cJDhNg/dQxqr rrNJPxml4udJGbaEuG0A6bP0My6OqixYeEL/oHbQKxVDzj9HgUp+F9fnGK6jHocbdyf+gUQJuk9E 6/icPJ8Y+CSJ82uaZJqz3eS0YLJPY+AJQdyo3Oa6IK+GGJiA9RgBsiwW3YoJJIT3+NiGBkUyDzXV VraBU4KiG2HYS7seDhwxbC7UvbY6h4UNR0l2szVuw4q0lMS1GUywe4FyHz0eCxN3WYkI+DBAibOm M0k/02kQEx2D7xBQRM8NklH67PoR4j5Neg7LC0U/1aK6FO2HZR6NIVsUuk/klGurdy+xWeSg27Dc OMl/TsxPJqihTqytpNaXaBQalOjgzBmNbo/jIOAG6BqqxG2Tgvxi/s3Q9DFp4WK1abPTmWAESFYd D9GiIMUMErSWfRqHJyXN2cNBpLrHG/zpddbJTYyeEM5LYh7X2rAb67yGXRgbeqmVJ9SGRU5eQ1Ci PGEDY0qXJUAqZgal/RbbIBGwARY5NeDezn5bINIdE52lY0k/w/EQjrMmRDoUPglz6GOEk+tziU+N vKYjYDGpKmkS6WecDNRL/t2yYFfvFUgYpeJ97ZPNnpI7SSJM0Swtd8gnw4knv+NM3nC+ka8cN7Gt gYBG/BbWaCJZpLix44GSMWGRocbNEe9+bONS6uGaXpfNMkfLZFxIn72F0djY4u1UoItwdyymhusi Csm5cKsoYcwE3Bqbkm4lIEyKHlxb4tWdVR1jsEYhMoRE5F/KD+NmImrTthKoGg3AW+sFIV0dloD7 KrpyN9CVQtlA/M/LgeIFi16MrZUKCsljgB6PMfTaatNJRRrAZp6ScTF+SNUgi6XXZ4lJLfotJTfW OhmQa0hySGiH3dXoh3hR1jJbRF6W5K2CCqQqB/LeQNflcyb4ySO2Syi/PRNsHFE682M7xRSlAtTC TYUJX2D7FSOapP9TlysCUaQpwxx2O9EkV154C2Jbg4RCxxWurV7MgVtGVrCCrh2DOSlTkiA7SZ3i mLdWvC6Rs0mC4iqL2sO3vyX8QbOO6v5IREYIut06Jgs2luQdKGVpS4Jhw0RdjsEUAzEiC6JcrDZH WIK2kokHO8RqCU6fXZ8lxb/imaAE5XVluNJTlD/KeGZt5SZWrcLTr5LVK8NuoFjgbKAXyyd3MRo9 LpQvyeO7yi7tQG/xW6kdGS9DAs7WCqSbBJG2LB0lAkESEckEutCm7MgrEKkkSYRD2bPYjmqQ8n/A eqRIi3aiV0R2trZenP/VYeEiMtaiVaygK9pRMzURO9YG0jDNsLq1hc8nKd8OZH+Lq9WghNaGCPp1 2JoIhmTNRvMNcvLWShHYJAyurb7VktGx2dYvO0ZPj1G1EGNMmN2GJeS8DgdEhOpWfsuuz/6WzpZa lVG/ITyTWgVmG9GN0XqWI8CgIYqQYSmvYJ8d6A30pYTKFsJFukI6pQ19bVdxzuiBUtBgQQw2PJRA XzdDnNTJZo8wjF1Jz5mUYGIvA+za6jshdH84Rwa6DQuuRKWE6V1MChEm2cHZ03Wldn32t7RafPgp oBpeElzn27BStTacEMIEwm62Wsxpyl+cskHsQPa3NKwoqYFziZQSQqa3YYm9S0cA/thMIQyb18/V DvQWYlAGN7pBmL+EggSJZQ8xsFEk+ZqSHdm1jClBUoAWtJGE9xwxlhKattWLGARMRZy60vEWv0DJ AXJg7QlJNG+EBalDzQXnsDDI5C9tCSQxZj+0MJhIPHqiNXIiETJIuJxancOCC+lsrnQs9U4SbY4x p2BDm1fO1Y8YKP4xh5jLBin0AjGyC4/LWfIpl2MlOGF1WabP0s+E9S0lCSM5uT4nsTMSCYastfR5 6jX9TL2jt6fr2vU5t3U8Qs9kILq0N67PSY2PkhkGnxXz0pzTzzR3tTPXPrdHmIDIGUyUsQJt2EDc SCx2gUh8gcCUlEzGU6kOe13VeWVY2H7EboTTTCSBDyCTBJQgry/nEoJhEQM0htmBLjfnKlqmz95i dXpfEeYu78DUSdpTrDrRgc+ubQDps/QzfY49KDnISfkP8imUnj5LP9PnVGRIEUbXPrfbsAJRmCvu 9wqkjpnI56C04d7mzC0DRHZLwiX2nJDg5uVELCdSHzFENtINU+habW3ZpwV/tkll2/4KdsVqzsxH niZYIi7XNwqWSb6c/3J//Cp61svx8eHjnx8eH5dfTp9/+uHxdPPLgecOxPKC1hquMPPZ45M8cYBr TDTQu8Pzh9tPj4fz8sDB01H6CqLL6eX8p8PLl9Db0kHYwq8P5/tT6Pbxicl9e355//L84+m7P8q/ fjp+/O3H083p/PjDUWZxe3N4uvty5M2Fu/NpmY189e3leYH8/P7bZ/nX4f3n0+H5y8Pdnw7ng/59 +er9fXP8cnz8eH/67j8BAAD//wMAUEsDBBQABgAIAAAAIQD+m+oq5gAAABABAAAPAAAAZHJzL2Rv d25yZXYueG1sTI9Pb8IwDMXvk/YdIk/aDZJ2YpTSFCH254SQBpMmbqYxbUWTVE1oy7dfOG0Xy5bt 994vW426YT11rrZGQjQVwMgUVtWmlPB9+JgkwJxHo7CxhiTcyMEqf3zIMFV2MF/U733JgohxKUqo vG9Tzl1RkUY3tS2ZsDvbTqMPY1dy1eEQxHXDYyFeucbaBIcKW9pUVFz2Vy3hc8Bh/RK999vLeXM7 Hma7n21EUj4/jW/LUNZLYJ5G//cBd4aQH/IQ7GSvRjnWSJhEIglEXkKcLIDdL+ZiBuwUmnieAM8z /h8k/wUAAP//AwBQSwECLQAUAAYACAAAACEAtoM4kv4AAADhAQAAEwAAAAAAAAAAAAAAAAAAAAAA W0NvbnRlbnRfVHlwZXNdLnhtbFBLAQItABQABgAIAAAAIQA4/SH/1gAAAJQBAAALAAAAAAAAAAAA AAAAAC8BAABfcmVscy8ucmVsc1BLAQItABQABgAIAAAAIQCycwi3ZTUAALYkAQAOAAAAAAAAAAAA AAAAAC4CAABkcnMvZTJvRG9jLnhtbFBLAQItABQABgAIAAAAIQD+m+oq5gAAABABAAAPAAAAAAAA AAAAAAAAAL83AABkcnMvZG93bnJldi54bWxQSwUGAAAAAAQABADzAAAA0jgAAAAA ">
              <v:rect id="Rectangle 7" style="position:absolute;top:1708;width:4572;height:4572;visibility:visible;mso-wrap-style:square;v-text-anchor:middle" o:spid="_x0000_s1027" fillcolor="white [3212]" stroked="f" strokeweight="1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INc+yAAAAN8AAAAPAAAAZHJzL2Rvd25yZXYueG1sRI/NasMw EITvhbyD2EAvpZFTQ1OcKCE/FHLpoWkIPS7W1hKxVsZSbKdPXwUCvQwMw3zDLFaDq0VHbbCeFUwn GQji0mvLlYLj1/vzG4gQkTXWnknBlQKslqOHBRba9/xJ3SFWIkE4FKjAxNgUUobSkMMw8Q1xyn58 6zAm21ZSt9gnuKvlS5a9SoeW04LBhraGyvPh4hR8XPN83z3l5/5o88r+yu/NyXilHsfDbp5kPQcR aYj/jTtirxXM4PYnfQG5/AMAAP//AwBQSwECLQAUAAYACAAAACEA2+H2y+4AAACFAQAAEwAAAAAA AAAAAAAAAAAAAAAAW0NvbnRlbnRfVHlwZXNdLnhtbFBLAQItABQABgAIAAAAIQBa9CxbvwAAABUB AAALAAAAAAAAAAAAAAAAAB8BAABfcmVscy8ucmVsc1BLAQItABQABgAIAAAAIQAaINc+yAAAAN8A AAAPAAAAAAAAAAAAAAAAAAcCAABkcnMvZG93bnJldi54bWxQSwUGAAAAAAMAAwC3AAAA/AIAAAAA "/>
              <v:shape id="Freeform 16" style="position:absolute;left:4622;width:13063;height:4025;visibility:visible;mso-wrap-style:square;v-text-anchor:middle" coordsize="2371650,731520" o:spid="_x0000_s1028" fillcolor="black" stroked="f" strokeweight=".96pt" path="m1242411,294278v,27360,-9131,50245,-27106,68078c1191395,386091,1152606,399033,1105967,398675v-33472,-554,-67289,-8690,-86422,-20446l1032291,311182v20280,11524,55709,23155,82140,23155c1136198,334337,1150862,324294,1150862,308183v,-14604,-10308,-24810,-36637,-37692c1072578,249666,1051741,223266,1051741,192152v,-61221,52145,-102593,130380,-102593c1223519,89559,1250469,99314,1265412,108904r-12722,66915c1240846,166918,1210743,154501,1177909,154501v-22802,,-37652,9550,-37652,25539c1140257,191509,1151620,201785,1175674,213510v31340,15659,66737,38840,66737,80768xm700127,90173v-110210,,-193252,80479,-193252,187204c506875,351082,555850,398675,631821,398675v32494,,64079,-5954,84416,-15852l730160,309292v-27196,13482,-48475,19018,-73558,19018c628820,328310,599017,312324,599017,267701v,-52582,37293,-107152,99890,-107152c717876,160549,733752,164314,747443,172102r13626,-71492c745316,94092,722493,90173,700127,90173xm2245494,330114v36780,,68611,-8996,103317,-29156l2334727,374974v-41913,21400,-91153,23723,-110384,23723c2142522,398697,2095748,353194,2095748,273749v,-45809,16828,-91711,46138,-125940c2174044,110240,2219003,89568,2268462,89568v61900,,103189,35962,103189,89283c2371651,203510,2363628,223791,2347824,239192v-29563,28812,-102425,44959,-168783,31927c2175880,308509,2204027,330114,2245494,330114xm2188658,214066v51611,424,80642,-4797,93311,-17342c2295685,183096,2291390,153896,2257578,153896v-38043,,-62263,31189,-68920,60170xm2051252,90173v-110210,,-193252,80479,-193252,187204c1858000,351082,1906976,398675,1982946,398675v32494,,64079,-5954,84416,-15852l2081285,309292v-27196,13482,-48475,19018,-73558,19018c1979945,328310,1950142,312325,1950142,267702v,-52583,37293,-107153,99890,-107153c2069001,160549,2084877,164314,2098568,172102r13626,-71491c2096441,94093,2073618,90173,2051252,90173xm1843528,226669r-31712,165970l1727820,392639r10916,-57126c1726954,371115,1698254,399290,1650105,399290v-58436,,-84846,-51876,-84877,-103792c1565188,236519,1588359,178113,1627168,139273v32510,-32528,74466,-49713,121371,-49713c1784225,89702,1810622,100031,1827163,120078v24484,29669,22475,74207,16365,106591xm1762661,188485v-1025,-20928,-11919,-32211,-31452,-32211c1689845,156274,1654009,227668,1654041,277317v11,31020,11509,50338,31513,50338c1717548,327655,1745105,294195,1754585,245198v3228,-16558,8665,-43739,8076,-56713xm492406,226669l460693,392639r-83995,l387613,335513v-11781,35602,-40482,63777,-88631,63777c240545,399290,214137,347414,214106,295498v-41,-58979,23130,-117385,61939,-156225c308555,106745,350510,89560,397417,89560v35684,142,62082,10471,78623,30518c500525,149747,498516,194285,492406,226669xm411539,188485v-1026,-20928,-11920,-32211,-31453,-32211c338722,156274,302887,227668,302918,277317v12,31020,11508,50338,31513,50338c366426,327655,393983,294195,403462,245198v3229,-16558,8665,-43739,8077,-56713xm1559358,202421v,72107,-34620,146039,-97021,179304c1439414,393945,1417476,399076,1398411,399293v-31239,-2,-48751,-11679,-58736,-29683l1317337,487670r-87939,l1304052,95023r77454,l1372451,142685v21882,-31832,54290,-53125,90972,-53125c1521623,89560,1559357,133667,1559357,202421r1,xm1467902,209082v,-13977,-3300,-47920,-35511,-47920c1399638,161162,1371988,198477,1361269,255076v-3669,19351,-13937,77458,26522,77458c1433981,332534,1467902,266966,1467902,209082xm122511,161001l135047,95022r-77447,l,397876r87953,l111703,273006v14004,-73633,56248,-103098,116368,-93996l245247,88676c191123,83740,142846,114704,122511,161001xm827930,392638l858223,233285r62353,159353l1015149,392638,950636,232019,1068043,95022r-96006,l858750,230516,902570,,815233,,740583,392638r87347,xm1839859,600836v,42897,-29700,79536,-72572,79536c1735543,680372,1715912,658419,1715912,628492v,-42620,29699,-79536,72571,-79536c1822296,548956,1839859,573230,1839859,600836xm1746898,627709v,17285,9034,29448,24528,29448c1793908,657157,1808872,626170,1808872,601088v,-12894,-5930,-28918,-24022,-28918c1760853,572170,1746898,604217,1746898,627709xm2044503,600836v,42897,-29700,79536,-72572,79536c1940187,680372,1920555,658419,1920555,628492v,-42620,29700,-79536,72572,-79536c2026940,548956,2044503,573230,2044503,600836xm1951542,627709v,17285,9034,29448,24527,29448c1998552,657157,2013516,626170,2013516,601088v,-12894,-5930,-28918,-24022,-28918c1965496,572170,1951542,604217,1951542,627709xm1884855,510629r-31748,166916l1883083,677545r31979,-166916l1884855,510629xm1400114,549208v-46480,,-79788,36917,-79788,80823c1320326,659983,1339680,680120,1371196,680120v16676,,29727,-3921,37079,-7675l1413237,646349v-4368,2454,-16749,9496,-33789,9496c1362668,655845,1351817,645247,1351817,626423v,-26344,18345,-52940,47263,-52940c1410312,573483,1417035,576590,1422249,579346r4755,-25010c1422592,552209,1412104,549208,1400114,549208xm1228324,643733v-2851,-4921,-3886,-13450,-3356,-17840c1273517,626927,1307330,616582,1307330,584333v,-21196,-15745,-35377,-40550,-35377c1223404,548956,1195521,590263,1195521,628214v,30735,16780,52158,51653,52158c1263709,680372,1282121,676139,1294703,668583r5147,-27074c1289613,648898,1274929,656627,1254138,656627v-11885,,-20918,-4391,-25814,-12894xm1262919,571414v9564,,15999,4895,15999,12919c1278918,599549,1259033,603687,1228047,603410v3633,-15216,16023,-31996,34872,-31996xm1695170,583525v,-23744,-13954,-34570,-32021,-34570c1645210,548955,1628878,557828,1617217,575329r4656,-24305l1594758,551024r-24065,126521l1600669,677545r11129,-58087c1617223,589985,1634483,573483,1648160,573483v11885,,15771,7469,15771,18067c1663931,596445,1663330,601885,1662448,606538r-13506,71007l1678918,677545r14049,-73328c1694254,598010,1695170,589228,1695170,583525xm1521033,548955v-15924,,-30581,6993,-41830,20804l1490532,510629r-30207,l1428577,677545r29977,l1469682,619458v5425,-29473,22686,-45976,36362,-45976c1517930,573482,1521815,580952,1521815,591550v,4895,-600,10335,-1483,14988l1506827,677545r29976,l1550851,604217v1287,-6207,2203,-14989,2203,-20692c1553054,559780,1539100,548955,1521033,548955xm1171990,519414r-29242,l1136323,551782r-16781,l1115151,575022r16807,l1121106,631066v-1815,9285,-2599,16249,-2599,23239c1118507,668765,1127567,680120,1148208,680120v7241,,15241,-757,19632,-2574l1167840,677542r4535,-23839c1168933,654444,1164660,654835,1160345,654835v-8000,,-11102,-4390,-11102,-11380c1149243,638030,1150277,631571,1151563,625640r9817,-50618l1189541,575022r4642,-23240l1166023,551782r5967,-32368xm2182235,724544v23037,10658,45741,5941,62204,-23509l2244439,700986r84129,-149962l2296546,551024r-47778,93616l2237166,551024r-31517,l2228062,674169r-9810,19657c2209437,708887,2194055,703972,2186900,700003r-4665,24542l2182235,724544xm2141307,548955v-53479,,-80867,47284,-80867,87072c2060440,658505,2071550,680467,2098421,680467v16673,,31714,-8131,41803,-22454l2137816,669017v-6182,29195,-21171,38481,-40802,38481c2085128,707498,2071200,704394,2063958,700003r-4666,24542c2067991,728825,2081655,731520,2096388,731520v15909,,33653,-3103,46961,-13954c2157703,705706,2164765,686075,2169456,661548r11386,-57038c2182391,597530,2183423,589781,2183423,582806v,-22736,-15761,-33851,-42116,-33851xm2150868,602956r-2323,11626c2143377,639905,2127358,655924,2111855,655924v-13950,,-19897,-11626,-19897,-25322c2091958,605801,2109273,571955,2135623,571955v10594,,16536,5684,16794,16019c2152675,593916,2151653,598375,2150868,602956xm2362069,651612v1450,-15951,-10271,-28880,-26221,-28880c2319897,622732,2305880,635661,2304430,651612v-1571,14621,9183,28759,26221,28759c2346602,680492,2360619,667562,2362069,651612xm2357960,651249v-1208,13776,-13533,25013,-27308,25013c2317118,676262,2307330,665387,2308538,651974v1209,-13654,13413,-25013,27309,-25013c2349260,626961,2359169,637836,2357960,651249xm2338022,655116r4592,13413l2338143,668529r-4471,-13050l2327268,655479r-2417,13050l2320622,668529r6404,-33955l2338143,634574v5075,,8942,3746,9063,8579c2347327,647624,2344185,653425,2338023,655116r-1,xm2338143,638682r-7733,l2327993,651370r7008,c2338747,651370,2342010,648470,2342977,644604v725,-3021,-1692,-5921,-4834,-5921l2338143,63868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x15/xgAAAOAAAAAPAAAAZHJzL2Rvd25yZXYueG1sRI9Ni8Iw EIbvwv6HMAveNHURkWoUcXFZvPkBsrehmSZlm0ltotZ/bwTByzDDy/sMz3zZuVpcqQ2VZwWjYQaC uPC6YqPgeNgMpiBCRNZYeyYFdwqwXHz05phrf+MdXffRiAThkKMCG2OTSxkKSw7D0DfEKSt96zCm szVSt3hLcFfLryybSIcVpw8WG1pbKv73F6fAXGxdmp/sdP5bT0xzCttxuTkr1f/svmdprGYgInXx 3XghfnVyGMNTKC0gFw8AAAD//wMAUEsBAi0AFAAGAAgAAAAhANvh9svuAAAAhQEAABMAAAAAAAAA AAAAAAAAAAAAAFtDb250ZW50X1R5cGVzXS54bWxQSwECLQAUAAYACAAAACEAWvQsW78AAAAVAQAA CwAAAAAAAAAAAAAAAAAfAQAAX3JlbHMvLnJlbHNQSwECLQAUAAYACAAAACEADsdef8YAAADgAAAA DwAAAAAAAAAAAAAAAAAHAgAAZHJzL2Rvd25yZXYueG1sUEsFBgAAAAADAAMAtwAAAPoCAAAAAA== ">
                <v:stroke joinstyle="miter"/>
                <v:path arrowok="t" o:connecttype="custom" o:connectlocs="684310,161920;669380,199379;609158,219363;561557,208113;568578,171222;613820,183962;633886,169571;613706,148832;579291,105728;651103,49278;696979,59922;689972,96741;648783,85011;628045,99063;647552,117480;684310,161920;385624,49616;279183,152621;348002,219363;394498,210641;402166,170182;361651,180646;329934,147297;384952,88339;411686,94696;419191,55359;385624,49616;1236800,181639;1293706,165596;1285949,206322;1225150,219375;1154321,150625;1179734,81329;1249451,49283;1306287,98409;1293163,131611;1200198,149178;1236800,181639;1205495,117785;1256890,108243;1243456,84678;1205495,117785;1129813,49616;1023372,152621;1092191,219363;1138687,210641;1146355,170182;1105840,180646;1074123,147298;1129141,88339;1155875,94696;1163380,55359;1129813,49616;1015401,124720;997934,216042;951670,216042;957682,184609;908865,219701;862115,162592;896231,76632;963081,49279;1006387,66070;1015401,124720;970860,103710;953536,85987;911033,152588;928390,180285;966411,134915;970860,103710;271213,124720;253746,216042;207482,216042;213494,184609;164677,219701;117928,162592;152043,76632;218894,49279;262199,66070;271213,124720;226672,103710;209348,85987;166845,152588;184202,180285;222224,134915;226672,103710;858882,111378;805444,210036;770234,219703;737882,203370;725579,268330;677143,268330;718261,52284;760923,52284;755935,78510;806042,49279;858881,111378;808509,115043;788950,88676;749776,140350;764384,182970;808509,115043;67478,88588;74383,52284;31726,52284;0,218923;48444,218923;61525,150216;125620,98497;135080,48792;67478,88588;456017,216041;472702,128360;507046,216041;559136,216041;523603,127664;588270,52284;535390,52284;472993,126837;497128,0;449024,0;407907,216041;1013380,330598;973408,374361;945111,345815;985082,302052;1013380,330598;962178,345384;975687,361587;996312,330736;983081,314825;962178,345384;1126096,330598;1086124,374361;1057826,345815;1097799,302052;1126096,330598;1074894,345384;1088403,361587;1109029,330736;1095798,314825;1074894,345384;1038163,280963;1020677,372805;1037187,372805;1054801,280963;771172,302191;727225,346662;755244,374222;775667,369999;778400,355640;759789,360865;744570,344677;770602,315547;783363,318773;785982,305012;771172,302191;676551,354201;674703,344385;720067,321517;697732,302052;658483,345662;686934,374361;713112,367874;715947,352977;690769,361296;676551,354201;695606,314409;704418,321517;676399,332014;695606,314409;933686,321073;916049,302051;890750,316563;893315,303190;878380,303190;865125,372805;881636,372805;887766,340844;907793,315547;916480,325488;915663,333735;908224,372805;924735,372805;932473,332458;933686,321073;837773,302051;814733,313498;820973,280963;804335,280963;786849,372805;803360,372805;809489,340844;829517,315547;838204,325488;837387,333735;829948,372805;846459,372805;854196,332458;855410,321073;837773,302051;645523,285797;629417,285797;625878,303607;616635,303607;614216,316394;623473,316394;617496,347231;616065,360018;632424,374222;643237,372806;643237,372804;645735,359687;639109,360310;632994,354048;634272,344246;639679,316394;655190,316394;657747,303607;642236,303607;1201958,398666;1236219,385730;1236219,385703;1282557,303190;1264919,303190;1238604,354700;1232213,303190;1214854,303190;1227199,370948;1221796,381764;1204527,385162;1201958,398666;1179415,302051;1134874,349961;1155794,374413;1178818,362058;1177492,368113;1155019,389286;1136812,385162;1134242,398666;1154674,402504;1180540,394826;1194919,364003;1201190,332619;1202612,320677;1179415,302051;1184681,331764;1183402,338161;1163193,360909;1152234,346976;1176284,314707;1185534,323521;1184681,331764;1301009,358536;1286567,342646;1269262,358536;1283704,374360;1301009,358536;1298746,358337;1283705,372099;1271524,358735;1286566,344973;1298746,358337;1287764,360464;1290293,367844;1287831,367844;1285368,360664;1281841,360664;1280509,367844;1278180,367844;1281707,349161;1287831,349161;1292822,353882;1287765,360464;1287764,360464;1287831,351422;1283571,351422;1282240,358403;1286100,358403;1290493,354680;1287831,351422"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A0F81" w14:textId="77777777" w:rsidR="00F25796" w:rsidRDefault="00F25796" w:rsidP="00550B03">
      <w:pPr>
        <w:spacing w:after="0" w:line="240" w:lineRule="auto"/>
      </w:pPr>
      <w:r>
        <w:separator/>
      </w:r>
    </w:p>
  </w:footnote>
  <w:footnote w:type="continuationSeparator" w:id="0">
    <w:p w14:paraId="7D4872A6" w14:textId="77777777" w:rsidR="00F25796" w:rsidRDefault="00F25796" w:rsidP="00550B03">
      <w:pPr>
        <w:spacing w:after="0" w:line="240" w:lineRule="auto"/>
      </w:pPr>
      <w:r>
        <w:continuationSeparator/>
      </w:r>
    </w:p>
  </w:footnote>
  <w:footnote w:id="1">
    <w:p w14:paraId="4E789016" w14:textId="31DA6C87" w:rsidR="00ED69A7" w:rsidRDefault="00ED69A7">
      <w:pPr>
        <w:pStyle w:val="FootnoteText"/>
      </w:pPr>
      <w:r>
        <w:rPr>
          <w:rStyle w:val="FootnoteReference"/>
        </w:rPr>
        <w:footnoteRef/>
      </w:r>
      <w:r>
        <w:t xml:space="preserve"> Please note figures are indicative only, and subject to commercial agreement from each hyperscaler. </w:t>
      </w:r>
    </w:p>
  </w:footnote>
  <w:footnote w:id="2">
    <w:p w14:paraId="70FE78A9" w14:textId="5B8CE6B9" w:rsidR="0098340B" w:rsidRDefault="0098340B">
      <w:pPr>
        <w:pStyle w:val="FootnoteText"/>
      </w:pPr>
      <w:r>
        <w:rPr>
          <w:rStyle w:val="FootnoteReference"/>
        </w:rPr>
        <w:footnoteRef/>
      </w:r>
      <w:r>
        <w:t xml:space="preserve"> </w:t>
      </w:r>
      <w:r w:rsidRPr="0098340B">
        <w:t>*These figures are indicative, based on established funding programmes, and subject to formal approval.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B93AB" w14:textId="77777777" w:rsidR="00F57DAB" w:rsidRDefault="00F57D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1D9A090D" w14:paraId="1081C796" w14:textId="77777777" w:rsidTr="1D9A090D">
      <w:trPr>
        <w:trHeight w:val="300"/>
      </w:trPr>
      <w:tc>
        <w:tcPr>
          <w:tcW w:w="3245" w:type="dxa"/>
        </w:tcPr>
        <w:p w14:paraId="24A5A7A3" w14:textId="23BE0DE2" w:rsidR="1D9A090D" w:rsidRDefault="1D9A090D" w:rsidP="1D9A090D">
          <w:pPr>
            <w:pStyle w:val="Header"/>
            <w:ind w:left="-115"/>
          </w:pPr>
        </w:p>
      </w:tc>
      <w:tc>
        <w:tcPr>
          <w:tcW w:w="3245" w:type="dxa"/>
        </w:tcPr>
        <w:p w14:paraId="1428B38C" w14:textId="48CFA9BB" w:rsidR="1D9A090D" w:rsidRDefault="1D9A090D" w:rsidP="1D9A090D">
          <w:pPr>
            <w:pStyle w:val="Header"/>
            <w:jc w:val="center"/>
          </w:pPr>
        </w:p>
      </w:tc>
      <w:tc>
        <w:tcPr>
          <w:tcW w:w="3245" w:type="dxa"/>
        </w:tcPr>
        <w:p w14:paraId="70E6DC69" w14:textId="4AB86F70" w:rsidR="1D9A090D" w:rsidRDefault="1D9A090D" w:rsidP="1D9A090D">
          <w:pPr>
            <w:pStyle w:val="Header"/>
            <w:ind w:right="-115"/>
            <w:jc w:val="right"/>
          </w:pPr>
        </w:p>
      </w:tc>
    </w:tr>
  </w:tbl>
  <w:p w14:paraId="616A49ED" w14:textId="40C731DD" w:rsidR="00F57DAB" w:rsidRDefault="00F57D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962DF" w14:textId="7F853891" w:rsidR="0044247A" w:rsidRDefault="00E74FD1" w:rsidP="0032314F">
    <w:r w:rsidRPr="00DF24DC">
      <w:rPr>
        <w:noProof/>
      </w:rPr>
      <mc:AlternateContent>
        <mc:Choice Requires="wpg">
          <w:drawing>
            <wp:anchor distT="0" distB="0" distL="114300" distR="114300" simplePos="0" relativeHeight="251658243" behindDoc="1" locked="0" layoutInCell="1" allowOverlap="1" wp14:anchorId="34D80A1D" wp14:editId="1DF1B531">
              <wp:simplePos x="0" y="0"/>
              <wp:positionH relativeFrom="column">
                <wp:posOffset>-685800</wp:posOffset>
              </wp:positionH>
              <wp:positionV relativeFrom="page">
                <wp:posOffset>813435</wp:posOffset>
              </wp:positionV>
              <wp:extent cx="1659255" cy="1143000"/>
              <wp:effectExtent l="0" t="0" r="4445" b="0"/>
              <wp:wrapNone/>
              <wp:docPr id="6" name="Group 2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659255" cy="1143000"/>
                        <a:chOff x="0" y="0"/>
                        <a:chExt cx="1235648" cy="850900"/>
                      </a:xfrm>
                    </wpg:grpSpPr>
                    <wps:wsp>
                      <wps:cNvPr id="9" name="Freeform 9"/>
                      <wps:cNvSpPr/>
                      <wps:spPr>
                        <a:xfrm>
                          <a:off x="0" y="0"/>
                          <a:ext cx="1235648" cy="850900"/>
                        </a:xfrm>
                        <a:custGeom>
                          <a:avLst/>
                          <a:gdLst>
                            <a:gd name="connsiteX0" fmla="*/ 1073421 w 1235648"/>
                            <a:gd name="connsiteY0" fmla="*/ 850900 h 850900"/>
                            <a:gd name="connsiteX1" fmla="*/ 0 w 1235648"/>
                            <a:gd name="connsiteY1" fmla="*/ 850900 h 850900"/>
                            <a:gd name="connsiteX2" fmla="*/ 0 w 1235648"/>
                            <a:gd name="connsiteY2" fmla="*/ 0 h 850900"/>
                            <a:gd name="connsiteX3" fmla="*/ 1235649 w 1235648"/>
                            <a:gd name="connsiteY3" fmla="*/ 0 h 850900"/>
                            <a:gd name="connsiteX4" fmla="*/ 1073421 w 1235648"/>
                            <a:gd name="connsiteY4" fmla="*/ 850900 h 8509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35648" h="850900">
                              <a:moveTo>
                                <a:pt x="1073421" y="850900"/>
                              </a:moveTo>
                              <a:lnTo>
                                <a:pt x="0" y="850900"/>
                              </a:lnTo>
                              <a:lnTo>
                                <a:pt x="0" y="0"/>
                              </a:lnTo>
                              <a:lnTo>
                                <a:pt x="1235649" y="0"/>
                              </a:lnTo>
                              <a:lnTo>
                                <a:pt x="1073421" y="850900"/>
                              </a:lnTo>
                              <a:close/>
                            </a:path>
                          </a:pathLst>
                        </a:custGeom>
                        <a:solidFill>
                          <a:srgbClr val="EB0000"/>
                        </a:solidFill>
                        <a:ln w="945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10"/>
                      <wps:cNvSpPr/>
                      <wps:spPr>
                        <a:xfrm>
                          <a:off x="511712" y="152796"/>
                          <a:ext cx="432791" cy="545307"/>
                        </a:xfrm>
                        <a:custGeom>
                          <a:avLst/>
                          <a:gdLst>
                            <a:gd name="connsiteX0" fmla="*/ 179805 w 432791"/>
                            <a:gd name="connsiteY0" fmla="*/ 529993 h 545307"/>
                            <a:gd name="connsiteX1" fmla="*/ 179368 w 432791"/>
                            <a:gd name="connsiteY1" fmla="*/ 532288 h 545307"/>
                            <a:gd name="connsiteX2" fmla="*/ 174304 w 432791"/>
                            <a:gd name="connsiteY2" fmla="*/ 532288 h 545307"/>
                            <a:gd name="connsiteX3" fmla="*/ 171820 w 432791"/>
                            <a:gd name="connsiteY3" fmla="*/ 545308 h 545307"/>
                            <a:gd name="connsiteX4" fmla="*/ 169320 w 432791"/>
                            <a:gd name="connsiteY4" fmla="*/ 545308 h 545307"/>
                            <a:gd name="connsiteX5" fmla="*/ 171804 w 432791"/>
                            <a:gd name="connsiteY5" fmla="*/ 532288 h 545307"/>
                            <a:gd name="connsiteX6" fmla="*/ 166714 w 432791"/>
                            <a:gd name="connsiteY6" fmla="*/ 532288 h 545307"/>
                            <a:gd name="connsiteX7" fmla="*/ 167152 w 432791"/>
                            <a:gd name="connsiteY7" fmla="*/ 529993 h 545307"/>
                            <a:gd name="connsiteX8" fmla="*/ 179805 w 432791"/>
                            <a:gd name="connsiteY8" fmla="*/ 529993 h 545307"/>
                            <a:gd name="connsiteX9" fmla="*/ 198537 w 432791"/>
                            <a:gd name="connsiteY9" fmla="*/ 529993 h 545307"/>
                            <a:gd name="connsiteX10" fmla="*/ 195616 w 432791"/>
                            <a:gd name="connsiteY10" fmla="*/ 545308 h 545307"/>
                            <a:gd name="connsiteX11" fmla="*/ 193116 w 432791"/>
                            <a:gd name="connsiteY11" fmla="*/ 545308 h 545307"/>
                            <a:gd name="connsiteX12" fmla="*/ 195161 w 432791"/>
                            <a:gd name="connsiteY12" fmla="*/ 534586 h 545307"/>
                            <a:gd name="connsiteX13" fmla="*/ 188929 w 432791"/>
                            <a:gd name="connsiteY13" fmla="*/ 541852 h 545307"/>
                            <a:gd name="connsiteX14" fmla="*/ 187436 w 432791"/>
                            <a:gd name="connsiteY14" fmla="*/ 541852 h 545307"/>
                            <a:gd name="connsiteX15" fmla="*/ 183980 w 432791"/>
                            <a:gd name="connsiteY15" fmla="*/ 534565 h 545307"/>
                            <a:gd name="connsiteX16" fmla="*/ 181931 w 432791"/>
                            <a:gd name="connsiteY16" fmla="*/ 545308 h 545307"/>
                            <a:gd name="connsiteX17" fmla="*/ 179431 w 432791"/>
                            <a:gd name="connsiteY17" fmla="*/ 545308 h 545307"/>
                            <a:gd name="connsiteX18" fmla="*/ 182352 w 432791"/>
                            <a:gd name="connsiteY18" fmla="*/ 529993 h 545307"/>
                            <a:gd name="connsiteX19" fmla="*/ 184609 w 432791"/>
                            <a:gd name="connsiteY19" fmla="*/ 529993 h 545307"/>
                            <a:gd name="connsiteX20" fmla="*/ 188771 w 432791"/>
                            <a:gd name="connsiteY20" fmla="*/ 538766 h 545307"/>
                            <a:gd name="connsiteX21" fmla="*/ 196277 w 432791"/>
                            <a:gd name="connsiteY21" fmla="*/ 529993 h 545307"/>
                            <a:gd name="connsiteX22" fmla="*/ 198537 w 432791"/>
                            <a:gd name="connsiteY22" fmla="*/ 529993 h 545307"/>
                            <a:gd name="connsiteX23" fmla="*/ 216197 w 432791"/>
                            <a:gd name="connsiteY23" fmla="*/ 128249 h 545307"/>
                            <a:gd name="connsiteX24" fmla="*/ 238319 w 432791"/>
                            <a:gd name="connsiteY24" fmla="*/ 12083 h 545307"/>
                            <a:gd name="connsiteX25" fmla="*/ 101648 w 432791"/>
                            <a:gd name="connsiteY25" fmla="*/ 12083 h 545307"/>
                            <a:gd name="connsiteX26" fmla="*/ 0 w 432791"/>
                            <a:gd name="connsiteY26" fmla="*/ 545308 h 545307"/>
                            <a:gd name="connsiteX27" fmla="*/ 155213 w 432791"/>
                            <a:gd name="connsiteY27" fmla="*/ 545308 h 545307"/>
                            <a:gd name="connsiteX28" fmla="*/ 197124 w 432791"/>
                            <a:gd name="connsiteY28" fmla="*/ 325453 h 545307"/>
                            <a:gd name="connsiteX29" fmla="*/ 402480 w 432791"/>
                            <a:gd name="connsiteY29" fmla="*/ 159958 h 545307"/>
                            <a:gd name="connsiteX30" fmla="*/ 432792 w 432791"/>
                            <a:gd name="connsiteY30" fmla="*/ 908 h 545307"/>
                            <a:gd name="connsiteX31" fmla="*/ 216197 w 432791"/>
                            <a:gd name="connsiteY31" fmla="*/ 128249 h 5453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432791" h="545307">
                              <a:moveTo>
                                <a:pt x="179805" y="529993"/>
                              </a:moveTo>
                              <a:lnTo>
                                <a:pt x="179368" y="532288"/>
                              </a:lnTo>
                              <a:lnTo>
                                <a:pt x="174304" y="532288"/>
                              </a:lnTo>
                              <a:lnTo>
                                <a:pt x="171820" y="545308"/>
                              </a:lnTo>
                              <a:lnTo>
                                <a:pt x="169320" y="545308"/>
                              </a:lnTo>
                              <a:lnTo>
                                <a:pt x="171804" y="532288"/>
                              </a:lnTo>
                              <a:lnTo>
                                <a:pt x="166714" y="532288"/>
                              </a:lnTo>
                              <a:lnTo>
                                <a:pt x="167152" y="529993"/>
                              </a:lnTo>
                              <a:lnTo>
                                <a:pt x="179805" y="529993"/>
                              </a:lnTo>
                              <a:close/>
                              <a:moveTo>
                                <a:pt x="198537" y="529993"/>
                              </a:moveTo>
                              <a:lnTo>
                                <a:pt x="195616" y="545308"/>
                              </a:lnTo>
                              <a:lnTo>
                                <a:pt x="193116" y="545308"/>
                              </a:lnTo>
                              <a:lnTo>
                                <a:pt x="195161" y="534586"/>
                              </a:lnTo>
                              <a:lnTo>
                                <a:pt x="188929" y="541852"/>
                              </a:lnTo>
                              <a:lnTo>
                                <a:pt x="187436" y="541852"/>
                              </a:lnTo>
                              <a:lnTo>
                                <a:pt x="183980" y="534565"/>
                              </a:lnTo>
                              <a:lnTo>
                                <a:pt x="181931" y="545308"/>
                              </a:lnTo>
                              <a:lnTo>
                                <a:pt x="179431" y="545308"/>
                              </a:lnTo>
                              <a:lnTo>
                                <a:pt x="182352" y="529993"/>
                              </a:lnTo>
                              <a:lnTo>
                                <a:pt x="184609" y="529993"/>
                              </a:lnTo>
                              <a:lnTo>
                                <a:pt x="188771" y="538766"/>
                              </a:lnTo>
                              <a:lnTo>
                                <a:pt x="196277" y="529993"/>
                              </a:lnTo>
                              <a:lnTo>
                                <a:pt x="198537" y="529993"/>
                              </a:lnTo>
                              <a:close/>
                              <a:moveTo>
                                <a:pt x="216197" y="128249"/>
                              </a:moveTo>
                              <a:lnTo>
                                <a:pt x="238319" y="12083"/>
                              </a:lnTo>
                              <a:lnTo>
                                <a:pt x="101648" y="12083"/>
                              </a:lnTo>
                              <a:lnTo>
                                <a:pt x="0" y="545308"/>
                              </a:lnTo>
                              <a:lnTo>
                                <a:pt x="155213" y="545308"/>
                              </a:lnTo>
                              <a:lnTo>
                                <a:pt x="197124" y="325453"/>
                              </a:lnTo>
                              <a:cubicBezTo>
                                <a:pt x="221837" y="195810"/>
                                <a:pt x="296386" y="143932"/>
                                <a:pt x="402480" y="159958"/>
                              </a:cubicBezTo>
                              <a:lnTo>
                                <a:pt x="432792" y="908"/>
                              </a:lnTo>
                              <a:cubicBezTo>
                                <a:pt x="337278" y="-7782"/>
                                <a:pt x="252083" y="46735"/>
                                <a:pt x="216197" y="128249"/>
                              </a:cubicBezTo>
                              <a:close/>
                            </a:path>
                          </a:pathLst>
                        </a:custGeom>
                        <a:solidFill>
                          <a:srgbClr val="FFFFFF"/>
                        </a:solidFill>
                        <a:ln w="945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arto="http://schemas.microsoft.com/office/word/2006/arto">
          <w:pict w14:anchorId="3DCCA1A0">
            <v:group id="Group 20" style="position:absolute;margin-left:-54pt;margin-top:64.05pt;width:130.65pt;height:90pt;z-index:-251662336;mso-position-vertical-relative:page;mso-width-relative:margin;mso-height-relative:margin" coordsize="12356,8509" o:spid="_x0000_s1026" w14:anchorId="16CEDA6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4khGLQgAAK0oAAAOAAAAZHJzL2Uyb0RvYy54bWzsWttu3DYQfS/QfxD0WCBZkbov4gSOUwcF jDRAUiR9lLXaC6qVVEn2Ovn6HpLi7ki+kEpaoA/xg1dczeGQwzOc4XBfvLrbl85t0Xa7ujpz2XPP dYoqr1e7anPm/vHx8lniOl2fVausrKvizP1SdO6rlz//9OLQLAteb+tyVbQOOqm65aE5c7d93ywX iy7fFvuse143RYWX67rdZz2a7WaxarMDet+XC+550eJQt6umrfOi6/DtG/XSfSn7X6+LvP99ve6K 3inPXIytl/9b+f9a/F+8fJEtN23WbHf5MIzsG0axz3YVlB67epP1mXPT7u51td/lbd3V6/55Xu8X 9Xq9yws5B8yGeZPZvG3rm0bOZbM8bJqjmWDaiZ2+udv83e3btvnQvG/V6PF4Ved/dU5VX2yzalOc dw2MiKUVplocms2SQkR7c8Lfrdu96Afzcu6kkb8cjVzc9U6OL1kUpjwMXSfHO8YC3/OGZci3WKt7 uHz7q0ZyP4wCEEogk9BLFXCRLZVeObrjaA4NGNWdjNZ9n9E+bLOmkGvRCQu8b53d6sxNXafK9uD1 ZVsUgqVOKuwkdENImHVodYOFrSxkmGe2zG+6/m1RS1tnt1ddr2i8wpNcxtUwqryuqm7XF59B/fW+ BLN/WTjMi/2AM+fgsEHRgJ6A/qQgZW5n65zsDrLf08OIHs+sgYpbauDzNIzFTcP3SefKOKl5EhTk GS0UUBW2K0FBD9gJHrDRa59tNR3yu2rgA54c+LJwRUGPpu6El1FywKF0E8sOPqBLoIS0AYwlpGC1 TdiCsToUzGdpht0p2J8FhkUpOKBgNffBdi12PxE8Shk8etdB8GhdB8HjWmBgzawXJtePzgG7mnbg 7XGfEq/39W3xsZaCvViAwRHlSE5uBe0nwbKiADgkBj0S1QL6s5E9K0G9kPqd/lQyA79llwZJRdPH ledl3RWKNMIakj1Hswhrku2qq8vd6nJXlsIOXbu5vihb5zaDhX99jUigRzISKyth1TQIwZc8Q5aw LrNeUrmqRVdqHdquf5N1W9WZxKsF2mMDbNXoSjAaUaJbqu1YPF3Xqy/YzNtapQZdk1/u0NNV1vXv sxY7JmyJ/AZvt3X71XUOyBXO3O7vm6wtXKf8rUJcSVkQQKyXjSCMORotfXNN31Q3+4sa84XnQJt8 FPJ9qR/Xbb3/hLTmXGjFq6zKoRse2oN4qnHRo41XCDl5cX4un5FQwOhX1YcmF51LnmEmH+8+ZW3j NHg8c3tE4Xe1jmXZUgcPLJIQULICWdXnN3293onIIi2m7DQ0EFdVkPvPAyzDJCcRFl9hUNYhNmQs ZmqjYSGP00ixQqcjgY/vsBQipwiD0Pdi8R720JGaklebi+y392OgWJZjrI3TxAsRQwY16PqBsDmK tCFP09RHHDmN5gHIZxo6WZz6UWLUQiGhz3mSGLXAbmQuyNUCoxYKsdRCIygWK+EidXjaYhQiDWWe Cw2iLEp9Cy0UYqkFiS2xGEssLEYhlhaLqJYoipl5XSjEUks80hLDfYzrQiGWTEZCTyxm5S8UYqkF mfpJS5qEfmycC4VYahHbFVETRiwyqhlhLFnGqC+z1Gc2eijGVg/1ZpaGLBLnhqddU2y2RxuEfhAm kXGfYdSfWZKkXCTeBj0UEwYsAT2Nuyb1aJbEgW+xPhRjq4f6NEt8sNo8H4oRdotC83yoV7NEMMGs h2JseUD9GuEmsNFDMbZ6qGcjEPgWWw6jGFs/pb7NkiDyLPhGMZZ6RCZ49AXwOo7N6zPChH4SR2b/ 4dS3WRrx2Ly9jTC286G+zey2UU4xtnqob3PsOqnFfCiG8YQHqdF/OPVt7ic+M/NghGHcS8zJGqeu zTyGKpbRTccYOzXUs80bDqfilg7KqVOzMOTMN8+EYmz1UKfG6jNuznA4xfhcaDITgDp14PHAYqPm FMPCNA3NyadPNwIZ18y51AiTehZK6C5g6TU+xTzgNTgJ/agt/Xu1JWM9DTsFLUyFw2nUrhgHh6Zg edQV9RerSh68lIL1OdgODNej4GTWsOFPFCxL6NbDFukzRavygD0c/B/B51Uwh8rCsXiKtiof2JlN 5L0j7fOYxhC+RvBRHdPINTYhG9qzBj+hG5vHNzYhHNqztE8ohzRwFnxCOjaPdSJJo5ZHe452kXuN 4PNYJ1KqEXwe6/iEdWjPGvyEdUiIZsEnrEOiMws+YR2ymFnwCeuQ0MyCT1iHnGMWfMI6pBJz4CIj oOuO9iz4hHWI/QSutszvuPYYjusObj1klhfLGvTpMmO4d5AlUTkPdRgYxnCSm9xTyOKmkpdFy0Fe S+lP3bsoUtpLi2Kjkha1X72Yuk/9OfQti4bW0ihkzhiJLOJZjxsVP3EZAi6MbKjHqz+1TURR7XFp fX1DL54GpDzh3Uc+ulapqHgpeQt7yrqVvbSoPilpWVR6mgeyhjT0LUpDBmlRCbKXFvWc40givX9p q+vPwYayKjP0beaYrK1YS8sKiZKW1waGWYo6h720qFYoaVmEeLpvWXOw7vsRXmnLPc5IdaqRetRh ZRjVY4xUZ/pBHkf1pychT+aWwvbbhjwlK9PYOIU460ppdYSdjDi/ud7lr4uv9F6Yc5QYVVxDjTZR GTBu9ORdME8jP1Hcxo9tcO0hOtQv1YlXzVgeZAdtYy16WVSH6vQqMTiUWgzP92Meq7j5LI6T0QB4 KCobsrMgin3pSnpwj631eHCaKwhf33H5fCn/hsnIy2N9R/3j8vn/ePksf+uF38TJq9rh93viR3e0 LS+rT78yfPkPAAAA//8DAFBLAwQUAAYACAAAACEAcrX7H+UAAAARAQAADwAAAGRycy9kb3ducmV2 LnhtbEyPT2vDMAzF74N9B6PBbq3tho6Qximl+3Mqg7WDsZsbq0lobIfYTdJvP/W0XgTSk57eL19P tmUD9qHxToGcC2DoSm8aVyn4PrzPUmAhamd06x0quGKAdfH4kOvM+NF94bCPFSMTFzKtoI6xyzgP ZY1Wh7nv0JF28r3Vkdq+4qbXI5nbli+EeOFWN44+1LrDbY3leX+xCj5GPW4S+Tbszqft9few/PzZ SVTq+Wl6XVHZrIBFnOL/BdwYKD8UFOzoL84E1iqYSZESUSRlkUpgt5VlkgA7KkgETXiR83uS4g8A AP//AwBQSwECLQAUAAYACAAAACEAtoM4kv4AAADhAQAAEwAAAAAAAAAAAAAAAAAAAAAAW0NvbnRl bnRfVHlwZXNdLnhtbFBLAQItABQABgAIAAAAIQA4/SH/1gAAAJQBAAALAAAAAAAAAAAAAAAAAC8B AABfcmVscy8ucmVsc1BLAQItABQABgAIAAAAIQC14khGLQgAAK0oAAAOAAAAAAAAAAAAAAAAAC4C AABkcnMvZTJvRG9jLnhtbFBLAQItABQABgAIAAAAIQBytfsf5QAAABEBAAAPAAAAAAAAAAAAAAAA AIcKAABkcnMvZG93bnJldi54bWxQSwUGAAAAAAQABADzAAAAmQsAAAAA ">
              <o:lock v:ext="edit" aspectratio="t"/>
              <v:shape id="Freeform 9" style="position:absolute;width:12356;height:8509;visibility:visible;mso-wrap-style:square;v-text-anchor:middle" coordsize="1235648,850900" o:spid="_x0000_s1027" fillcolor="#eb0000" stroked="f" strokeweight=".26256mm" path="m1073421,850900l,850900,,,1235649,,1073421,8509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Jw/axAAAAN8AAAAPAAAAZHJzL2Rvd25yZXYueG1sRI9BawIx FITvBf9DeIK3mrWVoqtRpCJ41G0Fj4/Nc7OavCybdN3++0YQehkYhvmGWa57Z0VHbag9K5iMMxDE pdc1Vwq+v3avMxAhImu0nknBLwVYrwYvS8y1v/ORuiJWIkE45KjAxNjkUobSkMMw9g1xyi6+dRiT bSupW7wnuLPyLcs+pMOa04LBhj4NlbfixynoGuzt7RDMtfCH87tzdjfdnpQaDfvtIslmASJSH/8b T8ReK5jD40/6AnL1BwAA//8DAFBLAQItABQABgAIAAAAIQDb4fbL7gAAAIUBAAATAAAAAAAAAAAA AAAAAAAAAABbQ29udGVudF9UeXBlc10ueG1sUEsBAi0AFAAGAAgAAAAhAFr0LFu/AAAAFQEAAAsA AAAAAAAAAAAAAAAAHwEAAF9yZWxzLy5yZWxzUEsBAi0AFAAGAAgAAAAhAIsnD9rEAAAA3wAAAA8A AAAAAAAAAAAAAAAABwIAAGRycy9kb3ducmV2LnhtbFBLBQYAAAAAAwADALcAAAD4AgAAAAA= ">
                <v:stroke joinstyle="miter"/>
                <v:path arrowok="t" o:connecttype="custom" o:connectlocs="1073421,850900;0,850900;0,0;1235649,0;1073421,850900" o:connectangles="0,0,0,0,0"/>
              </v:shape>
              <v:shape id="Freeform 10" style="position:absolute;left:5117;top:1527;width:4328;height:5454;visibility:visible;mso-wrap-style:square;v-text-anchor:middle" coordsize="432791,545307" o:spid="_x0000_s1028" stroked="f" strokeweight=".26256mm" path="m179805,529993r-437,2295l174304,532288r-2484,13020l169320,545308r2484,-13020l166714,532288r438,-2295l179805,529993xm198537,529993r-2921,15315l193116,545308r2045,-10722l188929,541852r-1493,l183980,534565r-2049,10743l179431,545308r2921,-15315l184609,529993r4162,8773l196277,529993r2260,xm216197,128249l238319,12083r-136671,l,545308r155213,l197124,325453c221837,195810,296386,143932,402480,159958l432792,908c337278,-7782,252083,46735,216197,12824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aUBeyQAAAOAAAAAPAAAAZHJzL2Rvd25yZXYueG1sRI9NawJB DIbvQv/DkEJvOlsPVVZHKdVCSyn40RZ7S3eyH7iTWXam7vrvzUHwEt4Q8rw882XvanWiNlSeDTyO ElDEmbcVFwa+9q/DKagQkS3WnsnAmQIsF3eDOabWd7yl0y4WSiAcUjRQxtikWoesJIdh5BtiueW+ dRhlbQttW+wE7mo9TpIn7bBiaSixoZeSsuPu3xmYHH4OMd/YJJ/+Vf7zY/076b7fjXm471czGc8z UJH6ePu4It6sOIiCCEkAvbgAAAD//wMAUEsBAi0AFAAGAAgAAAAhANvh9svuAAAAhQEAABMAAAAA AAAAAAAAAAAAAAAAAFtDb250ZW50X1R5cGVzXS54bWxQSwECLQAUAAYACAAAACEAWvQsW78AAAAV AQAACwAAAAAAAAAAAAAAAAAfAQAAX3JlbHMvLnJlbHNQSwECLQAUAAYACAAAACEAh2lAXskAAADg AAAADwAAAAAAAAAAAAAAAAAHAgAAZHJzL2Rvd25yZXYueG1sUEsFBgAAAAADAAMAtwAAAP0CAAAA AA== ">
                <v:stroke joinstyle="miter"/>
                <v:path arrowok="t" o:connecttype="custom" o:connectlocs="179805,529993;179368,532288;174304,532288;171820,545308;169320,545308;171804,532288;166714,532288;167152,529993;179805,529993;198537,529993;195616,545308;193116,545308;195161,534586;188929,541852;187436,541852;183980,534565;181931,545308;179431,545308;182352,529993;184609,529993;188771,538766;196277,529993;198537,529993;216197,128249;238319,12083;101648,12083;0,545308;155213,545308;197124,325453;402480,159958;432792,908;216197,128249" o:connectangles="0,0,0,0,0,0,0,0,0,0,0,0,0,0,0,0,0,0,0,0,0,0,0,0,0,0,0,0,0,0,0,0"/>
              </v:shape>
              <w10:wrap anchory="page"/>
            </v:group>
          </w:pict>
        </mc:Fallback>
      </mc:AlternateContent>
    </w:r>
    <w:r w:rsidR="000660B2">
      <w:rPr>
        <w:noProof/>
      </w:rPr>
      <mc:AlternateContent>
        <mc:Choice Requires="wps">
          <w:drawing>
            <wp:anchor distT="0" distB="0" distL="114300" distR="114300" simplePos="0" relativeHeight="251658240" behindDoc="0" locked="0" layoutInCell="1" allowOverlap="1" wp14:anchorId="24D3504B" wp14:editId="2E94143C">
              <wp:simplePos x="0" y="0"/>
              <wp:positionH relativeFrom="column">
                <wp:posOffset>-1172845</wp:posOffset>
              </wp:positionH>
              <wp:positionV relativeFrom="paragraph">
                <wp:posOffset>576349</wp:posOffset>
              </wp:positionV>
              <wp:extent cx="508000" cy="640715"/>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8000" cy="640715"/>
                      </a:xfrm>
                      <a:custGeom>
                        <a:avLst/>
                        <a:gdLst>
                          <a:gd name="T0" fmla="*/ 2147483646 w 800"/>
                          <a:gd name="T1" fmla="*/ 2147483646 h 1009"/>
                          <a:gd name="T2" fmla="*/ 2147483646 w 800"/>
                          <a:gd name="T3" fmla="*/ 2147483646 h 1009"/>
                          <a:gd name="T4" fmla="*/ 0 w 800"/>
                          <a:gd name="T5" fmla="*/ 2147483646 h 1009"/>
                          <a:gd name="T6" fmla="*/ 2147483646 w 800"/>
                          <a:gd name="T7" fmla="*/ 2147483646 h 1009"/>
                          <a:gd name="T8" fmla="*/ 2147483646 w 800"/>
                          <a:gd name="T9" fmla="*/ 2147483646 h 1009"/>
                          <a:gd name="T10" fmla="*/ 2147483646 w 800"/>
                          <a:gd name="T11" fmla="*/ 2147483646 h 1009"/>
                          <a:gd name="T12" fmla="*/ 2147483646 w 800"/>
                          <a:gd name="T13" fmla="*/ 2147483646 h 1009"/>
                          <a:gd name="T14" fmla="*/ 2147483646 w 800"/>
                          <a:gd name="T15" fmla="*/ 2147483646 h 1009"/>
                          <a:gd name="T16" fmla="*/ 2147483646 w 800"/>
                          <a:gd name="T17" fmla="*/ 2147483646 h 1009"/>
                          <a:gd name="T18" fmla="*/ 2147483646 w 800"/>
                          <a:gd name="T19" fmla="*/ 2147483646 h 1009"/>
                          <a:gd name="T20" fmla="*/ 2147483646 w 800"/>
                          <a:gd name="T21" fmla="*/ 2147483646 h 1009"/>
                          <a:gd name="T22" fmla="*/ 2147483646 w 800"/>
                          <a:gd name="T23" fmla="*/ 2147483646 h 1009"/>
                          <a:gd name="T24" fmla="*/ 2147483646 w 800"/>
                          <a:gd name="T25" fmla="*/ 2147483646 h 1009"/>
                          <a:gd name="T26" fmla="*/ 2147483646 w 800"/>
                          <a:gd name="T27" fmla="*/ 2147483646 h 1009"/>
                          <a:gd name="T28" fmla="*/ 2147483646 w 800"/>
                          <a:gd name="T29" fmla="*/ 2147483646 h 1009"/>
                          <a:gd name="T30" fmla="*/ 2147483646 w 800"/>
                          <a:gd name="T31" fmla="*/ 2147483646 h 1009"/>
                          <a:gd name="T32" fmla="*/ 2147483646 w 800"/>
                          <a:gd name="T33" fmla="*/ 2147483646 h 1009"/>
                          <a:gd name="T34" fmla="*/ 2147483646 w 800"/>
                          <a:gd name="T35" fmla="*/ 2147483646 h 1009"/>
                          <a:gd name="T36" fmla="*/ 2147483646 w 800"/>
                          <a:gd name="T37" fmla="*/ 2147483646 h 1009"/>
                          <a:gd name="T38" fmla="*/ 2147483646 w 800"/>
                          <a:gd name="T39" fmla="*/ 2147483646 h 1009"/>
                          <a:gd name="T40" fmla="*/ 2147483646 w 800"/>
                          <a:gd name="T41" fmla="*/ 2147483646 h 1009"/>
                          <a:gd name="T42" fmla="*/ 2147483646 w 800"/>
                          <a:gd name="T43" fmla="*/ 2147483646 h 1009"/>
                          <a:gd name="T44" fmla="*/ 2147483646 w 800"/>
                          <a:gd name="T45" fmla="*/ 2147483646 h 1009"/>
                          <a:gd name="T46" fmla="*/ 2147483646 w 800"/>
                          <a:gd name="T47" fmla="*/ 2147483646 h 1009"/>
                          <a:gd name="T48" fmla="*/ 2147483646 w 800"/>
                          <a:gd name="T49" fmla="*/ 2147483646 h 1009"/>
                          <a:gd name="T50" fmla="*/ 2147483646 w 800"/>
                          <a:gd name="T51" fmla="*/ 2147483646 h 1009"/>
                          <a:gd name="T52" fmla="*/ 2147483646 w 800"/>
                          <a:gd name="T53" fmla="*/ 2147483646 h 1009"/>
                          <a:gd name="T54" fmla="*/ 2147483646 w 800"/>
                          <a:gd name="T55" fmla="*/ 2147483646 h 1009"/>
                          <a:gd name="T56" fmla="*/ 2147483646 w 800"/>
                          <a:gd name="T57" fmla="*/ 2147483646 h 1009"/>
                          <a:gd name="T58" fmla="*/ 2147483646 w 800"/>
                          <a:gd name="T59" fmla="*/ 2147483646 h 1009"/>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800" h="1009">
                            <a:moveTo>
                              <a:pt x="440" y="20"/>
                            </a:moveTo>
                            <a:lnTo>
                              <a:pt x="188" y="20"/>
                            </a:lnTo>
                            <a:lnTo>
                              <a:pt x="0" y="1008"/>
                            </a:lnTo>
                            <a:lnTo>
                              <a:pt x="287" y="1008"/>
                            </a:lnTo>
                            <a:lnTo>
                              <a:pt x="364" y="601"/>
                            </a:lnTo>
                            <a:lnTo>
                              <a:pt x="385" y="518"/>
                            </a:lnTo>
                            <a:lnTo>
                              <a:pt x="415" y="448"/>
                            </a:lnTo>
                            <a:lnTo>
                              <a:pt x="453" y="391"/>
                            </a:lnTo>
                            <a:lnTo>
                              <a:pt x="497" y="346"/>
                            </a:lnTo>
                            <a:lnTo>
                              <a:pt x="549" y="315"/>
                            </a:lnTo>
                            <a:lnTo>
                              <a:pt x="608" y="296"/>
                            </a:lnTo>
                            <a:lnTo>
                              <a:pt x="673" y="289"/>
                            </a:lnTo>
                            <a:lnTo>
                              <a:pt x="745" y="289"/>
                            </a:lnTo>
                            <a:lnTo>
                              <a:pt x="755" y="236"/>
                            </a:lnTo>
                            <a:lnTo>
                              <a:pt x="399" y="236"/>
                            </a:lnTo>
                            <a:lnTo>
                              <a:pt x="440" y="20"/>
                            </a:lnTo>
                            <a:close/>
                            <a:moveTo>
                              <a:pt x="745" y="289"/>
                            </a:moveTo>
                            <a:lnTo>
                              <a:pt x="673" y="289"/>
                            </a:lnTo>
                            <a:lnTo>
                              <a:pt x="744" y="294"/>
                            </a:lnTo>
                            <a:lnTo>
                              <a:pt x="745" y="289"/>
                            </a:lnTo>
                            <a:close/>
                            <a:moveTo>
                              <a:pt x="800" y="0"/>
                            </a:moveTo>
                            <a:lnTo>
                              <a:pt x="725" y="0"/>
                            </a:lnTo>
                            <a:lnTo>
                              <a:pt x="655" y="13"/>
                            </a:lnTo>
                            <a:lnTo>
                              <a:pt x="589" y="38"/>
                            </a:lnTo>
                            <a:lnTo>
                              <a:pt x="529" y="74"/>
                            </a:lnTo>
                            <a:lnTo>
                              <a:pt x="477" y="120"/>
                            </a:lnTo>
                            <a:lnTo>
                              <a:pt x="433" y="174"/>
                            </a:lnTo>
                            <a:lnTo>
                              <a:pt x="399" y="236"/>
                            </a:lnTo>
                            <a:lnTo>
                              <a:pt x="755" y="236"/>
                            </a:lnTo>
                            <a:lnTo>
                              <a:pt x="800" y="0"/>
                            </a:lnTo>
                            <a:close/>
                          </a:path>
                        </a:pathLst>
                      </a:custGeom>
                      <a:solidFill>
                        <a:srgbClr val="ED21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45720" rIns="91440" bIns="45720" anchor="t" anchorCtr="0" upright="1">
                      <a:noAutofit/>
                    </wps:bodyPr>
                  </wps:wsp>
                </a:graphicData>
              </a:graphic>
            </wp:anchor>
          </w:drawing>
        </mc:Choice>
        <mc:Fallback xmlns:a="http://schemas.openxmlformats.org/drawingml/2006/main" xmlns:a14="http://schemas.microsoft.com/office/drawing/2010/main" xmlns:arto="http://schemas.microsoft.com/office/word/2006/arto">
          <w:pict w14:anchorId="38294AC5">
            <v:shape id="AutoShape 5" style="position:absolute;margin-left:-92.35pt;margin-top:45.4pt;width:40pt;height:50.45pt;z-index:251574272;visibility:visible;mso-wrap-style:square;mso-wrap-distance-left:9pt;mso-wrap-distance-top:0;mso-wrap-distance-right:9pt;mso-wrap-distance-bottom:0;mso-position-horizontal:absolute;mso-position-horizontal-relative:text;mso-position-vertical:absolute;mso-position-vertical-relative:text;v-text-anchor:top" coordsize="800,1009" o:spid="_x0000_s1026" fillcolor="#ed2124" stroked="f" path="m440,20r-252,l,1008r287,l364,601r21,-83l415,448r38,-57l497,346r52,-31l608,296r65,-7l745,289r10,-53l399,236,440,20xm745,289r-72,l744,294r1,-5xm800,l725,,655,13,589,38,529,74r-52,46l433,174r-34,62l755,236,8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1yh41QUAAB4eAAAOAAAAZHJzL2Uyb0RvYy54bWysmdtu4zYQhu8L9B0IXRZorAN1sBFnUWy6 RYHtAVj3AWRZPqCyqIpKnPTpO0OJXjEWFc6iN5Zs/TPkzEdTHPL+w8u5Ys9lK0+iXnvBne+xsi7E 7lQf1t5fm08/Zh6TXV7v8krU5dp7LaX34eH77+4vzaoMxVFUu7Jl4KSWq0uz9o5d16wWC1kcy3Mu 70RT1vBwL9pz3sHX9rDYtfkFvJ+rRej7yeIi2l3TiqKUEn597B96D8r/fl8W3R/7vSw7Vq096Fun Plv1ucXPxcN9vjq0eXM8FUM38m/oxTk/1dDo1dVj3uXsqT3duDqfilZIse/uCnFeiP3+VJQqBogm 8N9E8+WYN6WKBZIjm2ua5P/ntvj9+UvzZ4tdl81nUfwtISOLSyNX1yf4RYKGbS+/iR0wzJ86oYJ9 2bdntIQw2IvK6es1p+VLxwr4MfYz34fMF/Ao4X4axJjzRb7SxsWT7H4phXKUP3+WXY9kB3cqoTtW 52dodQNO9ucK6PywYGHAU55FCU/YhUEDA8erNpjWHlng+8u34nBaPOk4mtZOO+YjsT/d0XgkGQU1 7S+ZFk92NJ3WTjuGP6lzapfT2mnHAQkaiVpAwRaQuAVjcCMqk4mGAT2ZPEtCKAwDEsSAQjEgYQwp GEMSxpCCMSRhDCkYQxLGkIIxJGEMKRhDEsaIgjEiYYwoGCMSxoiCMSJhjCgYIxLGiIIxImHkFIyc hJFTMHISRk7ByEkYOQUjJ2HkFIychDGmYIxJGGMKxpiEMaZgjEkYYwrGmIQxpmCMSRiTMUafJbDa hc84hrllWMnqBWwyZjivHPObV47hzSvH4OaVY2rzyjGxeeUY17xyjGpeOeY0q0ydGaXOjFJnRqkz o9SZUerMKHVmlDozSp0Zpc6MMmdGmTOjzJlR5swoc2aUOTPKnBllzowyZ0bZLCMo1Q+6GM+Puj4v XuqhQIc7luNuzwZmQqzYGyFxNwDrdaj5N8FQ74MOn47kgSEHVCiPrPLQkAMFlOvdhFvvkSGHBKM8 tXrnhhxyh3K1VQAJuPUeG3Isc1Ef2INNTIMhWqhL+92Q2xZS02CI97p9cmuQmQZDxFBD2lpYmgZD zFAZWgxgFh3zxaIQg4Z6z2bwhvAQNFRxNgOTMRZwqgUrZZhajS4NQUPFZWvB5IzFlmrBHrRJGkso NIDqyNaCSRoLI2VgD9okjeWOMrAHbZLGIkYZ2IM2SWNpogysQcNcPE4rFhxoALWEJWiYkg2DIWio EGwGJmksDlQL1qBhgjZaGIKG1bytBZM0LuRVC/agTdK4PEcDWHnbWjBJ46JbGdiDNknjUloZ2IM2 SeMCWRnYgzZJ47JXGRhB9xPaMH23sEX+dnO89Rhsjm8xbpjO8w5nfX3LLmsPN1zZEbb7cTMVH5zF c7kRStLh3M+HEQNTRJ+7r4KqHgsDfEtBD69C/VhfG+WvRwHNZYM//Vhfe1mIb0fw9q4QNo6VMPE1 XO1IX3uHEb7CwWEMe2t9IPq5vvY6jpuAoOMwymZ1WGuBLlrOt8uXfSARVLZz/mKsONHf9bWg+6Wv ff8SSBzqwuW8vwSXqqiDJcFcuynW5y46LABR1xdDMPB0v/R1yPOyj+M93c240m6KSsgSenw7FG+7 ahuL7sH3gydc8m9Mkr236p8FCXvvf5PiduVIp/OgrwP2If3XVYZ+rK+9LMYFIDiD98Ic9Bg3G0EG RcqcjGMZAbLgnf80x11A1L3jL3IcG6njWHubYp0LDQUGKU556ozqOvfhlDk6p5KiOu0+naoKR5xs D9uPVcueczhj/PkxDGDZ0ifIkFVq+VsLNNP5G47a8HQNTyzlait2r3DS1or+oBIOVuHmKNp/PXaB Q8q1J/95ytvSY9WvNZwCwrzYqRsep5Bu1qovy0D9T7bjJ3ldgJu113mwWMfbj11/CvrUtKfDEVrp 3+C1+AlO9/YnPIVTx4B9j4YvcAip8jIcmOIp5/i7Un091n34DwAA//8DAFBLAwQUAAYACAAAACEA CBzZLeUAAAARAQAADwAAAGRycy9kb3ducmV2LnhtbEyPTU/DMAyG70j8h8hI3Lq0DO2jazrxoR0Q SIiBxDVtTFtonKrJ1uzf453gYsn249fvW2yj7cURR985UpDNUhBItTMdNQo+3nfJCoQPmozuHaGC E3rYlpcXhc6Nm+gNj/vQCBYhn2sFbQhDLqWvW7Taz9yAxLsvN1oduB0baUY9sbjt5U2aLqTVHfGH Vg/40GL9sz9YBd/3nybOX1+eds+LOK+mUwwoo1LXV/Fxw+VuAyJgDH8XcM7A/qFkY5U7kPGiV5Bk q9slswrWKQdhIsnS86Ridp0tQZaF/J+k/AUAAP//AwBQSwECLQAUAAYACAAAACEAtoM4kv4AAADh AQAAEwAAAAAAAAAAAAAAAAAAAAAAW0NvbnRlbnRfVHlwZXNdLnhtbFBLAQItABQABgAIAAAAIQA4 /SH/1gAAAJQBAAALAAAAAAAAAAAAAAAAAC8BAABfcmVscy8ucmVsc1BLAQItABQABgAIAAAAIQB0 1yh41QUAAB4eAAAOAAAAAAAAAAAAAAAAAC4CAABkcnMvZTJvRG9jLnhtbFBLAQItABQABgAIAAAA IQAIHNkt5QAAABEBAAAPAAAAAAAAAAAAAAAAAC8IAABkcnMvZG93bnJldi54bWxQSwUGAAAAAAQA BADzAAAAQQkAAAAA " w14:anchorId="1BC8D40D">
              <v:path arrowok="t" o:connecttype="custom" o:connectlocs="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5742173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F723F42"/>
    <w:lvl w:ilvl="0">
      <w:start w:val="1"/>
      <w:numFmt w:val="bullet"/>
      <w:pStyle w:val="ListBullet2"/>
      <w:lvlText w:val="–"/>
      <w:lvlJc w:val="left"/>
      <w:pPr>
        <w:tabs>
          <w:tab w:val="num" w:pos="640"/>
        </w:tabs>
        <w:ind w:left="640" w:hanging="360"/>
      </w:pPr>
      <w:rPr>
        <w:rFonts w:ascii="Arial Black" w:hAnsi="Arial Black" w:hint="default"/>
      </w:rPr>
    </w:lvl>
  </w:abstractNum>
  <w:abstractNum w:abstractNumId="2" w15:restartNumberingAfterBreak="0">
    <w:nsid w:val="00531A74"/>
    <w:multiLevelType w:val="hybridMultilevel"/>
    <w:tmpl w:val="07742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2F538A"/>
    <w:multiLevelType w:val="hybridMultilevel"/>
    <w:tmpl w:val="1938E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814C89"/>
    <w:multiLevelType w:val="hybridMultilevel"/>
    <w:tmpl w:val="F5D0B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A63CA8"/>
    <w:multiLevelType w:val="hybridMultilevel"/>
    <w:tmpl w:val="7B528C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8316632"/>
    <w:multiLevelType w:val="hybridMultilevel"/>
    <w:tmpl w:val="CD04A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A64577D"/>
    <w:multiLevelType w:val="hybridMultilevel"/>
    <w:tmpl w:val="4ADAF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AB574B1"/>
    <w:multiLevelType w:val="hybridMultilevel"/>
    <w:tmpl w:val="E2CE8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BD189B"/>
    <w:multiLevelType w:val="hybridMultilevel"/>
    <w:tmpl w:val="50E49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0A00FDE"/>
    <w:multiLevelType w:val="hybridMultilevel"/>
    <w:tmpl w:val="C8027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13E259B"/>
    <w:multiLevelType w:val="hybridMultilevel"/>
    <w:tmpl w:val="AA4EE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5EE6D84"/>
    <w:multiLevelType w:val="hybridMultilevel"/>
    <w:tmpl w:val="75D4E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8F51618"/>
    <w:multiLevelType w:val="hybridMultilevel"/>
    <w:tmpl w:val="B2A855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1A072FB6"/>
    <w:multiLevelType w:val="hybridMultilevel"/>
    <w:tmpl w:val="3F805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AD76268"/>
    <w:multiLevelType w:val="hybridMultilevel"/>
    <w:tmpl w:val="08C83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CD31151"/>
    <w:multiLevelType w:val="hybridMultilevel"/>
    <w:tmpl w:val="1212B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D09137F"/>
    <w:multiLevelType w:val="hybridMultilevel"/>
    <w:tmpl w:val="43963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FB22A42"/>
    <w:multiLevelType w:val="hybridMultilevel"/>
    <w:tmpl w:val="DBFCC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B71ED9"/>
    <w:multiLevelType w:val="hybridMultilevel"/>
    <w:tmpl w:val="6AA4A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3DB4442"/>
    <w:multiLevelType w:val="hybridMultilevel"/>
    <w:tmpl w:val="D3806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43F45E4"/>
    <w:multiLevelType w:val="hybridMultilevel"/>
    <w:tmpl w:val="1B1C7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5C530A8"/>
    <w:multiLevelType w:val="hybridMultilevel"/>
    <w:tmpl w:val="C6A42D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7F10FDD"/>
    <w:multiLevelType w:val="hybridMultilevel"/>
    <w:tmpl w:val="7A3E0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A693C60"/>
    <w:multiLevelType w:val="hybridMultilevel"/>
    <w:tmpl w:val="EE6E9C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FA212DE"/>
    <w:multiLevelType w:val="hybridMultilevel"/>
    <w:tmpl w:val="1A2A2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C16A7B"/>
    <w:multiLevelType w:val="hybridMultilevel"/>
    <w:tmpl w:val="9036D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99E1947"/>
    <w:multiLevelType w:val="hybridMultilevel"/>
    <w:tmpl w:val="EA2A09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ACD1C6D"/>
    <w:multiLevelType w:val="hybridMultilevel"/>
    <w:tmpl w:val="5B2C28C6"/>
    <w:lvl w:ilvl="0" w:tplc="40090005">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9" w15:restartNumberingAfterBreak="0">
    <w:nsid w:val="3B36590D"/>
    <w:multiLevelType w:val="hybridMultilevel"/>
    <w:tmpl w:val="0E3698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E9F19D9"/>
    <w:multiLevelType w:val="hybridMultilevel"/>
    <w:tmpl w:val="7F6CE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FAC73BF"/>
    <w:multiLevelType w:val="hybridMultilevel"/>
    <w:tmpl w:val="88D83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BE1B03"/>
    <w:multiLevelType w:val="hybridMultilevel"/>
    <w:tmpl w:val="CECE67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1300007"/>
    <w:multiLevelType w:val="hybridMultilevel"/>
    <w:tmpl w:val="5D528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1C6009F"/>
    <w:multiLevelType w:val="hybridMultilevel"/>
    <w:tmpl w:val="EF38D4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28E1262"/>
    <w:multiLevelType w:val="hybridMultilevel"/>
    <w:tmpl w:val="F8045A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4CA2DFA"/>
    <w:multiLevelType w:val="hybridMultilevel"/>
    <w:tmpl w:val="1E6EC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E22AF6"/>
    <w:multiLevelType w:val="multilevel"/>
    <w:tmpl w:val="8F64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B34410"/>
    <w:multiLevelType w:val="hybridMultilevel"/>
    <w:tmpl w:val="AE7E89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A0318B3"/>
    <w:multiLevelType w:val="hybridMultilevel"/>
    <w:tmpl w:val="96DE5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B262E75"/>
    <w:multiLevelType w:val="hybridMultilevel"/>
    <w:tmpl w:val="E3B672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29866C4"/>
    <w:multiLevelType w:val="hybridMultilevel"/>
    <w:tmpl w:val="5EF6824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B1F0770"/>
    <w:multiLevelType w:val="hybridMultilevel"/>
    <w:tmpl w:val="23A6E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E442537"/>
    <w:multiLevelType w:val="hybridMultilevel"/>
    <w:tmpl w:val="DBBA16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EBF1AE9"/>
    <w:multiLevelType w:val="hybridMultilevel"/>
    <w:tmpl w:val="29E83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0EE4CA4"/>
    <w:multiLevelType w:val="hybridMultilevel"/>
    <w:tmpl w:val="F8D812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4B01246"/>
    <w:multiLevelType w:val="hybridMultilevel"/>
    <w:tmpl w:val="8064F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88464CA"/>
    <w:multiLevelType w:val="hybridMultilevel"/>
    <w:tmpl w:val="BA20E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9FA5F63"/>
    <w:multiLevelType w:val="hybridMultilevel"/>
    <w:tmpl w:val="4DCCF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EBB470C"/>
    <w:multiLevelType w:val="hybridMultilevel"/>
    <w:tmpl w:val="A5F64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ED1238F"/>
    <w:multiLevelType w:val="hybridMultilevel"/>
    <w:tmpl w:val="D2AEF2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FF71589"/>
    <w:multiLevelType w:val="hybridMultilevel"/>
    <w:tmpl w:val="AB788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19111BB"/>
    <w:multiLevelType w:val="hybridMultilevel"/>
    <w:tmpl w:val="A9A25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21B4AE2"/>
    <w:multiLevelType w:val="hybridMultilevel"/>
    <w:tmpl w:val="12EA0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2B559D2"/>
    <w:multiLevelType w:val="hybridMultilevel"/>
    <w:tmpl w:val="10B8B2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3A8479B"/>
    <w:multiLevelType w:val="hybridMultilevel"/>
    <w:tmpl w:val="797AA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4675A25"/>
    <w:multiLevelType w:val="hybridMultilevel"/>
    <w:tmpl w:val="FA1E0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68C23B1"/>
    <w:multiLevelType w:val="hybridMultilevel"/>
    <w:tmpl w:val="E3560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92B33F9"/>
    <w:multiLevelType w:val="hybridMultilevel"/>
    <w:tmpl w:val="287ED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5208653">
    <w:abstractNumId w:val="0"/>
  </w:num>
  <w:num w:numId="2" w16cid:durableId="339739041">
    <w:abstractNumId w:val="1"/>
  </w:num>
  <w:num w:numId="3" w16cid:durableId="1796098773">
    <w:abstractNumId w:val="13"/>
  </w:num>
  <w:num w:numId="4" w16cid:durableId="2082286814">
    <w:abstractNumId w:val="56"/>
  </w:num>
  <w:num w:numId="5" w16cid:durableId="1180773643">
    <w:abstractNumId w:val="27"/>
  </w:num>
  <w:num w:numId="6" w16cid:durableId="1943492013">
    <w:abstractNumId w:val="9"/>
  </w:num>
  <w:num w:numId="7" w16cid:durableId="1792672167">
    <w:abstractNumId w:val="19"/>
  </w:num>
  <w:num w:numId="8" w16cid:durableId="2095780543">
    <w:abstractNumId w:val="49"/>
  </w:num>
  <w:num w:numId="9" w16cid:durableId="41908499">
    <w:abstractNumId w:val="26"/>
  </w:num>
  <w:num w:numId="10" w16cid:durableId="1970234068">
    <w:abstractNumId w:val="29"/>
  </w:num>
  <w:num w:numId="11" w16cid:durableId="1019817966">
    <w:abstractNumId w:val="57"/>
  </w:num>
  <w:num w:numId="12" w16cid:durableId="1526868274">
    <w:abstractNumId w:val="10"/>
  </w:num>
  <w:num w:numId="13" w16cid:durableId="2052458181">
    <w:abstractNumId w:val="50"/>
  </w:num>
  <w:num w:numId="14" w16cid:durableId="258877084">
    <w:abstractNumId w:val="54"/>
  </w:num>
  <w:num w:numId="15" w16cid:durableId="556402427">
    <w:abstractNumId w:val="6"/>
  </w:num>
  <w:num w:numId="16" w16cid:durableId="1191138665">
    <w:abstractNumId w:val="45"/>
  </w:num>
  <w:num w:numId="17" w16cid:durableId="1855076338">
    <w:abstractNumId w:val="5"/>
  </w:num>
  <w:num w:numId="18" w16cid:durableId="975374316">
    <w:abstractNumId w:val="16"/>
  </w:num>
  <w:num w:numId="19" w16cid:durableId="914823199">
    <w:abstractNumId w:val="2"/>
  </w:num>
  <w:num w:numId="20" w16cid:durableId="110782671">
    <w:abstractNumId w:val="17"/>
  </w:num>
  <w:num w:numId="21" w16cid:durableId="618756149">
    <w:abstractNumId w:val="40"/>
  </w:num>
  <w:num w:numId="22" w16cid:durableId="473063511">
    <w:abstractNumId w:val="36"/>
  </w:num>
  <w:num w:numId="23" w16cid:durableId="802113849">
    <w:abstractNumId w:val="42"/>
  </w:num>
  <w:num w:numId="24" w16cid:durableId="2131628809">
    <w:abstractNumId w:val="4"/>
  </w:num>
  <w:num w:numId="25" w16cid:durableId="1757552313">
    <w:abstractNumId w:val="39"/>
  </w:num>
  <w:num w:numId="26" w16cid:durableId="1569146531">
    <w:abstractNumId w:val="25"/>
  </w:num>
  <w:num w:numId="27" w16cid:durableId="1691570692">
    <w:abstractNumId w:val="20"/>
  </w:num>
  <w:num w:numId="28" w16cid:durableId="400298437">
    <w:abstractNumId w:val="47"/>
  </w:num>
  <w:num w:numId="29" w16cid:durableId="1722051173">
    <w:abstractNumId w:val="51"/>
  </w:num>
  <w:num w:numId="30" w16cid:durableId="1658336510">
    <w:abstractNumId w:val="18"/>
  </w:num>
  <w:num w:numId="31" w16cid:durableId="2093618308">
    <w:abstractNumId w:val="32"/>
  </w:num>
  <w:num w:numId="32" w16cid:durableId="2142376918">
    <w:abstractNumId w:val="23"/>
  </w:num>
  <w:num w:numId="33" w16cid:durableId="1919747472">
    <w:abstractNumId w:val="15"/>
  </w:num>
  <w:num w:numId="34" w16cid:durableId="355621383">
    <w:abstractNumId w:val="58"/>
  </w:num>
  <w:num w:numId="35" w16cid:durableId="1521890535">
    <w:abstractNumId w:val="31"/>
  </w:num>
  <w:num w:numId="36" w16cid:durableId="80689680">
    <w:abstractNumId w:val="28"/>
  </w:num>
  <w:num w:numId="37" w16cid:durableId="1049693242">
    <w:abstractNumId w:val="41"/>
  </w:num>
  <w:num w:numId="38" w16cid:durableId="1295328061">
    <w:abstractNumId w:val="21"/>
  </w:num>
  <w:num w:numId="39" w16cid:durableId="1370062662">
    <w:abstractNumId w:val="52"/>
  </w:num>
  <w:num w:numId="40" w16cid:durableId="1068650460">
    <w:abstractNumId w:val="53"/>
  </w:num>
  <w:num w:numId="41" w16cid:durableId="1855145149">
    <w:abstractNumId w:val="35"/>
  </w:num>
  <w:num w:numId="42" w16cid:durableId="537815548">
    <w:abstractNumId w:val="30"/>
  </w:num>
  <w:num w:numId="43" w16cid:durableId="99490613">
    <w:abstractNumId w:val="48"/>
  </w:num>
  <w:num w:numId="44" w16cid:durableId="1093011059">
    <w:abstractNumId w:val="12"/>
  </w:num>
  <w:num w:numId="45" w16cid:durableId="1930235375">
    <w:abstractNumId w:val="37"/>
  </w:num>
  <w:num w:numId="46" w16cid:durableId="1298798092">
    <w:abstractNumId w:val="55"/>
  </w:num>
  <w:num w:numId="47" w16cid:durableId="405693298">
    <w:abstractNumId w:val="43"/>
  </w:num>
  <w:num w:numId="48" w16cid:durableId="1290087193">
    <w:abstractNumId w:val="14"/>
  </w:num>
  <w:num w:numId="49" w16cid:durableId="1551726200">
    <w:abstractNumId w:val="24"/>
  </w:num>
  <w:num w:numId="50" w16cid:durableId="2119592511">
    <w:abstractNumId w:val="38"/>
  </w:num>
  <w:num w:numId="51" w16cid:durableId="787357163">
    <w:abstractNumId w:val="46"/>
  </w:num>
  <w:num w:numId="52" w16cid:durableId="1150243712">
    <w:abstractNumId w:val="8"/>
  </w:num>
  <w:num w:numId="53" w16cid:durableId="1738817955">
    <w:abstractNumId w:val="33"/>
  </w:num>
  <w:num w:numId="54" w16cid:durableId="1541893751">
    <w:abstractNumId w:val="11"/>
  </w:num>
  <w:num w:numId="55" w16cid:durableId="690032133">
    <w:abstractNumId w:val="7"/>
  </w:num>
  <w:num w:numId="56" w16cid:durableId="75054670">
    <w:abstractNumId w:val="3"/>
  </w:num>
  <w:num w:numId="57" w16cid:durableId="284972139">
    <w:abstractNumId w:val="44"/>
  </w:num>
  <w:num w:numId="58" w16cid:durableId="533079603">
    <w:abstractNumId w:val="22"/>
  </w:num>
  <w:num w:numId="59" w16cid:durableId="1468161738">
    <w:abstractNumId w:val="3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IN" w:vendorID="64" w:dllVersion="0" w:nlCheck="1" w:checkStyle="0"/>
  <w:activeWritingStyle w:appName="MSWord" w:lang="en-GB" w:vendorID="64" w:dllVersion="0" w:nlCheck="1" w:checkStyle="0"/>
  <w:activeWritingStyle w:appName="MSWord" w:lang="en-US" w:vendorID="64" w:dllVersion="0" w:nlCheck="1" w:checkStyle="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B03"/>
    <w:rsid w:val="00000CB5"/>
    <w:rsid w:val="00001ED8"/>
    <w:rsid w:val="00002037"/>
    <w:rsid w:val="00003000"/>
    <w:rsid w:val="00003368"/>
    <w:rsid w:val="0000477B"/>
    <w:rsid w:val="0000529A"/>
    <w:rsid w:val="0000605C"/>
    <w:rsid w:val="000060BE"/>
    <w:rsid w:val="0001083E"/>
    <w:rsid w:val="00010E98"/>
    <w:rsid w:val="0001117D"/>
    <w:rsid w:val="000112B7"/>
    <w:rsid w:val="000115B9"/>
    <w:rsid w:val="000117B4"/>
    <w:rsid w:val="00012BFE"/>
    <w:rsid w:val="00012C70"/>
    <w:rsid w:val="00012EBB"/>
    <w:rsid w:val="000133A6"/>
    <w:rsid w:val="00013695"/>
    <w:rsid w:val="00013C85"/>
    <w:rsid w:val="00014C99"/>
    <w:rsid w:val="0001565E"/>
    <w:rsid w:val="000158BC"/>
    <w:rsid w:val="00015B1B"/>
    <w:rsid w:val="00015F9E"/>
    <w:rsid w:val="00016D99"/>
    <w:rsid w:val="0001749D"/>
    <w:rsid w:val="000175C3"/>
    <w:rsid w:val="00017879"/>
    <w:rsid w:val="00020001"/>
    <w:rsid w:val="000214C6"/>
    <w:rsid w:val="00021E94"/>
    <w:rsid w:val="00021EA7"/>
    <w:rsid w:val="00021EFB"/>
    <w:rsid w:val="000223FD"/>
    <w:rsid w:val="00022BAD"/>
    <w:rsid w:val="00022C1E"/>
    <w:rsid w:val="00022FF4"/>
    <w:rsid w:val="000246E9"/>
    <w:rsid w:val="0002507B"/>
    <w:rsid w:val="0002552B"/>
    <w:rsid w:val="000256B4"/>
    <w:rsid w:val="000268F6"/>
    <w:rsid w:val="00026ADF"/>
    <w:rsid w:val="000273DB"/>
    <w:rsid w:val="00030D50"/>
    <w:rsid w:val="00030E7D"/>
    <w:rsid w:val="000317E2"/>
    <w:rsid w:val="00031C7B"/>
    <w:rsid w:val="000323BE"/>
    <w:rsid w:val="000334DB"/>
    <w:rsid w:val="00033567"/>
    <w:rsid w:val="000335F2"/>
    <w:rsid w:val="00033866"/>
    <w:rsid w:val="00033AC4"/>
    <w:rsid w:val="000345AC"/>
    <w:rsid w:val="0003525A"/>
    <w:rsid w:val="00035B98"/>
    <w:rsid w:val="000364A4"/>
    <w:rsid w:val="00036E93"/>
    <w:rsid w:val="00036EF6"/>
    <w:rsid w:val="0003738E"/>
    <w:rsid w:val="00037926"/>
    <w:rsid w:val="0004032B"/>
    <w:rsid w:val="000409F0"/>
    <w:rsid w:val="000424EF"/>
    <w:rsid w:val="00042FDF"/>
    <w:rsid w:val="00043083"/>
    <w:rsid w:val="00043A5D"/>
    <w:rsid w:val="00043F44"/>
    <w:rsid w:val="0004447F"/>
    <w:rsid w:val="00044581"/>
    <w:rsid w:val="000453A4"/>
    <w:rsid w:val="00045AE9"/>
    <w:rsid w:val="000463D7"/>
    <w:rsid w:val="000478E8"/>
    <w:rsid w:val="00047DB8"/>
    <w:rsid w:val="00051665"/>
    <w:rsid w:val="000517B1"/>
    <w:rsid w:val="000517C9"/>
    <w:rsid w:val="0005367B"/>
    <w:rsid w:val="00053F8B"/>
    <w:rsid w:val="000547D6"/>
    <w:rsid w:val="000547F1"/>
    <w:rsid w:val="000548FC"/>
    <w:rsid w:val="00055085"/>
    <w:rsid w:val="00055184"/>
    <w:rsid w:val="00055797"/>
    <w:rsid w:val="00055ACC"/>
    <w:rsid w:val="000573A0"/>
    <w:rsid w:val="00057522"/>
    <w:rsid w:val="000578F8"/>
    <w:rsid w:val="00057920"/>
    <w:rsid w:val="00057CBA"/>
    <w:rsid w:val="00057EE1"/>
    <w:rsid w:val="00060245"/>
    <w:rsid w:val="00060EC8"/>
    <w:rsid w:val="00062A18"/>
    <w:rsid w:val="00062DEB"/>
    <w:rsid w:val="00063794"/>
    <w:rsid w:val="00064557"/>
    <w:rsid w:val="000645F3"/>
    <w:rsid w:val="00064B48"/>
    <w:rsid w:val="0006550E"/>
    <w:rsid w:val="000660B2"/>
    <w:rsid w:val="00066539"/>
    <w:rsid w:val="00066576"/>
    <w:rsid w:val="000669F4"/>
    <w:rsid w:val="000670F4"/>
    <w:rsid w:val="000675CD"/>
    <w:rsid w:val="000706D2"/>
    <w:rsid w:val="000710E4"/>
    <w:rsid w:val="000717F9"/>
    <w:rsid w:val="000734C5"/>
    <w:rsid w:val="00074033"/>
    <w:rsid w:val="000765B4"/>
    <w:rsid w:val="00076A62"/>
    <w:rsid w:val="000774CB"/>
    <w:rsid w:val="00077901"/>
    <w:rsid w:val="00077A73"/>
    <w:rsid w:val="000817D0"/>
    <w:rsid w:val="00082310"/>
    <w:rsid w:val="000826C1"/>
    <w:rsid w:val="00082E2F"/>
    <w:rsid w:val="00083C21"/>
    <w:rsid w:val="00084E33"/>
    <w:rsid w:val="00084FD9"/>
    <w:rsid w:val="000864A0"/>
    <w:rsid w:val="000868EE"/>
    <w:rsid w:val="000871B3"/>
    <w:rsid w:val="000873CC"/>
    <w:rsid w:val="000874B2"/>
    <w:rsid w:val="0009015D"/>
    <w:rsid w:val="00090BD2"/>
    <w:rsid w:val="000915B3"/>
    <w:rsid w:val="00091B4D"/>
    <w:rsid w:val="00092EDC"/>
    <w:rsid w:val="00094037"/>
    <w:rsid w:val="00096227"/>
    <w:rsid w:val="00097290"/>
    <w:rsid w:val="00097823"/>
    <w:rsid w:val="00097A34"/>
    <w:rsid w:val="000A00DB"/>
    <w:rsid w:val="000A02FA"/>
    <w:rsid w:val="000A07AC"/>
    <w:rsid w:val="000A0B59"/>
    <w:rsid w:val="000A122D"/>
    <w:rsid w:val="000A13B1"/>
    <w:rsid w:val="000A1487"/>
    <w:rsid w:val="000A1879"/>
    <w:rsid w:val="000A219F"/>
    <w:rsid w:val="000A29BB"/>
    <w:rsid w:val="000A32D1"/>
    <w:rsid w:val="000A33FF"/>
    <w:rsid w:val="000A388B"/>
    <w:rsid w:val="000A3928"/>
    <w:rsid w:val="000A4478"/>
    <w:rsid w:val="000A6A78"/>
    <w:rsid w:val="000A6DB6"/>
    <w:rsid w:val="000A762D"/>
    <w:rsid w:val="000B0042"/>
    <w:rsid w:val="000B0F63"/>
    <w:rsid w:val="000B1494"/>
    <w:rsid w:val="000B1ABF"/>
    <w:rsid w:val="000B2531"/>
    <w:rsid w:val="000B2A92"/>
    <w:rsid w:val="000B2BDC"/>
    <w:rsid w:val="000B4392"/>
    <w:rsid w:val="000B439B"/>
    <w:rsid w:val="000B4782"/>
    <w:rsid w:val="000B5137"/>
    <w:rsid w:val="000B5B07"/>
    <w:rsid w:val="000B6E3E"/>
    <w:rsid w:val="000B7523"/>
    <w:rsid w:val="000B7C1F"/>
    <w:rsid w:val="000C00C4"/>
    <w:rsid w:val="000C0242"/>
    <w:rsid w:val="000C029B"/>
    <w:rsid w:val="000C06A0"/>
    <w:rsid w:val="000C0BB0"/>
    <w:rsid w:val="000C0DE7"/>
    <w:rsid w:val="000C108A"/>
    <w:rsid w:val="000C204A"/>
    <w:rsid w:val="000C244B"/>
    <w:rsid w:val="000C27ED"/>
    <w:rsid w:val="000C2F09"/>
    <w:rsid w:val="000C35D7"/>
    <w:rsid w:val="000C37B5"/>
    <w:rsid w:val="000C3A09"/>
    <w:rsid w:val="000C3BDD"/>
    <w:rsid w:val="000C3DEA"/>
    <w:rsid w:val="000C42BF"/>
    <w:rsid w:val="000C5BE0"/>
    <w:rsid w:val="000C660C"/>
    <w:rsid w:val="000C6C61"/>
    <w:rsid w:val="000C6E22"/>
    <w:rsid w:val="000C77D6"/>
    <w:rsid w:val="000D0485"/>
    <w:rsid w:val="000D0599"/>
    <w:rsid w:val="000D1166"/>
    <w:rsid w:val="000D132E"/>
    <w:rsid w:val="000D1B0F"/>
    <w:rsid w:val="000D21CE"/>
    <w:rsid w:val="000D32FD"/>
    <w:rsid w:val="000D4800"/>
    <w:rsid w:val="000D494C"/>
    <w:rsid w:val="000D595D"/>
    <w:rsid w:val="000D5C19"/>
    <w:rsid w:val="000D720C"/>
    <w:rsid w:val="000D78FB"/>
    <w:rsid w:val="000E0053"/>
    <w:rsid w:val="000E0C99"/>
    <w:rsid w:val="000E1417"/>
    <w:rsid w:val="000E1E88"/>
    <w:rsid w:val="000E2558"/>
    <w:rsid w:val="000E2CEA"/>
    <w:rsid w:val="000E412F"/>
    <w:rsid w:val="000E45E2"/>
    <w:rsid w:val="000E7CE6"/>
    <w:rsid w:val="000F20EF"/>
    <w:rsid w:val="000F234C"/>
    <w:rsid w:val="000F2AB9"/>
    <w:rsid w:val="000F2E76"/>
    <w:rsid w:val="000F3142"/>
    <w:rsid w:val="000F3301"/>
    <w:rsid w:val="000F4EFD"/>
    <w:rsid w:val="000F4F13"/>
    <w:rsid w:val="000F5127"/>
    <w:rsid w:val="000F561B"/>
    <w:rsid w:val="000F5912"/>
    <w:rsid w:val="000F6329"/>
    <w:rsid w:val="000F6C1D"/>
    <w:rsid w:val="000F6C9D"/>
    <w:rsid w:val="000F6FFC"/>
    <w:rsid w:val="000F7B9F"/>
    <w:rsid w:val="000F7ECE"/>
    <w:rsid w:val="000F7FA2"/>
    <w:rsid w:val="001003C2"/>
    <w:rsid w:val="00100959"/>
    <w:rsid w:val="001010F0"/>
    <w:rsid w:val="00101A8F"/>
    <w:rsid w:val="00102B65"/>
    <w:rsid w:val="00102EDB"/>
    <w:rsid w:val="00103E01"/>
    <w:rsid w:val="001042EA"/>
    <w:rsid w:val="00104B5A"/>
    <w:rsid w:val="00106C59"/>
    <w:rsid w:val="001075F7"/>
    <w:rsid w:val="00107AA3"/>
    <w:rsid w:val="00107FE6"/>
    <w:rsid w:val="00110626"/>
    <w:rsid w:val="0011167C"/>
    <w:rsid w:val="001120CD"/>
    <w:rsid w:val="00112ABD"/>
    <w:rsid w:val="00113287"/>
    <w:rsid w:val="00113D42"/>
    <w:rsid w:val="00114496"/>
    <w:rsid w:val="00114C58"/>
    <w:rsid w:val="00114F95"/>
    <w:rsid w:val="00115C06"/>
    <w:rsid w:val="0011620B"/>
    <w:rsid w:val="00116A5B"/>
    <w:rsid w:val="00117910"/>
    <w:rsid w:val="00121C59"/>
    <w:rsid w:val="00121D55"/>
    <w:rsid w:val="00122B00"/>
    <w:rsid w:val="00122F81"/>
    <w:rsid w:val="00123077"/>
    <w:rsid w:val="0012362D"/>
    <w:rsid w:val="00125F23"/>
    <w:rsid w:val="00126182"/>
    <w:rsid w:val="00126E17"/>
    <w:rsid w:val="00127284"/>
    <w:rsid w:val="001277FD"/>
    <w:rsid w:val="00127CE4"/>
    <w:rsid w:val="00127CE6"/>
    <w:rsid w:val="00130749"/>
    <w:rsid w:val="00130E46"/>
    <w:rsid w:val="001317AF"/>
    <w:rsid w:val="00131A36"/>
    <w:rsid w:val="00131D7E"/>
    <w:rsid w:val="00132261"/>
    <w:rsid w:val="0013273F"/>
    <w:rsid w:val="00132781"/>
    <w:rsid w:val="00132939"/>
    <w:rsid w:val="00132E15"/>
    <w:rsid w:val="00132E64"/>
    <w:rsid w:val="00133639"/>
    <w:rsid w:val="00133B25"/>
    <w:rsid w:val="00134469"/>
    <w:rsid w:val="00134D2B"/>
    <w:rsid w:val="00134F8B"/>
    <w:rsid w:val="0013556A"/>
    <w:rsid w:val="00136273"/>
    <w:rsid w:val="00136C26"/>
    <w:rsid w:val="00136CAE"/>
    <w:rsid w:val="00136EDB"/>
    <w:rsid w:val="0013707A"/>
    <w:rsid w:val="001373CA"/>
    <w:rsid w:val="001379BD"/>
    <w:rsid w:val="001410FF"/>
    <w:rsid w:val="00142891"/>
    <w:rsid w:val="00142938"/>
    <w:rsid w:val="001430FA"/>
    <w:rsid w:val="001435C7"/>
    <w:rsid w:val="00144F58"/>
    <w:rsid w:val="001450A0"/>
    <w:rsid w:val="0014781A"/>
    <w:rsid w:val="001478F1"/>
    <w:rsid w:val="00147A1A"/>
    <w:rsid w:val="0015069E"/>
    <w:rsid w:val="00150F98"/>
    <w:rsid w:val="00151E76"/>
    <w:rsid w:val="00153195"/>
    <w:rsid w:val="00153F13"/>
    <w:rsid w:val="00154024"/>
    <w:rsid w:val="001553F3"/>
    <w:rsid w:val="001561C7"/>
    <w:rsid w:val="001570AF"/>
    <w:rsid w:val="00163A16"/>
    <w:rsid w:val="00163C36"/>
    <w:rsid w:val="00163C3C"/>
    <w:rsid w:val="00164EDF"/>
    <w:rsid w:val="001652F2"/>
    <w:rsid w:val="001655E7"/>
    <w:rsid w:val="001656E6"/>
    <w:rsid w:val="00165ACB"/>
    <w:rsid w:val="00165D3A"/>
    <w:rsid w:val="00165F1C"/>
    <w:rsid w:val="00166847"/>
    <w:rsid w:val="001668A5"/>
    <w:rsid w:val="00167122"/>
    <w:rsid w:val="0016755D"/>
    <w:rsid w:val="0016760A"/>
    <w:rsid w:val="00167D09"/>
    <w:rsid w:val="00171CE9"/>
    <w:rsid w:val="0017223D"/>
    <w:rsid w:val="00172A62"/>
    <w:rsid w:val="00173844"/>
    <w:rsid w:val="0017401F"/>
    <w:rsid w:val="00174204"/>
    <w:rsid w:val="00174930"/>
    <w:rsid w:val="00174DCD"/>
    <w:rsid w:val="00175000"/>
    <w:rsid w:val="00175339"/>
    <w:rsid w:val="0017612F"/>
    <w:rsid w:val="00176788"/>
    <w:rsid w:val="00176E13"/>
    <w:rsid w:val="00176E8C"/>
    <w:rsid w:val="00177BC8"/>
    <w:rsid w:val="00177D26"/>
    <w:rsid w:val="00180C89"/>
    <w:rsid w:val="00181696"/>
    <w:rsid w:val="001818EA"/>
    <w:rsid w:val="00181A27"/>
    <w:rsid w:val="00182533"/>
    <w:rsid w:val="0018286A"/>
    <w:rsid w:val="001828D3"/>
    <w:rsid w:val="00182AEB"/>
    <w:rsid w:val="00184F15"/>
    <w:rsid w:val="00186241"/>
    <w:rsid w:val="00186E7B"/>
    <w:rsid w:val="00187140"/>
    <w:rsid w:val="0018753A"/>
    <w:rsid w:val="00187541"/>
    <w:rsid w:val="0018785E"/>
    <w:rsid w:val="00187FCF"/>
    <w:rsid w:val="00187FE8"/>
    <w:rsid w:val="00190229"/>
    <w:rsid w:val="00190C6E"/>
    <w:rsid w:val="00190E5D"/>
    <w:rsid w:val="00191FD8"/>
    <w:rsid w:val="00192646"/>
    <w:rsid w:val="00192954"/>
    <w:rsid w:val="00193302"/>
    <w:rsid w:val="001936B6"/>
    <w:rsid w:val="001938FB"/>
    <w:rsid w:val="00194173"/>
    <w:rsid w:val="00195912"/>
    <w:rsid w:val="00195C25"/>
    <w:rsid w:val="00196704"/>
    <w:rsid w:val="00196F00"/>
    <w:rsid w:val="001974E2"/>
    <w:rsid w:val="00197C77"/>
    <w:rsid w:val="00197D3D"/>
    <w:rsid w:val="001A017B"/>
    <w:rsid w:val="001A034E"/>
    <w:rsid w:val="001A0F10"/>
    <w:rsid w:val="001A267F"/>
    <w:rsid w:val="001A2969"/>
    <w:rsid w:val="001A2CB7"/>
    <w:rsid w:val="001A2E76"/>
    <w:rsid w:val="001A3553"/>
    <w:rsid w:val="001A51A7"/>
    <w:rsid w:val="001A5239"/>
    <w:rsid w:val="001A6520"/>
    <w:rsid w:val="001A7982"/>
    <w:rsid w:val="001A7C08"/>
    <w:rsid w:val="001A7FD6"/>
    <w:rsid w:val="001B0F0B"/>
    <w:rsid w:val="001B19AC"/>
    <w:rsid w:val="001B2B40"/>
    <w:rsid w:val="001B2D73"/>
    <w:rsid w:val="001B344D"/>
    <w:rsid w:val="001B7060"/>
    <w:rsid w:val="001B76D0"/>
    <w:rsid w:val="001B7E23"/>
    <w:rsid w:val="001C0A22"/>
    <w:rsid w:val="001C120D"/>
    <w:rsid w:val="001C1F99"/>
    <w:rsid w:val="001C34D4"/>
    <w:rsid w:val="001C4A88"/>
    <w:rsid w:val="001C4AD0"/>
    <w:rsid w:val="001C4B46"/>
    <w:rsid w:val="001C5F63"/>
    <w:rsid w:val="001C77FC"/>
    <w:rsid w:val="001D08AE"/>
    <w:rsid w:val="001D2CD9"/>
    <w:rsid w:val="001D334D"/>
    <w:rsid w:val="001D3888"/>
    <w:rsid w:val="001D40DB"/>
    <w:rsid w:val="001D55D5"/>
    <w:rsid w:val="001D5B15"/>
    <w:rsid w:val="001D5CAA"/>
    <w:rsid w:val="001D6ACF"/>
    <w:rsid w:val="001D6C2D"/>
    <w:rsid w:val="001D6D8B"/>
    <w:rsid w:val="001D796E"/>
    <w:rsid w:val="001E05D3"/>
    <w:rsid w:val="001E0633"/>
    <w:rsid w:val="001E0A2A"/>
    <w:rsid w:val="001E12FF"/>
    <w:rsid w:val="001E2778"/>
    <w:rsid w:val="001E2870"/>
    <w:rsid w:val="001E29C3"/>
    <w:rsid w:val="001E3474"/>
    <w:rsid w:val="001E3554"/>
    <w:rsid w:val="001E3DDD"/>
    <w:rsid w:val="001E4AD7"/>
    <w:rsid w:val="001E4E34"/>
    <w:rsid w:val="001E6A3E"/>
    <w:rsid w:val="001E784E"/>
    <w:rsid w:val="001F1D1F"/>
    <w:rsid w:val="001F27EE"/>
    <w:rsid w:val="001F2BD7"/>
    <w:rsid w:val="001F4439"/>
    <w:rsid w:val="001F4600"/>
    <w:rsid w:val="001F52F2"/>
    <w:rsid w:val="001F597E"/>
    <w:rsid w:val="00202C10"/>
    <w:rsid w:val="00202CDC"/>
    <w:rsid w:val="00202E91"/>
    <w:rsid w:val="00202F55"/>
    <w:rsid w:val="00205354"/>
    <w:rsid w:val="00205508"/>
    <w:rsid w:val="00205DA4"/>
    <w:rsid w:val="00205F5E"/>
    <w:rsid w:val="00206355"/>
    <w:rsid w:val="0020662A"/>
    <w:rsid w:val="00206BA0"/>
    <w:rsid w:val="0021027C"/>
    <w:rsid w:val="002112DC"/>
    <w:rsid w:val="00211580"/>
    <w:rsid w:val="00211BC8"/>
    <w:rsid w:val="00211ECD"/>
    <w:rsid w:val="002129B5"/>
    <w:rsid w:val="00213334"/>
    <w:rsid w:val="002142DE"/>
    <w:rsid w:val="00215A64"/>
    <w:rsid w:val="00215E52"/>
    <w:rsid w:val="00216701"/>
    <w:rsid w:val="00217851"/>
    <w:rsid w:val="002178DF"/>
    <w:rsid w:val="00220E2B"/>
    <w:rsid w:val="002217D0"/>
    <w:rsid w:val="00221E12"/>
    <w:rsid w:val="00221EE9"/>
    <w:rsid w:val="00223029"/>
    <w:rsid w:val="0022307C"/>
    <w:rsid w:val="00223E5A"/>
    <w:rsid w:val="0022426A"/>
    <w:rsid w:val="00224313"/>
    <w:rsid w:val="00224739"/>
    <w:rsid w:val="002247F2"/>
    <w:rsid w:val="002256A3"/>
    <w:rsid w:val="0022669A"/>
    <w:rsid w:val="00226A5B"/>
    <w:rsid w:val="00227363"/>
    <w:rsid w:val="00227CE6"/>
    <w:rsid w:val="00227E5D"/>
    <w:rsid w:val="002305AD"/>
    <w:rsid w:val="00230C3A"/>
    <w:rsid w:val="002316F8"/>
    <w:rsid w:val="002317D9"/>
    <w:rsid w:val="002322DD"/>
    <w:rsid w:val="002325A3"/>
    <w:rsid w:val="00233151"/>
    <w:rsid w:val="0023360B"/>
    <w:rsid w:val="002337CC"/>
    <w:rsid w:val="00233861"/>
    <w:rsid w:val="00233B30"/>
    <w:rsid w:val="002348EA"/>
    <w:rsid w:val="0023495C"/>
    <w:rsid w:val="002356FB"/>
    <w:rsid w:val="00235860"/>
    <w:rsid w:val="00236394"/>
    <w:rsid w:val="00236D82"/>
    <w:rsid w:val="002400A6"/>
    <w:rsid w:val="00240ECE"/>
    <w:rsid w:val="00241542"/>
    <w:rsid w:val="00241A51"/>
    <w:rsid w:val="00242040"/>
    <w:rsid w:val="0024236B"/>
    <w:rsid w:val="0024335F"/>
    <w:rsid w:val="00244E1E"/>
    <w:rsid w:val="00244EC4"/>
    <w:rsid w:val="00245638"/>
    <w:rsid w:val="0024587D"/>
    <w:rsid w:val="00246535"/>
    <w:rsid w:val="00246AE5"/>
    <w:rsid w:val="002507ED"/>
    <w:rsid w:val="00251223"/>
    <w:rsid w:val="00251313"/>
    <w:rsid w:val="002514A1"/>
    <w:rsid w:val="002526F6"/>
    <w:rsid w:val="0025424A"/>
    <w:rsid w:val="0025464A"/>
    <w:rsid w:val="00255449"/>
    <w:rsid w:val="00255E25"/>
    <w:rsid w:val="00255F15"/>
    <w:rsid w:val="002567A0"/>
    <w:rsid w:val="00256A87"/>
    <w:rsid w:val="00257357"/>
    <w:rsid w:val="00260155"/>
    <w:rsid w:val="002614D3"/>
    <w:rsid w:val="002616FC"/>
    <w:rsid w:val="00262915"/>
    <w:rsid w:val="00262DE8"/>
    <w:rsid w:val="00264055"/>
    <w:rsid w:val="00270D1D"/>
    <w:rsid w:val="00271751"/>
    <w:rsid w:val="00271BF4"/>
    <w:rsid w:val="00271D8C"/>
    <w:rsid w:val="00272768"/>
    <w:rsid w:val="00272E5B"/>
    <w:rsid w:val="002737C3"/>
    <w:rsid w:val="002738A7"/>
    <w:rsid w:val="00273FBF"/>
    <w:rsid w:val="002749A0"/>
    <w:rsid w:val="0027668F"/>
    <w:rsid w:val="002768FD"/>
    <w:rsid w:val="00276C05"/>
    <w:rsid w:val="0027723A"/>
    <w:rsid w:val="00277329"/>
    <w:rsid w:val="002775B0"/>
    <w:rsid w:val="002778AE"/>
    <w:rsid w:val="00281475"/>
    <w:rsid w:val="00282EA3"/>
    <w:rsid w:val="00283866"/>
    <w:rsid w:val="00283CB4"/>
    <w:rsid w:val="0028400F"/>
    <w:rsid w:val="002840E7"/>
    <w:rsid w:val="00284660"/>
    <w:rsid w:val="002846BA"/>
    <w:rsid w:val="0028515D"/>
    <w:rsid w:val="0028639B"/>
    <w:rsid w:val="00287C75"/>
    <w:rsid w:val="00287E14"/>
    <w:rsid w:val="00287E87"/>
    <w:rsid w:val="00287ED9"/>
    <w:rsid w:val="0029065B"/>
    <w:rsid w:val="00290BC4"/>
    <w:rsid w:val="00291BF4"/>
    <w:rsid w:val="002924CA"/>
    <w:rsid w:val="00294139"/>
    <w:rsid w:val="0029444E"/>
    <w:rsid w:val="0029601D"/>
    <w:rsid w:val="0029619C"/>
    <w:rsid w:val="00297398"/>
    <w:rsid w:val="002A0B22"/>
    <w:rsid w:val="002A0E8E"/>
    <w:rsid w:val="002A1FAF"/>
    <w:rsid w:val="002A24A4"/>
    <w:rsid w:val="002A2BDD"/>
    <w:rsid w:val="002A509F"/>
    <w:rsid w:val="002A5394"/>
    <w:rsid w:val="002A65EC"/>
    <w:rsid w:val="002A7493"/>
    <w:rsid w:val="002B2EDF"/>
    <w:rsid w:val="002B3DD1"/>
    <w:rsid w:val="002B471F"/>
    <w:rsid w:val="002B50A6"/>
    <w:rsid w:val="002B521B"/>
    <w:rsid w:val="002B5C38"/>
    <w:rsid w:val="002B6291"/>
    <w:rsid w:val="002B6815"/>
    <w:rsid w:val="002B718A"/>
    <w:rsid w:val="002B75A8"/>
    <w:rsid w:val="002B7F01"/>
    <w:rsid w:val="002C05F9"/>
    <w:rsid w:val="002C100B"/>
    <w:rsid w:val="002C2DBF"/>
    <w:rsid w:val="002C3382"/>
    <w:rsid w:val="002C3D95"/>
    <w:rsid w:val="002C3F88"/>
    <w:rsid w:val="002C52C2"/>
    <w:rsid w:val="002D073E"/>
    <w:rsid w:val="002D087E"/>
    <w:rsid w:val="002D1222"/>
    <w:rsid w:val="002D1363"/>
    <w:rsid w:val="002D2D29"/>
    <w:rsid w:val="002D3601"/>
    <w:rsid w:val="002D3B51"/>
    <w:rsid w:val="002D46DA"/>
    <w:rsid w:val="002D49CA"/>
    <w:rsid w:val="002D5235"/>
    <w:rsid w:val="002D6853"/>
    <w:rsid w:val="002D6BC7"/>
    <w:rsid w:val="002E03BC"/>
    <w:rsid w:val="002E08E7"/>
    <w:rsid w:val="002E1040"/>
    <w:rsid w:val="002E161E"/>
    <w:rsid w:val="002E195A"/>
    <w:rsid w:val="002E1F0B"/>
    <w:rsid w:val="002E3920"/>
    <w:rsid w:val="002E3A16"/>
    <w:rsid w:val="002E3A6D"/>
    <w:rsid w:val="002E3AA5"/>
    <w:rsid w:val="002E3B12"/>
    <w:rsid w:val="002E4B61"/>
    <w:rsid w:val="002E50E5"/>
    <w:rsid w:val="002E59DD"/>
    <w:rsid w:val="002E5F50"/>
    <w:rsid w:val="002E600A"/>
    <w:rsid w:val="002F037B"/>
    <w:rsid w:val="002F04BC"/>
    <w:rsid w:val="002F0C95"/>
    <w:rsid w:val="002F12CA"/>
    <w:rsid w:val="002F1B8D"/>
    <w:rsid w:val="002F1D95"/>
    <w:rsid w:val="002F25DB"/>
    <w:rsid w:val="002F2D95"/>
    <w:rsid w:val="002F318D"/>
    <w:rsid w:val="002F4C5F"/>
    <w:rsid w:val="002F5997"/>
    <w:rsid w:val="002F5AED"/>
    <w:rsid w:val="002F7400"/>
    <w:rsid w:val="0030009E"/>
    <w:rsid w:val="00301655"/>
    <w:rsid w:val="00301B95"/>
    <w:rsid w:val="003023AF"/>
    <w:rsid w:val="0030294B"/>
    <w:rsid w:val="00302E2E"/>
    <w:rsid w:val="00303695"/>
    <w:rsid w:val="00303983"/>
    <w:rsid w:val="00304A0B"/>
    <w:rsid w:val="003055C3"/>
    <w:rsid w:val="00305C9B"/>
    <w:rsid w:val="00305FE9"/>
    <w:rsid w:val="00306819"/>
    <w:rsid w:val="00307056"/>
    <w:rsid w:val="003074DE"/>
    <w:rsid w:val="0031004D"/>
    <w:rsid w:val="0031049A"/>
    <w:rsid w:val="00310F79"/>
    <w:rsid w:val="00310FD9"/>
    <w:rsid w:val="00311CCD"/>
    <w:rsid w:val="00312B21"/>
    <w:rsid w:val="00312BB7"/>
    <w:rsid w:val="0031342B"/>
    <w:rsid w:val="00314878"/>
    <w:rsid w:val="00314B00"/>
    <w:rsid w:val="00314B8A"/>
    <w:rsid w:val="00315475"/>
    <w:rsid w:val="00316568"/>
    <w:rsid w:val="00316F0A"/>
    <w:rsid w:val="00317F76"/>
    <w:rsid w:val="0032160B"/>
    <w:rsid w:val="0032299F"/>
    <w:rsid w:val="0032314F"/>
    <w:rsid w:val="00323ECE"/>
    <w:rsid w:val="00324C31"/>
    <w:rsid w:val="003273FD"/>
    <w:rsid w:val="00327EE6"/>
    <w:rsid w:val="00327F9B"/>
    <w:rsid w:val="0033028C"/>
    <w:rsid w:val="00331A61"/>
    <w:rsid w:val="003329E3"/>
    <w:rsid w:val="00333E8C"/>
    <w:rsid w:val="003341A1"/>
    <w:rsid w:val="003343ED"/>
    <w:rsid w:val="00335603"/>
    <w:rsid w:val="00335AA7"/>
    <w:rsid w:val="00340F1F"/>
    <w:rsid w:val="00341420"/>
    <w:rsid w:val="0034149D"/>
    <w:rsid w:val="00341C00"/>
    <w:rsid w:val="00342628"/>
    <w:rsid w:val="003430F6"/>
    <w:rsid w:val="00344137"/>
    <w:rsid w:val="00344717"/>
    <w:rsid w:val="00344D83"/>
    <w:rsid w:val="00345A19"/>
    <w:rsid w:val="0034646B"/>
    <w:rsid w:val="003467B3"/>
    <w:rsid w:val="00346CC6"/>
    <w:rsid w:val="00350FB8"/>
    <w:rsid w:val="00350FD1"/>
    <w:rsid w:val="00351A6C"/>
    <w:rsid w:val="003527F2"/>
    <w:rsid w:val="0035282F"/>
    <w:rsid w:val="003528E3"/>
    <w:rsid w:val="00352E32"/>
    <w:rsid w:val="00353533"/>
    <w:rsid w:val="003545F6"/>
    <w:rsid w:val="0035463F"/>
    <w:rsid w:val="0035496A"/>
    <w:rsid w:val="00354AE5"/>
    <w:rsid w:val="00354D99"/>
    <w:rsid w:val="00355B98"/>
    <w:rsid w:val="00356B71"/>
    <w:rsid w:val="0035717E"/>
    <w:rsid w:val="003578B5"/>
    <w:rsid w:val="00357A3E"/>
    <w:rsid w:val="00361B16"/>
    <w:rsid w:val="003623B7"/>
    <w:rsid w:val="00362CAF"/>
    <w:rsid w:val="00363362"/>
    <w:rsid w:val="00363CB7"/>
    <w:rsid w:val="00363E28"/>
    <w:rsid w:val="00364314"/>
    <w:rsid w:val="00364663"/>
    <w:rsid w:val="00365325"/>
    <w:rsid w:val="00365ACE"/>
    <w:rsid w:val="00365FAF"/>
    <w:rsid w:val="0036635A"/>
    <w:rsid w:val="00367CBB"/>
    <w:rsid w:val="0037216E"/>
    <w:rsid w:val="00372D6D"/>
    <w:rsid w:val="00372F09"/>
    <w:rsid w:val="00375939"/>
    <w:rsid w:val="00376CF1"/>
    <w:rsid w:val="003770C1"/>
    <w:rsid w:val="00377338"/>
    <w:rsid w:val="00377936"/>
    <w:rsid w:val="00380963"/>
    <w:rsid w:val="00380C4D"/>
    <w:rsid w:val="00381180"/>
    <w:rsid w:val="0038152B"/>
    <w:rsid w:val="0038255A"/>
    <w:rsid w:val="0038295F"/>
    <w:rsid w:val="0038309C"/>
    <w:rsid w:val="00383807"/>
    <w:rsid w:val="00383DBB"/>
    <w:rsid w:val="00384027"/>
    <w:rsid w:val="00384721"/>
    <w:rsid w:val="00384C97"/>
    <w:rsid w:val="0038566D"/>
    <w:rsid w:val="0038594A"/>
    <w:rsid w:val="00386386"/>
    <w:rsid w:val="00387256"/>
    <w:rsid w:val="00387A14"/>
    <w:rsid w:val="00390F14"/>
    <w:rsid w:val="00391A1A"/>
    <w:rsid w:val="00391B94"/>
    <w:rsid w:val="003929D5"/>
    <w:rsid w:val="00393490"/>
    <w:rsid w:val="00393575"/>
    <w:rsid w:val="00393899"/>
    <w:rsid w:val="0039544A"/>
    <w:rsid w:val="00395BAB"/>
    <w:rsid w:val="0039784A"/>
    <w:rsid w:val="00397D90"/>
    <w:rsid w:val="003A07F3"/>
    <w:rsid w:val="003A1209"/>
    <w:rsid w:val="003A15E3"/>
    <w:rsid w:val="003A1FD7"/>
    <w:rsid w:val="003A2C2A"/>
    <w:rsid w:val="003A474C"/>
    <w:rsid w:val="003A4914"/>
    <w:rsid w:val="003A4A1B"/>
    <w:rsid w:val="003A4CEE"/>
    <w:rsid w:val="003A684F"/>
    <w:rsid w:val="003A68F2"/>
    <w:rsid w:val="003A69A3"/>
    <w:rsid w:val="003A7863"/>
    <w:rsid w:val="003B1862"/>
    <w:rsid w:val="003B2932"/>
    <w:rsid w:val="003B3BF7"/>
    <w:rsid w:val="003B529B"/>
    <w:rsid w:val="003B6746"/>
    <w:rsid w:val="003B78F4"/>
    <w:rsid w:val="003C2751"/>
    <w:rsid w:val="003C405A"/>
    <w:rsid w:val="003C45B5"/>
    <w:rsid w:val="003C4881"/>
    <w:rsid w:val="003C7C33"/>
    <w:rsid w:val="003D298D"/>
    <w:rsid w:val="003D2D59"/>
    <w:rsid w:val="003D350F"/>
    <w:rsid w:val="003D3AC8"/>
    <w:rsid w:val="003D3B08"/>
    <w:rsid w:val="003D45EA"/>
    <w:rsid w:val="003D49E1"/>
    <w:rsid w:val="003D5203"/>
    <w:rsid w:val="003D5C62"/>
    <w:rsid w:val="003D62BC"/>
    <w:rsid w:val="003D6C36"/>
    <w:rsid w:val="003D7368"/>
    <w:rsid w:val="003E0DE5"/>
    <w:rsid w:val="003E1684"/>
    <w:rsid w:val="003E1920"/>
    <w:rsid w:val="003E2408"/>
    <w:rsid w:val="003E3BE3"/>
    <w:rsid w:val="003E40DB"/>
    <w:rsid w:val="003E42AC"/>
    <w:rsid w:val="003E4456"/>
    <w:rsid w:val="003E4D2F"/>
    <w:rsid w:val="003E4E05"/>
    <w:rsid w:val="003E7C8E"/>
    <w:rsid w:val="003F065E"/>
    <w:rsid w:val="003F0F2F"/>
    <w:rsid w:val="003F0F63"/>
    <w:rsid w:val="003F1196"/>
    <w:rsid w:val="003F134A"/>
    <w:rsid w:val="003F1643"/>
    <w:rsid w:val="003F1AE5"/>
    <w:rsid w:val="003F1B57"/>
    <w:rsid w:val="003F1C0C"/>
    <w:rsid w:val="003F300D"/>
    <w:rsid w:val="003F379A"/>
    <w:rsid w:val="003F3BDB"/>
    <w:rsid w:val="003F3ED9"/>
    <w:rsid w:val="003F4979"/>
    <w:rsid w:val="003F56E0"/>
    <w:rsid w:val="003F5C0F"/>
    <w:rsid w:val="003F5C58"/>
    <w:rsid w:val="003F5D70"/>
    <w:rsid w:val="003F5E18"/>
    <w:rsid w:val="003F694D"/>
    <w:rsid w:val="003F69AC"/>
    <w:rsid w:val="003F6E7E"/>
    <w:rsid w:val="004003AD"/>
    <w:rsid w:val="004003FF"/>
    <w:rsid w:val="004007F4"/>
    <w:rsid w:val="00400C13"/>
    <w:rsid w:val="0040171A"/>
    <w:rsid w:val="00401784"/>
    <w:rsid w:val="004017E0"/>
    <w:rsid w:val="004018D4"/>
    <w:rsid w:val="004019F0"/>
    <w:rsid w:val="00402021"/>
    <w:rsid w:val="0040254D"/>
    <w:rsid w:val="004028F7"/>
    <w:rsid w:val="00402BB1"/>
    <w:rsid w:val="00403048"/>
    <w:rsid w:val="00403292"/>
    <w:rsid w:val="0040355F"/>
    <w:rsid w:val="00404DC2"/>
    <w:rsid w:val="00404DC4"/>
    <w:rsid w:val="00405081"/>
    <w:rsid w:val="00405271"/>
    <w:rsid w:val="0040655F"/>
    <w:rsid w:val="00406676"/>
    <w:rsid w:val="004071F1"/>
    <w:rsid w:val="00407981"/>
    <w:rsid w:val="00407EC0"/>
    <w:rsid w:val="0041168E"/>
    <w:rsid w:val="004120AD"/>
    <w:rsid w:val="00414108"/>
    <w:rsid w:val="00414EED"/>
    <w:rsid w:val="004151AE"/>
    <w:rsid w:val="00415226"/>
    <w:rsid w:val="00415A38"/>
    <w:rsid w:val="00415DEE"/>
    <w:rsid w:val="004178D5"/>
    <w:rsid w:val="00420311"/>
    <w:rsid w:val="004213D9"/>
    <w:rsid w:val="00421CEF"/>
    <w:rsid w:val="00422ADF"/>
    <w:rsid w:val="00422BA4"/>
    <w:rsid w:val="00423747"/>
    <w:rsid w:val="00423BE9"/>
    <w:rsid w:val="00423CC9"/>
    <w:rsid w:val="004255A3"/>
    <w:rsid w:val="00425669"/>
    <w:rsid w:val="004264B5"/>
    <w:rsid w:val="004267DF"/>
    <w:rsid w:val="00426DE8"/>
    <w:rsid w:val="004271C9"/>
    <w:rsid w:val="0043046D"/>
    <w:rsid w:val="00430C64"/>
    <w:rsid w:val="00430D0F"/>
    <w:rsid w:val="00431885"/>
    <w:rsid w:val="00431923"/>
    <w:rsid w:val="00432B86"/>
    <w:rsid w:val="00433203"/>
    <w:rsid w:val="00433E73"/>
    <w:rsid w:val="0043420C"/>
    <w:rsid w:val="0043428D"/>
    <w:rsid w:val="004350BC"/>
    <w:rsid w:val="00436666"/>
    <w:rsid w:val="004372D1"/>
    <w:rsid w:val="004375AB"/>
    <w:rsid w:val="00437FD4"/>
    <w:rsid w:val="00440508"/>
    <w:rsid w:val="00440AE6"/>
    <w:rsid w:val="00441EFE"/>
    <w:rsid w:val="004422FE"/>
    <w:rsid w:val="0044247A"/>
    <w:rsid w:val="0044259F"/>
    <w:rsid w:val="00442C7D"/>
    <w:rsid w:val="0044314F"/>
    <w:rsid w:val="00443A3B"/>
    <w:rsid w:val="00445460"/>
    <w:rsid w:val="00446CA3"/>
    <w:rsid w:val="00447505"/>
    <w:rsid w:val="0045016F"/>
    <w:rsid w:val="00450A01"/>
    <w:rsid w:val="00450E54"/>
    <w:rsid w:val="00451868"/>
    <w:rsid w:val="00452693"/>
    <w:rsid w:val="00453ED2"/>
    <w:rsid w:val="00454F65"/>
    <w:rsid w:val="00455152"/>
    <w:rsid w:val="004565C1"/>
    <w:rsid w:val="0045735E"/>
    <w:rsid w:val="00457749"/>
    <w:rsid w:val="004578E8"/>
    <w:rsid w:val="00457D92"/>
    <w:rsid w:val="00457E9D"/>
    <w:rsid w:val="0046088D"/>
    <w:rsid w:val="00460958"/>
    <w:rsid w:val="004620D9"/>
    <w:rsid w:val="004649D1"/>
    <w:rsid w:val="004655B9"/>
    <w:rsid w:val="00465FA7"/>
    <w:rsid w:val="00466289"/>
    <w:rsid w:val="004667B2"/>
    <w:rsid w:val="004667E6"/>
    <w:rsid w:val="0046692A"/>
    <w:rsid w:val="004678F3"/>
    <w:rsid w:val="0047057B"/>
    <w:rsid w:val="00471D27"/>
    <w:rsid w:val="00471FDF"/>
    <w:rsid w:val="0047365D"/>
    <w:rsid w:val="0047382D"/>
    <w:rsid w:val="00473D91"/>
    <w:rsid w:val="0047421B"/>
    <w:rsid w:val="004746FA"/>
    <w:rsid w:val="00474CEB"/>
    <w:rsid w:val="00480C47"/>
    <w:rsid w:val="00481BFC"/>
    <w:rsid w:val="00482406"/>
    <w:rsid w:val="00482857"/>
    <w:rsid w:val="00482B1B"/>
    <w:rsid w:val="00482BC2"/>
    <w:rsid w:val="0048433C"/>
    <w:rsid w:val="00484A99"/>
    <w:rsid w:val="00485A6C"/>
    <w:rsid w:val="0048637E"/>
    <w:rsid w:val="0048638F"/>
    <w:rsid w:val="00486FE4"/>
    <w:rsid w:val="00487548"/>
    <w:rsid w:val="00487F65"/>
    <w:rsid w:val="00490323"/>
    <w:rsid w:val="00490547"/>
    <w:rsid w:val="00492138"/>
    <w:rsid w:val="00492333"/>
    <w:rsid w:val="00492826"/>
    <w:rsid w:val="0049295D"/>
    <w:rsid w:val="004930BD"/>
    <w:rsid w:val="00493EA1"/>
    <w:rsid w:val="00494019"/>
    <w:rsid w:val="00494B9E"/>
    <w:rsid w:val="0049620A"/>
    <w:rsid w:val="00496476"/>
    <w:rsid w:val="00496D39"/>
    <w:rsid w:val="00497609"/>
    <w:rsid w:val="00497CB7"/>
    <w:rsid w:val="004A0AC8"/>
    <w:rsid w:val="004A103C"/>
    <w:rsid w:val="004A2CC9"/>
    <w:rsid w:val="004A2CFE"/>
    <w:rsid w:val="004A382D"/>
    <w:rsid w:val="004A38B6"/>
    <w:rsid w:val="004A5224"/>
    <w:rsid w:val="004A55C6"/>
    <w:rsid w:val="004A5AEE"/>
    <w:rsid w:val="004A5C30"/>
    <w:rsid w:val="004A5F03"/>
    <w:rsid w:val="004A6FA4"/>
    <w:rsid w:val="004B0578"/>
    <w:rsid w:val="004B25BF"/>
    <w:rsid w:val="004B2733"/>
    <w:rsid w:val="004B2EDF"/>
    <w:rsid w:val="004B3124"/>
    <w:rsid w:val="004B487A"/>
    <w:rsid w:val="004B4F2D"/>
    <w:rsid w:val="004B50A8"/>
    <w:rsid w:val="004B5112"/>
    <w:rsid w:val="004B534E"/>
    <w:rsid w:val="004B59F8"/>
    <w:rsid w:val="004B59FD"/>
    <w:rsid w:val="004B6436"/>
    <w:rsid w:val="004B6645"/>
    <w:rsid w:val="004B6BE7"/>
    <w:rsid w:val="004B6C5C"/>
    <w:rsid w:val="004C1EDF"/>
    <w:rsid w:val="004C1F18"/>
    <w:rsid w:val="004C220C"/>
    <w:rsid w:val="004C29D6"/>
    <w:rsid w:val="004C2AEE"/>
    <w:rsid w:val="004C2E38"/>
    <w:rsid w:val="004C3276"/>
    <w:rsid w:val="004C383E"/>
    <w:rsid w:val="004C3A8C"/>
    <w:rsid w:val="004C440B"/>
    <w:rsid w:val="004C44D0"/>
    <w:rsid w:val="004C461B"/>
    <w:rsid w:val="004C47E2"/>
    <w:rsid w:val="004C5771"/>
    <w:rsid w:val="004C58C8"/>
    <w:rsid w:val="004C5B14"/>
    <w:rsid w:val="004C667B"/>
    <w:rsid w:val="004C7D9C"/>
    <w:rsid w:val="004D09D4"/>
    <w:rsid w:val="004D0EE2"/>
    <w:rsid w:val="004D37E3"/>
    <w:rsid w:val="004D4932"/>
    <w:rsid w:val="004D4C18"/>
    <w:rsid w:val="004D4EDE"/>
    <w:rsid w:val="004D610C"/>
    <w:rsid w:val="004D6C66"/>
    <w:rsid w:val="004D6EBB"/>
    <w:rsid w:val="004E0004"/>
    <w:rsid w:val="004E0C88"/>
    <w:rsid w:val="004E0CD2"/>
    <w:rsid w:val="004E1244"/>
    <w:rsid w:val="004E167C"/>
    <w:rsid w:val="004E2664"/>
    <w:rsid w:val="004E29C7"/>
    <w:rsid w:val="004E34F1"/>
    <w:rsid w:val="004E4364"/>
    <w:rsid w:val="004E6941"/>
    <w:rsid w:val="004E6A39"/>
    <w:rsid w:val="004F25F1"/>
    <w:rsid w:val="004F2D71"/>
    <w:rsid w:val="004F337B"/>
    <w:rsid w:val="004F3598"/>
    <w:rsid w:val="004F5164"/>
    <w:rsid w:val="004F5284"/>
    <w:rsid w:val="004F5CB4"/>
    <w:rsid w:val="004F70DE"/>
    <w:rsid w:val="004F7ED8"/>
    <w:rsid w:val="005021FC"/>
    <w:rsid w:val="005024E4"/>
    <w:rsid w:val="00502A2A"/>
    <w:rsid w:val="00502C33"/>
    <w:rsid w:val="00503002"/>
    <w:rsid w:val="0050326A"/>
    <w:rsid w:val="00503499"/>
    <w:rsid w:val="00505606"/>
    <w:rsid w:val="00505B74"/>
    <w:rsid w:val="00506355"/>
    <w:rsid w:val="00506CC8"/>
    <w:rsid w:val="00506EAE"/>
    <w:rsid w:val="0050711A"/>
    <w:rsid w:val="005102BC"/>
    <w:rsid w:val="005104C4"/>
    <w:rsid w:val="0051099E"/>
    <w:rsid w:val="00511112"/>
    <w:rsid w:val="0051156C"/>
    <w:rsid w:val="0051171C"/>
    <w:rsid w:val="00511992"/>
    <w:rsid w:val="00511CBB"/>
    <w:rsid w:val="00512E9E"/>
    <w:rsid w:val="00512EB6"/>
    <w:rsid w:val="00513067"/>
    <w:rsid w:val="00513713"/>
    <w:rsid w:val="00513A29"/>
    <w:rsid w:val="00513A69"/>
    <w:rsid w:val="00513E42"/>
    <w:rsid w:val="0051490E"/>
    <w:rsid w:val="00514CA5"/>
    <w:rsid w:val="00514D81"/>
    <w:rsid w:val="00515424"/>
    <w:rsid w:val="00515CB0"/>
    <w:rsid w:val="005164E3"/>
    <w:rsid w:val="005166DB"/>
    <w:rsid w:val="0051695D"/>
    <w:rsid w:val="00516B8A"/>
    <w:rsid w:val="0051724C"/>
    <w:rsid w:val="00517974"/>
    <w:rsid w:val="00517C2C"/>
    <w:rsid w:val="00520D59"/>
    <w:rsid w:val="00521ABD"/>
    <w:rsid w:val="00521B77"/>
    <w:rsid w:val="00521E11"/>
    <w:rsid w:val="00522AB1"/>
    <w:rsid w:val="005239DA"/>
    <w:rsid w:val="00523DA3"/>
    <w:rsid w:val="0052791B"/>
    <w:rsid w:val="00527E19"/>
    <w:rsid w:val="0053038A"/>
    <w:rsid w:val="005312C7"/>
    <w:rsid w:val="005312D1"/>
    <w:rsid w:val="00531B7D"/>
    <w:rsid w:val="00531DCC"/>
    <w:rsid w:val="00532FC1"/>
    <w:rsid w:val="00533317"/>
    <w:rsid w:val="005333D6"/>
    <w:rsid w:val="00533536"/>
    <w:rsid w:val="00533DF7"/>
    <w:rsid w:val="00534AF5"/>
    <w:rsid w:val="005354F6"/>
    <w:rsid w:val="005362B3"/>
    <w:rsid w:val="00536FCA"/>
    <w:rsid w:val="0054038F"/>
    <w:rsid w:val="00540BC0"/>
    <w:rsid w:val="0054104B"/>
    <w:rsid w:val="00541301"/>
    <w:rsid w:val="0054159A"/>
    <w:rsid w:val="005417D6"/>
    <w:rsid w:val="00541BFD"/>
    <w:rsid w:val="00543AF2"/>
    <w:rsid w:val="00544DC7"/>
    <w:rsid w:val="00545AB3"/>
    <w:rsid w:val="00545DCA"/>
    <w:rsid w:val="00545DE0"/>
    <w:rsid w:val="00547906"/>
    <w:rsid w:val="00547B3C"/>
    <w:rsid w:val="00550B03"/>
    <w:rsid w:val="0055100A"/>
    <w:rsid w:val="005514A1"/>
    <w:rsid w:val="005524E6"/>
    <w:rsid w:val="0055265B"/>
    <w:rsid w:val="0055284E"/>
    <w:rsid w:val="005531DF"/>
    <w:rsid w:val="00554A8D"/>
    <w:rsid w:val="00555099"/>
    <w:rsid w:val="0055546B"/>
    <w:rsid w:val="00556001"/>
    <w:rsid w:val="0055677E"/>
    <w:rsid w:val="00557E27"/>
    <w:rsid w:val="005632FF"/>
    <w:rsid w:val="0056342F"/>
    <w:rsid w:val="00564C76"/>
    <w:rsid w:val="00565A06"/>
    <w:rsid w:val="00565F64"/>
    <w:rsid w:val="0056619E"/>
    <w:rsid w:val="00566526"/>
    <w:rsid w:val="00566D4B"/>
    <w:rsid w:val="005672F1"/>
    <w:rsid w:val="00567797"/>
    <w:rsid w:val="00570DAF"/>
    <w:rsid w:val="00570FD4"/>
    <w:rsid w:val="00571585"/>
    <w:rsid w:val="005719A0"/>
    <w:rsid w:val="005726F2"/>
    <w:rsid w:val="0057430B"/>
    <w:rsid w:val="00574E11"/>
    <w:rsid w:val="005750CB"/>
    <w:rsid w:val="005752E8"/>
    <w:rsid w:val="00575C22"/>
    <w:rsid w:val="00576717"/>
    <w:rsid w:val="00577BF1"/>
    <w:rsid w:val="005801F7"/>
    <w:rsid w:val="0058079A"/>
    <w:rsid w:val="00581116"/>
    <w:rsid w:val="005827E9"/>
    <w:rsid w:val="00583EF9"/>
    <w:rsid w:val="005844AA"/>
    <w:rsid w:val="00584818"/>
    <w:rsid w:val="0058501A"/>
    <w:rsid w:val="00585458"/>
    <w:rsid w:val="00585B3C"/>
    <w:rsid w:val="00587504"/>
    <w:rsid w:val="00587557"/>
    <w:rsid w:val="00590064"/>
    <w:rsid w:val="005900BE"/>
    <w:rsid w:val="005903CB"/>
    <w:rsid w:val="005904E1"/>
    <w:rsid w:val="00590700"/>
    <w:rsid w:val="005914BE"/>
    <w:rsid w:val="00592832"/>
    <w:rsid w:val="00594D16"/>
    <w:rsid w:val="005956DF"/>
    <w:rsid w:val="005957A1"/>
    <w:rsid w:val="0059590A"/>
    <w:rsid w:val="005969E1"/>
    <w:rsid w:val="00596C22"/>
    <w:rsid w:val="00596CD9"/>
    <w:rsid w:val="00597535"/>
    <w:rsid w:val="00597D5B"/>
    <w:rsid w:val="005A07DF"/>
    <w:rsid w:val="005A1022"/>
    <w:rsid w:val="005A112E"/>
    <w:rsid w:val="005A2343"/>
    <w:rsid w:val="005A252A"/>
    <w:rsid w:val="005A2B75"/>
    <w:rsid w:val="005A2BC6"/>
    <w:rsid w:val="005A2F9D"/>
    <w:rsid w:val="005A4D70"/>
    <w:rsid w:val="005A5DCA"/>
    <w:rsid w:val="005A5E0B"/>
    <w:rsid w:val="005A5ECD"/>
    <w:rsid w:val="005A5EFA"/>
    <w:rsid w:val="005A6390"/>
    <w:rsid w:val="005A7D23"/>
    <w:rsid w:val="005B0C15"/>
    <w:rsid w:val="005B0DC5"/>
    <w:rsid w:val="005B10D2"/>
    <w:rsid w:val="005B10FB"/>
    <w:rsid w:val="005B18C1"/>
    <w:rsid w:val="005B1CEE"/>
    <w:rsid w:val="005B213D"/>
    <w:rsid w:val="005B2C54"/>
    <w:rsid w:val="005B445B"/>
    <w:rsid w:val="005B4C69"/>
    <w:rsid w:val="005B6077"/>
    <w:rsid w:val="005B62E6"/>
    <w:rsid w:val="005B6957"/>
    <w:rsid w:val="005B6960"/>
    <w:rsid w:val="005B7406"/>
    <w:rsid w:val="005C21F1"/>
    <w:rsid w:val="005C324D"/>
    <w:rsid w:val="005C36FC"/>
    <w:rsid w:val="005C3AA7"/>
    <w:rsid w:val="005C3EC7"/>
    <w:rsid w:val="005C4254"/>
    <w:rsid w:val="005C5318"/>
    <w:rsid w:val="005C5A4F"/>
    <w:rsid w:val="005C71C9"/>
    <w:rsid w:val="005C7E66"/>
    <w:rsid w:val="005D002F"/>
    <w:rsid w:val="005D04AD"/>
    <w:rsid w:val="005D0C90"/>
    <w:rsid w:val="005D194B"/>
    <w:rsid w:val="005D1EDB"/>
    <w:rsid w:val="005D31C0"/>
    <w:rsid w:val="005D4DEC"/>
    <w:rsid w:val="005D52C2"/>
    <w:rsid w:val="005D710F"/>
    <w:rsid w:val="005E062B"/>
    <w:rsid w:val="005E078C"/>
    <w:rsid w:val="005E0E34"/>
    <w:rsid w:val="005E2667"/>
    <w:rsid w:val="005E26C4"/>
    <w:rsid w:val="005E394B"/>
    <w:rsid w:val="005E56A1"/>
    <w:rsid w:val="005E59C4"/>
    <w:rsid w:val="005E627B"/>
    <w:rsid w:val="005E6EDF"/>
    <w:rsid w:val="005E733D"/>
    <w:rsid w:val="005E75DA"/>
    <w:rsid w:val="005F08B6"/>
    <w:rsid w:val="005F1773"/>
    <w:rsid w:val="005F23B7"/>
    <w:rsid w:val="005F3286"/>
    <w:rsid w:val="005F382F"/>
    <w:rsid w:val="005F4399"/>
    <w:rsid w:val="005F6F75"/>
    <w:rsid w:val="005F6FB4"/>
    <w:rsid w:val="00600322"/>
    <w:rsid w:val="00601B73"/>
    <w:rsid w:val="006021E4"/>
    <w:rsid w:val="0060331C"/>
    <w:rsid w:val="006045A4"/>
    <w:rsid w:val="00604D07"/>
    <w:rsid w:val="00605B35"/>
    <w:rsid w:val="006068B6"/>
    <w:rsid w:val="0060775B"/>
    <w:rsid w:val="0061017B"/>
    <w:rsid w:val="0061032E"/>
    <w:rsid w:val="00610E5E"/>
    <w:rsid w:val="006115F8"/>
    <w:rsid w:val="0061307E"/>
    <w:rsid w:val="006132CE"/>
    <w:rsid w:val="006137F0"/>
    <w:rsid w:val="006144C8"/>
    <w:rsid w:val="00614C79"/>
    <w:rsid w:val="00616230"/>
    <w:rsid w:val="0061660E"/>
    <w:rsid w:val="00617249"/>
    <w:rsid w:val="00621C4D"/>
    <w:rsid w:val="00621CFB"/>
    <w:rsid w:val="00625426"/>
    <w:rsid w:val="00626181"/>
    <w:rsid w:val="006266FC"/>
    <w:rsid w:val="00626A6A"/>
    <w:rsid w:val="00626AA0"/>
    <w:rsid w:val="00626FA0"/>
    <w:rsid w:val="0063059B"/>
    <w:rsid w:val="00630AC7"/>
    <w:rsid w:val="00630DFB"/>
    <w:rsid w:val="006316D4"/>
    <w:rsid w:val="006316DF"/>
    <w:rsid w:val="00632283"/>
    <w:rsid w:val="006326D6"/>
    <w:rsid w:val="00634858"/>
    <w:rsid w:val="00635B96"/>
    <w:rsid w:val="00636297"/>
    <w:rsid w:val="006422CB"/>
    <w:rsid w:val="0064233E"/>
    <w:rsid w:val="00642615"/>
    <w:rsid w:val="006438B0"/>
    <w:rsid w:val="00643F87"/>
    <w:rsid w:val="00644700"/>
    <w:rsid w:val="006448E3"/>
    <w:rsid w:val="00644B76"/>
    <w:rsid w:val="00644CD6"/>
    <w:rsid w:val="0064543D"/>
    <w:rsid w:val="00646705"/>
    <w:rsid w:val="00646890"/>
    <w:rsid w:val="00646CCF"/>
    <w:rsid w:val="00647253"/>
    <w:rsid w:val="00647F91"/>
    <w:rsid w:val="00650531"/>
    <w:rsid w:val="0065100D"/>
    <w:rsid w:val="00651A93"/>
    <w:rsid w:val="00652145"/>
    <w:rsid w:val="00652A33"/>
    <w:rsid w:val="00652A40"/>
    <w:rsid w:val="00652B3F"/>
    <w:rsid w:val="00653040"/>
    <w:rsid w:val="0065305C"/>
    <w:rsid w:val="0065308D"/>
    <w:rsid w:val="0065364F"/>
    <w:rsid w:val="0065381D"/>
    <w:rsid w:val="00654731"/>
    <w:rsid w:val="0065515B"/>
    <w:rsid w:val="0065652E"/>
    <w:rsid w:val="00656DCE"/>
    <w:rsid w:val="00656FFF"/>
    <w:rsid w:val="00657092"/>
    <w:rsid w:val="0065763C"/>
    <w:rsid w:val="00660805"/>
    <w:rsid w:val="006621AB"/>
    <w:rsid w:val="00663AEF"/>
    <w:rsid w:val="00663C0F"/>
    <w:rsid w:val="00664406"/>
    <w:rsid w:val="00664D61"/>
    <w:rsid w:val="00665A6B"/>
    <w:rsid w:val="00666EBD"/>
    <w:rsid w:val="00667786"/>
    <w:rsid w:val="0066782C"/>
    <w:rsid w:val="00667A88"/>
    <w:rsid w:val="006701C9"/>
    <w:rsid w:val="006706F8"/>
    <w:rsid w:val="006707AF"/>
    <w:rsid w:val="006709C6"/>
    <w:rsid w:val="00670D2B"/>
    <w:rsid w:val="00672667"/>
    <w:rsid w:val="006736C8"/>
    <w:rsid w:val="006747CE"/>
    <w:rsid w:val="0067555E"/>
    <w:rsid w:val="00675709"/>
    <w:rsid w:val="00676C4F"/>
    <w:rsid w:val="00677F0A"/>
    <w:rsid w:val="00677FCB"/>
    <w:rsid w:val="00680AB2"/>
    <w:rsid w:val="006812A0"/>
    <w:rsid w:val="006820F2"/>
    <w:rsid w:val="00682D7E"/>
    <w:rsid w:val="00682DEC"/>
    <w:rsid w:val="00682F2F"/>
    <w:rsid w:val="00683596"/>
    <w:rsid w:val="006846B9"/>
    <w:rsid w:val="006849BD"/>
    <w:rsid w:val="00685EE7"/>
    <w:rsid w:val="00685F33"/>
    <w:rsid w:val="006860A9"/>
    <w:rsid w:val="006869DE"/>
    <w:rsid w:val="00687F98"/>
    <w:rsid w:val="00690209"/>
    <w:rsid w:val="00691A4D"/>
    <w:rsid w:val="006923C1"/>
    <w:rsid w:val="006928DD"/>
    <w:rsid w:val="00692910"/>
    <w:rsid w:val="006941B8"/>
    <w:rsid w:val="006948C8"/>
    <w:rsid w:val="00695CED"/>
    <w:rsid w:val="00695DE0"/>
    <w:rsid w:val="006A23BF"/>
    <w:rsid w:val="006A2BBF"/>
    <w:rsid w:val="006A2CC9"/>
    <w:rsid w:val="006A2D2C"/>
    <w:rsid w:val="006A4189"/>
    <w:rsid w:val="006A57B6"/>
    <w:rsid w:val="006A6D07"/>
    <w:rsid w:val="006B1F95"/>
    <w:rsid w:val="006B1FC7"/>
    <w:rsid w:val="006B300B"/>
    <w:rsid w:val="006B3341"/>
    <w:rsid w:val="006B4166"/>
    <w:rsid w:val="006B5490"/>
    <w:rsid w:val="006C191C"/>
    <w:rsid w:val="006C1DC3"/>
    <w:rsid w:val="006C1E7B"/>
    <w:rsid w:val="006C1EF3"/>
    <w:rsid w:val="006C1F6D"/>
    <w:rsid w:val="006C26BE"/>
    <w:rsid w:val="006C34C1"/>
    <w:rsid w:val="006C37F2"/>
    <w:rsid w:val="006C4181"/>
    <w:rsid w:val="006C495B"/>
    <w:rsid w:val="006C4B97"/>
    <w:rsid w:val="006C5FBC"/>
    <w:rsid w:val="006C67CA"/>
    <w:rsid w:val="006C7632"/>
    <w:rsid w:val="006C79BE"/>
    <w:rsid w:val="006D1301"/>
    <w:rsid w:val="006D14AD"/>
    <w:rsid w:val="006D1FEB"/>
    <w:rsid w:val="006D26FB"/>
    <w:rsid w:val="006D43D5"/>
    <w:rsid w:val="006D4A07"/>
    <w:rsid w:val="006D5860"/>
    <w:rsid w:val="006D5E31"/>
    <w:rsid w:val="006D6322"/>
    <w:rsid w:val="006D668F"/>
    <w:rsid w:val="006D755D"/>
    <w:rsid w:val="006E0D33"/>
    <w:rsid w:val="006E1EA8"/>
    <w:rsid w:val="006E3076"/>
    <w:rsid w:val="006E3C30"/>
    <w:rsid w:val="006E461D"/>
    <w:rsid w:val="006E5B42"/>
    <w:rsid w:val="006F033F"/>
    <w:rsid w:val="006F06B2"/>
    <w:rsid w:val="006F0BA3"/>
    <w:rsid w:val="006F1A06"/>
    <w:rsid w:val="006F1FC5"/>
    <w:rsid w:val="006F26C4"/>
    <w:rsid w:val="006F3F1A"/>
    <w:rsid w:val="006F4A21"/>
    <w:rsid w:val="006F5CA9"/>
    <w:rsid w:val="006F5E3D"/>
    <w:rsid w:val="006F651D"/>
    <w:rsid w:val="006F6E88"/>
    <w:rsid w:val="006F78E6"/>
    <w:rsid w:val="006F79AD"/>
    <w:rsid w:val="007005CA"/>
    <w:rsid w:val="007013EE"/>
    <w:rsid w:val="00701FAB"/>
    <w:rsid w:val="00702263"/>
    <w:rsid w:val="0070253A"/>
    <w:rsid w:val="00703482"/>
    <w:rsid w:val="0070397C"/>
    <w:rsid w:val="007039BD"/>
    <w:rsid w:val="00703D75"/>
    <w:rsid w:val="007043FC"/>
    <w:rsid w:val="00704FF5"/>
    <w:rsid w:val="00706093"/>
    <w:rsid w:val="007063DA"/>
    <w:rsid w:val="00706A79"/>
    <w:rsid w:val="00706F59"/>
    <w:rsid w:val="00707743"/>
    <w:rsid w:val="00710200"/>
    <w:rsid w:val="007118A3"/>
    <w:rsid w:val="00712310"/>
    <w:rsid w:val="00712AC3"/>
    <w:rsid w:val="00714535"/>
    <w:rsid w:val="00715ACB"/>
    <w:rsid w:val="00715B50"/>
    <w:rsid w:val="00715BDC"/>
    <w:rsid w:val="00715FA7"/>
    <w:rsid w:val="00716124"/>
    <w:rsid w:val="00717166"/>
    <w:rsid w:val="0071723F"/>
    <w:rsid w:val="00717B5E"/>
    <w:rsid w:val="00720818"/>
    <w:rsid w:val="00720905"/>
    <w:rsid w:val="00721183"/>
    <w:rsid w:val="00721DE4"/>
    <w:rsid w:val="00722DCB"/>
    <w:rsid w:val="00723435"/>
    <w:rsid w:val="00724390"/>
    <w:rsid w:val="007243F6"/>
    <w:rsid w:val="0072474A"/>
    <w:rsid w:val="007248A8"/>
    <w:rsid w:val="00724DCA"/>
    <w:rsid w:val="0072796F"/>
    <w:rsid w:val="00727D0E"/>
    <w:rsid w:val="00727F84"/>
    <w:rsid w:val="00730322"/>
    <w:rsid w:val="00730B95"/>
    <w:rsid w:val="007319A7"/>
    <w:rsid w:val="00732108"/>
    <w:rsid w:val="00733077"/>
    <w:rsid w:val="007338F4"/>
    <w:rsid w:val="00733E2D"/>
    <w:rsid w:val="00734635"/>
    <w:rsid w:val="007346AF"/>
    <w:rsid w:val="0073480C"/>
    <w:rsid w:val="00736094"/>
    <w:rsid w:val="00736C09"/>
    <w:rsid w:val="00736CE0"/>
    <w:rsid w:val="00736DDC"/>
    <w:rsid w:val="007370F7"/>
    <w:rsid w:val="00737145"/>
    <w:rsid w:val="00737790"/>
    <w:rsid w:val="007404B2"/>
    <w:rsid w:val="00740545"/>
    <w:rsid w:val="007408FD"/>
    <w:rsid w:val="007415CD"/>
    <w:rsid w:val="0074255F"/>
    <w:rsid w:val="00742A0F"/>
    <w:rsid w:val="00742F36"/>
    <w:rsid w:val="007431B0"/>
    <w:rsid w:val="00743C63"/>
    <w:rsid w:val="00744293"/>
    <w:rsid w:val="00744DB2"/>
    <w:rsid w:val="007451B0"/>
    <w:rsid w:val="00745F8D"/>
    <w:rsid w:val="007463A9"/>
    <w:rsid w:val="00746623"/>
    <w:rsid w:val="00746F5C"/>
    <w:rsid w:val="00747E38"/>
    <w:rsid w:val="007507E5"/>
    <w:rsid w:val="0075146A"/>
    <w:rsid w:val="00754BF2"/>
    <w:rsid w:val="00754DB3"/>
    <w:rsid w:val="00756638"/>
    <w:rsid w:val="00756A44"/>
    <w:rsid w:val="00756C10"/>
    <w:rsid w:val="00756DF0"/>
    <w:rsid w:val="00756F49"/>
    <w:rsid w:val="00761D37"/>
    <w:rsid w:val="00762037"/>
    <w:rsid w:val="00762117"/>
    <w:rsid w:val="007639E4"/>
    <w:rsid w:val="00763A00"/>
    <w:rsid w:val="00763D8A"/>
    <w:rsid w:val="007641E5"/>
    <w:rsid w:val="007644FC"/>
    <w:rsid w:val="00765084"/>
    <w:rsid w:val="0076578D"/>
    <w:rsid w:val="00765AEE"/>
    <w:rsid w:val="00766077"/>
    <w:rsid w:val="0076746B"/>
    <w:rsid w:val="00770EA8"/>
    <w:rsid w:val="0077236D"/>
    <w:rsid w:val="00773006"/>
    <w:rsid w:val="00773990"/>
    <w:rsid w:val="007744A6"/>
    <w:rsid w:val="00776302"/>
    <w:rsid w:val="00776A6C"/>
    <w:rsid w:val="00780105"/>
    <w:rsid w:val="007803ED"/>
    <w:rsid w:val="00780C03"/>
    <w:rsid w:val="00780FF9"/>
    <w:rsid w:val="00781BAB"/>
    <w:rsid w:val="00781C8E"/>
    <w:rsid w:val="00781D13"/>
    <w:rsid w:val="00782CD2"/>
    <w:rsid w:val="007837F0"/>
    <w:rsid w:val="0078394D"/>
    <w:rsid w:val="007839E2"/>
    <w:rsid w:val="00783B53"/>
    <w:rsid w:val="00783D04"/>
    <w:rsid w:val="007845EA"/>
    <w:rsid w:val="00784E53"/>
    <w:rsid w:val="00785559"/>
    <w:rsid w:val="007859E9"/>
    <w:rsid w:val="00785EBB"/>
    <w:rsid w:val="00786D22"/>
    <w:rsid w:val="00790873"/>
    <w:rsid w:val="00790E22"/>
    <w:rsid w:val="00791915"/>
    <w:rsid w:val="00792B06"/>
    <w:rsid w:val="00792F37"/>
    <w:rsid w:val="00793727"/>
    <w:rsid w:val="00793897"/>
    <w:rsid w:val="0079638B"/>
    <w:rsid w:val="00797941"/>
    <w:rsid w:val="00797F85"/>
    <w:rsid w:val="007A072B"/>
    <w:rsid w:val="007A0AD2"/>
    <w:rsid w:val="007A1135"/>
    <w:rsid w:val="007A128D"/>
    <w:rsid w:val="007A14E9"/>
    <w:rsid w:val="007A2B75"/>
    <w:rsid w:val="007A32D4"/>
    <w:rsid w:val="007A32F8"/>
    <w:rsid w:val="007A3D0D"/>
    <w:rsid w:val="007A5BB6"/>
    <w:rsid w:val="007A702E"/>
    <w:rsid w:val="007B1165"/>
    <w:rsid w:val="007B1812"/>
    <w:rsid w:val="007B1ABB"/>
    <w:rsid w:val="007B2FD5"/>
    <w:rsid w:val="007B42F1"/>
    <w:rsid w:val="007B4691"/>
    <w:rsid w:val="007B494E"/>
    <w:rsid w:val="007B52EC"/>
    <w:rsid w:val="007B5335"/>
    <w:rsid w:val="007B569A"/>
    <w:rsid w:val="007B66E5"/>
    <w:rsid w:val="007B67FC"/>
    <w:rsid w:val="007B77B1"/>
    <w:rsid w:val="007C024F"/>
    <w:rsid w:val="007C0DA5"/>
    <w:rsid w:val="007C1312"/>
    <w:rsid w:val="007C1855"/>
    <w:rsid w:val="007C28AD"/>
    <w:rsid w:val="007C2C07"/>
    <w:rsid w:val="007C351D"/>
    <w:rsid w:val="007C4714"/>
    <w:rsid w:val="007C597C"/>
    <w:rsid w:val="007C5CE1"/>
    <w:rsid w:val="007C5CE6"/>
    <w:rsid w:val="007C694D"/>
    <w:rsid w:val="007C700C"/>
    <w:rsid w:val="007C7244"/>
    <w:rsid w:val="007D1995"/>
    <w:rsid w:val="007D34FE"/>
    <w:rsid w:val="007D503B"/>
    <w:rsid w:val="007D6C1B"/>
    <w:rsid w:val="007D7BDB"/>
    <w:rsid w:val="007D7F2F"/>
    <w:rsid w:val="007E0014"/>
    <w:rsid w:val="007E02E9"/>
    <w:rsid w:val="007E03A9"/>
    <w:rsid w:val="007E1091"/>
    <w:rsid w:val="007E137C"/>
    <w:rsid w:val="007E17E6"/>
    <w:rsid w:val="007E4A56"/>
    <w:rsid w:val="007E4C3F"/>
    <w:rsid w:val="007E615C"/>
    <w:rsid w:val="007E6377"/>
    <w:rsid w:val="007E7385"/>
    <w:rsid w:val="007E7776"/>
    <w:rsid w:val="007F01D5"/>
    <w:rsid w:val="007F0ED8"/>
    <w:rsid w:val="007F103C"/>
    <w:rsid w:val="007F151D"/>
    <w:rsid w:val="007F1EBD"/>
    <w:rsid w:val="007F202E"/>
    <w:rsid w:val="007F2C29"/>
    <w:rsid w:val="007F2CC4"/>
    <w:rsid w:val="007F2ED6"/>
    <w:rsid w:val="007F38C4"/>
    <w:rsid w:val="007F4436"/>
    <w:rsid w:val="007F4BA9"/>
    <w:rsid w:val="007F5A7F"/>
    <w:rsid w:val="007F64FB"/>
    <w:rsid w:val="007F66D0"/>
    <w:rsid w:val="007F68EE"/>
    <w:rsid w:val="007F6F4F"/>
    <w:rsid w:val="0080182B"/>
    <w:rsid w:val="00801FFA"/>
    <w:rsid w:val="00802277"/>
    <w:rsid w:val="00802A65"/>
    <w:rsid w:val="008041F5"/>
    <w:rsid w:val="008050A5"/>
    <w:rsid w:val="0080544C"/>
    <w:rsid w:val="00805B6A"/>
    <w:rsid w:val="0080666A"/>
    <w:rsid w:val="00806CFD"/>
    <w:rsid w:val="0081007C"/>
    <w:rsid w:val="0081041E"/>
    <w:rsid w:val="008104E0"/>
    <w:rsid w:val="00810B90"/>
    <w:rsid w:val="00811E0F"/>
    <w:rsid w:val="0081243D"/>
    <w:rsid w:val="00812567"/>
    <w:rsid w:val="00812DC2"/>
    <w:rsid w:val="00812DD7"/>
    <w:rsid w:val="00812EE1"/>
    <w:rsid w:val="00812F73"/>
    <w:rsid w:val="008132E4"/>
    <w:rsid w:val="00813F91"/>
    <w:rsid w:val="00815CB0"/>
    <w:rsid w:val="008161E2"/>
    <w:rsid w:val="008206B4"/>
    <w:rsid w:val="00820BFE"/>
    <w:rsid w:val="00820EDF"/>
    <w:rsid w:val="008215E4"/>
    <w:rsid w:val="008226FA"/>
    <w:rsid w:val="008234BE"/>
    <w:rsid w:val="00823E8E"/>
    <w:rsid w:val="00823F74"/>
    <w:rsid w:val="008245D7"/>
    <w:rsid w:val="00824F24"/>
    <w:rsid w:val="00825C4A"/>
    <w:rsid w:val="008262C7"/>
    <w:rsid w:val="00826A93"/>
    <w:rsid w:val="00826F7F"/>
    <w:rsid w:val="008276DE"/>
    <w:rsid w:val="00831C48"/>
    <w:rsid w:val="00832A45"/>
    <w:rsid w:val="00832F87"/>
    <w:rsid w:val="0083482A"/>
    <w:rsid w:val="00835467"/>
    <w:rsid w:val="008362E7"/>
    <w:rsid w:val="0083650A"/>
    <w:rsid w:val="008367BA"/>
    <w:rsid w:val="008368B8"/>
    <w:rsid w:val="008370A5"/>
    <w:rsid w:val="008376AA"/>
    <w:rsid w:val="00837D99"/>
    <w:rsid w:val="0084178D"/>
    <w:rsid w:val="008418E9"/>
    <w:rsid w:val="00842B02"/>
    <w:rsid w:val="00843028"/>
    <w:rsid w:val="00844885"/>
    <w:rsid w:val="00845081"/>
    <w:rsid w:val="00845354"/>
    <w:rsid w:val="008459F0"/>
    <w:rsid w:val="00845A10"/>
    <w:rsid w:val="00845AC3"/>
    <w:rsid w:val="00845E35"/>
    <w:rsid w:val="008463C6"/>
    <w:rsid w:val="0084649E"/>
    <w:rsid w:val="008465F2"/>
    <w:rsid w:val="00846633"/>
    <w:rsid w:val="008478B0"/>
    <w:rsid w:val="0085083A"/>
    <w:rsid w:val="008522DE"/>
    <w:rsid w:val="0085266A"/>
    <w:rsid w:val="0085339D"/>
    <w:rsid w:val="00853D87"/>
    <w:rsid w:val="0085486B"/>
    <w:rsid w:val="00856C61"/>
    <w:rsid w:val="00856E4D"/>
    <w:rsid w:val="0085739A"/>
    <w:rsid w:val="008615A3"/>
    <w:rsid w:val="008616FC"/>
    <w:rsid w:val="00862406"/>
    <w:rsid w:val="008626D6"/>
    <w:rsid w:val="00864212"/>
    <w:rsid w:val="00864577"/>
    <w:rsid w:val="00864898"/>
    <w:rsid w:val="00864B2D"/>
    <w:rsid w:val="00864DF3"/>
    <w:rsid w:val="0086533F"/>
    <w:rsid w:val="008659EB"/>
    <w:rsid w:val="0086617C"/>
    <w:rsid w:val="008670AF"/>
    <w:rsid w:val="00870118"/>
    <w:rsid w:val="00870367"/>
    <w:rsid w:val="00870BFE"/>
    <w:rsid w:val="00873E36"/>
    <w:rsid w:val="0087438A"/>
    <w:rsid w:val="00875A1E"/>
    <w:rsid w:val="00875A9E"/>
    <w:rsid w:val="008766E4"/>
    <w:rsid w:val="008767E4"/>
    <w:rsid w:val="00881120"/>
    <w:rsid w:val="008816F9"/>
    <w:rsid w:val="00881AB0"/>
    <w:rsid w:val="00883203"/>
    <w:rsid w:val="008833F4"/>
    <w:rsid w:val="0088381C"/>
    <w:rsid w:val="008844A9"/>
    <w:rsid w:val="00884FD4"/>
    <w:rsid w:val="00885258"/>
    <w:rsid w:val="00885C76"/>
    <w:rsid w:val="00885D85"/>
    <w:rsid w:val="0088612A"/>
    <w:rsid w:val="0088745F"/>
    <w:rsid w:val="00887D6D"/>
    <w:rsid w:val="00890744"/>
    <w:rsid w:val="008913D9"/>
    <w:rsid w:val="00891FF1"/>
    <w:rsid w:val="0089217A"/>
    <w:rsid w:val="00892492"/>
    <w:rsid w:val="008933BB"/>
    <w:rsid w:val="00893FA6"/>
    <w:rsid w:val="00894293"/>
    <w:rsid w:val="00895020"/>
    <w:rsid w:val="0089556A"/>
    <w:rsid w:val="00895647"/>
    <w:rsid w:val="0089570D"/>
    <w:rsid w:val="00895BC4"/>
    <w:rsid w:val="00895BEE"/>
    <w:rsid w:val="008963A9"/>
    <w:rsid w:val="0089654D"/>
    <w:rsid w:val="00896697"/>
    <w:rsid w:val="008967B5"/>
    <w:rsid w:val="008969E1"/>
    <w:rsid w:val="00897A70"/>
    <w:rsid w:val="008A044C"/>
    <w:rsid w:val="008A08D1"/>
    <w:rsid w:val="008A130D"/>
    <w:rsid w:val="008A1531"/>
    <w:rsid w:val="008A1CEC"/>
    <w:rsid w:val="008A33B7"/>
    <w:rsid w:val="008A38B1"/>
    <w:rsid w:val="008A3A1E"/>
    <w:rsid w:val="008A42AA"/>
    <w:rsid w:val="008A43CB"/>
    <w:rsid w:val="008A54AF"/>
    <w:rsid w:val="008A59B4"/>
    <w:rsid w:val="008A5A58"/>
    <w:rsid w:val="008A5B1C"/>
    <w:rsid w:val="008A6475"/>
    <w:rsid w:val="008B027F"/>
    <w:rsid w:val="008B1B4A"/>
    <w:rsid w:val="008B2CE7"/>
    <w:rsid w:val="008B3770"/>
    <w:rsid w:val="008B3D4A"/>
    <w:rsid w:val="008B424E"/>
    <w:rsid w:val="008B6355"/>
    <w:rsid w:val="008B6C67"/>
    <w:rsid w:val="008B7C8F"/>
    <w:rsid w:val="008C0E8B"/>
    <w:rsid w:val="008C1207"/>
    <w:rsid w:val="008C199A"/>
    <w:rsid w:val="008C2A1C"/>
    <w:rsid w:val="008C3AD5"/>
    <w:rsid w:val="008C3B5C"/>
    <w:rsid w:val="008C4016"/>
    <w:rsid w:val="008C43BF"/>
    <w:rsid w:val="008C48C7"/>
    <w:rsid w:val="008C4AD6"/>
    <w:rsid w:val="008C4EF3"/>
    <w:rsid w:val="008C595E"/>
    <w:rsid w:val="008C627B"/>
    <w:rsid w:val="008C6755"/>
    <w:rsid w:val="008C7F6F"/>
    <w:rsid w:val="008D0988"/>
    <w:rsid w:val="008D1432"/>
    <w:rsid w:val="008D15EC"/>
    <w:rsid w:val="008D18E8"/>
    <w:rsid w:val="008D26F7"/>
    <w:rsid w:val="008D2E15"/>
    <w:rsid w:val="008D65F8"/>
    <w:rsid w:val="008D697E"/>
    <w:rsid w:val="008D74B0"/>
    <w:rsid w:val="008D74ED"/>
    <w:rsid w:val="008D7D23"/>
    <w:rsid w:val="008D7FEF"/>
    <w:rsid w:val="008E039B"/>
    <w:rsid w:val="008E068B"/>
    <w:rsid w:val="008E0894"/>
    <w:rsid w:val="008E0E60"/>
    <w:rsid w:val="008E14B4"/>
    <w:rsid w:val="008E1520"/>
    <w:rsid w:val="008E1D47"/>
    <w:rsid w:val="008E22D6"/>
    <w:rsid w:val="008E37F6"/>
    <w:rsid w:val="008E3C4F"/>
    <w:rsid w:val="008E4276"/>
    <w:rsid w:val="008E4728"/>
    <w:rsid w:val="008E5A1F"/>
    <w:rsid w:val="008E6716"/>
    <w:rsid w:val="008E6F4D"/>
    <w:rsid w:val="008E7D5C"/>
    <w:rsid w:val="008F055C"/>
    <w:rsid w:val="008F160D"/>
    <w:rsid w:val="008F1B91"/>
    <w:rsid w:val="008F254A"/>
    <w:rsid w:val="008F28CB"/>
    <w:rsid w:val="008F31AD"/>
    <w:rsid w:val="008F34B5"/>
    <w:rsid w:val="008F4DC4"/>
    <w:rsid w:val="008F50E5"/>
    <w:rsid w:val="008F54B5"/>
    <w:rsid w:val="008F60BC"/>
    <w:rsid w:val="008F60BF"/>
    <w:rsid w:val="008F6AEB"/>
    <w:rsid w:val="008F7A5D"/>
    <w:rsid w:val="009007B9"/>
    <w:rsid w:val="00900F61"/>
    <w:rsid w:val="00901167"/>
    <w:rsid w:val="009011E7"/>
    <w:rsid w:val="0090121F"/>
    <w:rsid w:val="0090134B"/>
    <w:rsid w:val="00901CBE"/>
    <w:rsid w:val="00901E7D"/>
    <w:rsid w:val="00902F85"/>
    <w:rsid w:val="009040EB"/>
    <w:rsid w:val="0090469A"/>
    <w:rsid w:val="00904B07"/>
    <w:rsid w:val="00906288"/>
    <w:rsid w:val="00906732"/>
    <w:rsid w:val="0090722F"/>
    <w:rsid w:val="00910C77"/>
    <w:rsid w:val="00911541"/>
    <w:rsid w:val="00912518"/>
    <w:rsid w:val="009135D9"/>
    <w:rsid w:val="009137C1"/>
    <w:rsid w:val="009138F2"/>
    <w:rsid w:val="00914402"/>
    <w:rsid w:val="0091490B"/>
    <w:rsid w:val="00915143"/>
    <w:rsid w:val="009157B1"/>
    <w:rsid w:val="009158A0"/>
    <w:rsid w:val="00916CBB"/>
    <w:rsid w:val="00916EBB"/>
    <w:rsid w:val="00917D5F"/>
    <w:rsid w:val="00917E0C"/>
    <w:rsid w:val="00917FDE"/>
    <w:rsid w:val="00920611"/>
    <w:rsid w:val="00924EEF"/>
    <w:rsid w:val="00926FEF"/>
    <w:rsid w:val="00927208"/>
    <w:rsid w:val="00927570"/>
    <w:rsid w:val="009307EF"/>
    <w:rsid w:val="00931093"/>
    <w:rsid w:val="009315FC"/>
    <w:rsid w:val="0093223A"/>
    <w:rsid w:val="00932A88"/>
    <w:rsid w:val="00932C92"/>
    <w:rsid w:val="00933254"/>
    <w:rsid w:val="009336D4"/>
    <w:rsid w:val="00933F74"/>
    <w:rsid w:val="00934039"/>
    <w:rsid w:val="009341C6"/>
    <w:rsid w:val="00934446"/>
    <w:rsid w:val="00934503"/>
    <w:rsid w:val="0093473E"/>
    <w:rsid w:val="00935069"/>
    <w:rsid w:val="00935886"/>
    <w:rsid w:val="00936BA7"/>
    <w:rsid w:val="009405E9"/>
    <w:rsid w:val="00940922"/>
    <w:rsid w:val="00943376"/>
    <w:rsid w:val="00943392"/>
    <w:rsid w:val="00943C09"/>
    <w:rsid w:val="00943C5E"/>
    <w:rsid w:val="00943D4B"/>
    <w:rsid w:val="00943EBF"/>
    <w:rsid w:val="0094458E"/>
    <w:rsid w:val="009451A7"/>
    <w:rsid w:val="009454F9"/>
    <w:rsid w:val="0094614A"/>
    <w:rsid w:val="00947E1E"/>
    <w:rsid w:val="00947FF5"/>
    <w:rsid w:val="00950F04"/>
    <w:rsid w:val="009513C0"/>
    <w:rsid w:val="00951B4D"/>
    <w:rsid w:val="00952132"/>
    <w:rsid w:val="00952529"/>
    <w:rsid w:val="00952848"/>
    <w:rsid w:val="00952863"/>
    <w:rsid w:val="009532BC"/>
    <w:rsid w:val="00953B1E"/>
    <w:rsid w:val="00953FE9"/>
    <w:rsid w:val="00954D51"/>
    <w:rsid w:val="00954F80"/>
    <w:rsid w:val="009566FC"/>
    <w:rsid w:val="009569F9"/>
    <w:rsid w:val="00960B83"/>
    <w:rsid w:val="00960C3F"/>
    <w:rsid w:val="00960F1B"/>
    <w:rsid w:val="00961AB1"/>
    <w:rsid w:val="00961C8C"/>
    <w:rsid w:val="009625B8"/>
    <w:rsid w:val="0096328E"/>
    <w:rsid w:val="009645E9"/>
    <w:rsid w:val="00966E1D"/>
    <w:rsid w:val="00966FD3"/>
    <w:rsid w:val="009675A7"/>
    <w:rsid w:val="00967755"/>
    <w:rsid w:val="0097000D"/>
    <w:rsid w:val="0097075D"/>
    <w:rsid w:val="00971AB4"/>
    <w:rsid w:val="00971C70"/>
    <w:rsid w:val="00972155"/>
    <w:rsid w:val="0097254A"/>
    <w:rsid w:val="00972856"/>
    <w:rsid w:val="009735F9"/>
    <w:rsid w:val="009739AC"/>
    <w:rsid w:val="00973CB2"/>
    <w:rsid w:val="009742F3"/>
    <w:rsid w:val="0097501D"/>
    <w:rsid w:val="009750FF"/>
    <w:rsid w:val="00975777"/>
    <w:rsid w:val="00975F98"/>
    <w:rsid w:val="00976397"/>
    <w:rsid w:val="009764E9"/>
    <w:rsid w:val="00976C4F"/>
    <w:rsid w:val="00976D54"/>
    <w:rsid w:val="00980721"/>
    <w:rsid w:val="00980FC6"/>
    <w:rsid w:val="00981245"/>
    <w:rsid w:val="0098340B"/>
    <w:rsid w:val="00984C85"/>
    <w:rsid w:val="00985431"/>
    <w:rsid w:val="0098562B"/>
    <w:rsid w:val="00986181"/>
    <w:rsid w:val="0098635E"/>
    <w:rsid w:val="009866B9"/>
    <w:rsid w:val="00986E2B"/>
    <w:rsid w:val="00987971"/>
    <w:rsid w:val="00987F98"/>
    <w:rsid w:val="00987FD9"/>
    <w:rsid w:val="009909BC"/>
    <w:rsid w:val="0099168F"/>
    <w:rsid w:val="00991870"/>
    <w:rsid w:val="00991B38"/>
    <w:rsid w:val="00993EB1"/>
    <w:rsid w:val="009942C0"/>
    <w:rsid w:val="00994A81"/>
    <w:rsid w:val="00994B5A"/>
    <w:rsid w:val="009952CB"/>
    <w:rsid w:val="009954AE"/>
    <w:rsid w:val="00995762"/>
    <w:rsid w:val="00996088"/>
    <w:rsid w:val="0099612D"/>
    <w:rsid w:val="009A0551"/>
    <w:rsid w:val="009A10A8"/>
    <w:rsid w:val="009A210B"/>
    <w:rsid w:val="009A26B0"/>
    <w:rsid w:val="009A44F7"/>
    <w:rsid w:val="009A4563"/>
    <w:rsid w:val="009A66FE"/>
    <w:rsid w:val="009A73E8"/>
    <w:rsid w:val="009B084D"/>
    <w:rsid w:val="009B1A19"/>
    <w:rsid w:val="009B28CD"/>
    <w:rsid w:val="009B2FBB"/>
    <w:rsid w:val="009B3B8A"/>
    <w:rsid w:val="009B5571"/>
    <w:rsid w:val="009B5985"/>
    <w:rsid w:val="009B67DD"/>
    <w:rsid w:val="009B7B30"/>
    <w:rsid w:val="009C0A12"/>
    <w:rsid w:val="009C1421"/>
    <w:rsid w:val="009C2861"/>
    <w:rsid w:val="009C32C4"/>
    <w:rsid w:val="009C34BF"/>
    <w:rsid w:val="009C39E8"/>
    <w:rsid w:val="009C40F1"/>
    <w:rsid w:val="009C652F"/>
    <w:rsid w:val="009C661C"/>
    <w:rsid w:val="009C6697"/>
    <w:rsid w:val="009C6768"/>
    <w:rsid w:val="009C6C1A"/>
    <w:rsid w:val="009C762D"/>
    <w:rsid w:val="009C7B72"/>
    <w:rsid w:val="009C7BAD"/>
    <w:rsid w:val="009D060C"/>
    <w:rsid w:val="009D1863"/>
    <w:rsid w:val="009D3AA2"/>
    <w:rsid w:val="009D5240"/>
    <w:rsid w:val="009D5FDB"/>
    <w:rsid w:val="009D6872"/>
    <w:rsid w:val="009D73B9"/>
    <w:rsid w:val="009D760D"/>
    <w:rsid w:val="009E027D"/>
    <w:rsid w:val="009E1EB6"/>
    <w:rsid w:val="009E2135"/>
    <w:rsid w:val="009E2B93"/>
    <w:rsid w:val="009E3C4D"/>
    <w:rsid w:val="009E44C5"/>
    <w:rsid w:val="009E56A1"/>
    <w:rsid w:val="009E5C32"/>
    <w:rsid w:val="009E6220"/>
    <w:rsid w:val="009E7AEA"/>
    <w:rsid w:val="009F0346"/>
    <w:rsid w:val="009F0E1F"/>
    <w:rsid w:val="009F151B"/>
    <w:rsid w:val="009F1952"/>
    <w:rsid w:val="009F429F"/>
    <w:rsid w:val="009F4972"/>
    <w:rsid w:val="009F5CA6"/>
    <w:rsid w:val="009F66A2"/>
    <w:rsid w:val="009F66A7"/>
    <w:rsid w:val="009F6F00"/>
    <w:rsid w:val="00A0020A"/>
    <w:rsid w:val="00A009BC"/>
    <w:rsid w:val="00A00B8A"/>
    <w:rsid w:val="00A01777"/>
    <w:rsid w:val="00A0211B"/>
    <w:rsid w:val="00A035A9"/>
    <w:rsid w:val="00A051B6"/>
    <w:rsid w:val="00A064C7"/>
    <w:rsid w:val="00A06777"/>
    <w:rsid w:val="00A06B49"/>
    <w:rsid w:val="00A072C0"/>
    <w:rsid w:val="00A07B0A"/>
    <w:rsid w:val="00A101EF"/>
    <w:rsid w:val="00A107C8"/>
    <w:rsid w:val="00A13EDD"/>
    <w:rsid w:val="00A14B9D"/>
    <w:rsid w:val="00A14DB2"/>
    <w:rsid w:val="00A1527B"/>
    <w:rsid w:val="00A15A09"/>
    <w:rsid w:val="00A15A9D"/>
    <w:rsid w:val="00A16865"/>
    <w:rsid w:val="00A16E88"/>
    <w:rsid w:val="00A2096F"/>
    <w:rsid w:val="00A20D2F"/>
    <w:rsid w:val="00A21455"/>
    <w:rsid w:val="00A21770"/>
    <w:rsid w:val="00A219DF"/>
    <w:rsid w:val="00A221D7"/>
    <w:rsid w:val="00A22286"/>
    <w:rsid w:val="00A225AD"/>
    <w:rsid w:val="00A22C6F"/>
    <w:rsid w:val="00A22FC4"/>
    <w:rsid w:val="00A2363C"/>
    <w:rsid w:val="00A240A6"/>
    <w:rsid w:val="00A24ACD"/>
    <w:rsid w:val="00A24E35"/>
    <w:rsid w:val="00A2566D"/>
    <w:rsid w:val="00A260E4"/>
    <w:rsid w:val="00A262BE"/>
    <w:rsid w:val="00A26431"/>
    <w:rsid w:val="00A269CA"/>
    <w:rsid w:val="00A26F87"/>
    <w:rsid w:val="00A30122"/>
    <w:rsid w:val="00A303B7"/>
    <w:rsid w:val="00A304D3"/>
    <w:rsid w:val="00A30554"/>
    <w:rsid w:val="00A30995"/>
    <w:rsid w:val="00A30C31"/>
    <w:rsid w:val="00A3328E"/>
    <w:rsid w:val="00A339DC"/>
    <w:rsid w:val="00A34904"/>
    <w:rsid w:val="00A35088"/>
    <w:rsid w:val="00A353ED"/>
    <w:rsid w:val="00A35D3F"/>
    <w:rsid w:val="00A36516"/>
    <w:rsid w:val="00A368CD"/>
    <w:rsid w:val="00A36E54"/>
    <w:rsid w:val="00A371F6"/>
    <w:rsid w:val="00A37E57"/>
    <w:rsid w:val="00A40043"/>
    <w:rsid w:val="00A40121"/>
    <w:rsid w:val="00A412EB"/>
    <w:rsid w:val="00A42ABD"/>
    <w:rsid w:val="00A42C2D"/>
    <w:rsid w:val="00A43645"/>
    <w:rsid w:val="00A4412E"/>
    <w:rsid w:val="00A442CB"/>
    <w:rsid w:val="00A444B7"/>
    <w:rsid w:val="00A44B2A"/>
    <w:rsid w:val="00A44D3B"/>
    <w:rsid w:val="00A45231"/>
    <w:rsid w:val="00A45457"/>
    <w:rsid w:val="00A46099"/>
    <w:rsid w:val="00A46407"/>
    <w:rsid w:val="00A46627"/>
    <w:rsid w:val="00A50FBB"/>
    <w:rsid w:val="00A5179A"/>
    <w:rsid w:val="00A51F23"/>
    <w:rsid w:val="00A51F50"/>
    <w:rsid w:val="00A51FC4"/>
    <w:rsid w:val="00A528F5"/>
    <w:rsid w:val="00A530A1"/>
    <w:rsid w:val="00A53DCF"/>
    <w:rsid w:val="00A53E87"/>
    <w:rsid w:val="00A54351"/>
    <w:rsid w:val="00A54584"/>
    <w:rsid w:val="00A550D4"/>
    <w:rsid w:val="00A5530E"/>
    <w:rsid w:val="00A556AA"/>
    <w:rsid w:val="00A55E4B"/>
    <w:rsid w:val="00A57E50"/>
    <w:rsid w:val="00A610CF"/>
    <w:rsid w:val="00A611CE"/>
    <w:rsid w:val="00A61669"/>
    <w:rsid w:val="00A61BAF"/>
    <w:rsid w:val="00A61F46"/>
    <w:rsid w:val="00A62639"/>
    <w:rsid w:val="00A62FF9"/>
    <w:rsid w:val="00A63C68"/>
    <w:rsid w:val="00A63D87"/>
    <w:rsid w:val="00A63F27"/>
    <w:rsid w:val="00A644A4"/>
    <w:rsid w:val="00A645CF"/>
    <w:rsid w:val="00A67B05"/>
    <w:rsid w:val="00A703EB"/>
    <w:rsid w:val="00A7110D"/>
    <w:rsid w:val="00A7155E"/>
    <w:rsid w:val="00A71E60"/>
    <w:rsid w:val="00A71FF5"/>
    <w:rsid w:val="00A725C6"/>
    <w:rsid w:val="00A72D3A"/>
    <w:rsid w:val="00A730A9"/>
    <w:rsid w:val="00A7369A"/>
    <w:rsid w:val="00A73857"/>
    <w:rsid w:val="00A80C44"/>
    <w:rsid w:val="00A81513"/>
    <w:rsid w:val="00A81718"/>
    <w:rsid w:val="00A81B82"/>
    <w:rsid w:val="00A8268D"/>
    <w:rsid w:val="00A83A4C"/>
    <w:rsid w:val="00A84A05"/>
    <w:rsid w:val="00A84FFB"/>
    <w:rsid w:val="00A85183"/>
    <w:rsid w:val="00A85468"/>
    <w:rsid w:val="00A90B04"/>
    <w:rsid w:val="00A90D45"/>
    <w:rsid w:val="00A911E0"/>
    <w:rsid w:val="00A91899"/>
    <w:rsid w:val="00A92438"/>
    <w:rsid w:val="00A924FA"/>
    <w:rsid w:val="00A94D60"/>
    <w:rsid w:val="00A956A6"/>
    <w:rsid w:val="00A95D5C"/>
    <w:rsid w:val="00A96A00"/>
    <w:rsid w:val="00A96AD5"/>
    <w:rsid w:val="00A96B61"/>
    <w:rsid w:val="00A970D7"/>
    <w:rsid w:val="00A97724"/>
    <w:rsid w:val="00A97CCC"/>
    <w:rsid w:val="00A97E95"/>
    <w:rsid w:val="00A97FA0"/>
    <w:rsid w:val="00AA107C"/>
    <w:rsid w:val="00AA1ED5"/>
    <w:rsid w:val="00AA307F"/>
    <w:rsid w:val="00AA3131"/>
    <w:rsid w:val="00AA3381"/>
    <w:rsid w:val="00AA43E6"/>
    <w:rsid w:val="00AA43F1"/>
    <w:rsid w:val="00AA46DC"/>
    <w:rsid w:val="00AA4C02"/>
    <w:rsid w:val="00AA5A64"/>
    <w:rsid w:val="00AA5C71"/>
    <w:rsid w:val="00AB0673"/>
    <w:rsid w:val="00AB0CBF"/>
    <w:rsid w:val="00AB0E89"/>
    <w:rsid w:val="00AB10D7"/>
    <w:rsid w:val="00AB1820"/>
    <w:rsid w:val="00AB1DAC"/>
    <w:rsid w:val="00AB1ECE"/>
    <w:rsid w:val="00AB1F1F"/>
    <w:rsid w:val="00AB31C4"/>
    <w:rsid w:val="00AB352C"/>
    <w:rsid w:val="00AB59E7"/>
    <w:rsid w:val="00AB7788"/>
    <w:rsid w:val="00AC034E"/>
    <w:rsid w:val="00AC1362"/>
    <w:rsid w:val="00AC1727"/>
    <w:rsid w:val="00AC1A1E"/>
    <w:rsid w:val="00AC213D"/>
    <w:rsid w:val="00AC21F6"/>
    <w:rsid w:val="00AC27CB"/>
    <w:rsid w:val="00AC351F"/>
    <w:rsid w:val="00AC5F63"/>
    <w:rsid w:val="00AC6185"/>
    <w:rsid w:val="00AC7ACD"/>
    <w:rsid w:val="00AC7B03"/>
    <w:rsid w:val="00AC7F93"/>
    <w:rsid w:val="00AD0505"/>
    <w:rsid w:val="00AD1782"/>
    <w:rsid w:val="00AD2986"/>
    <w:rsid w:val="00AD2C93"/>
    <w:rsid w:val="00AD3164"/>
    <w:rsid w:val="00AD323E"/>
    <w:rsid w:val="00AD33B1"/>
    <w:rsid w:val="00AD3591"/>
    <w:rsid w:val="00AD359A"/>
    <w:rsid w:val="00AD4273"/>
    <w:rsid w:val="00AD4430"/>
    <w:rsid w:val="00AD466F"/>
    <w:rsid w:val="00AD4C11"/>
    <w:rsid w:val="00AD5347"/>
    <w:rsid w:val="00AD5BE8"/>
    <w:rsid w:val="00AD691E"/>
    <w:rsid w:val="00AD694E"/>
    <w:rsid w:val="00AD6B7C"/>
    <w:rsid w:val="00AD6F47"/>
    <w:rsid w:val="00AD7AD8"/>
    <w:rsid w:val="00AD7CED"/>
    <w:rsid w:val="00AE0117"/>
    <w:rsid w:val="00AE0572"/>
    <w:rsid w:val="00AE0596"/>
    <w:rsid w:val="00AE0A3D"/>
    <w:rsid w:val="00AE0A68"/>
    <w:rsid w:val="00AE0F02"/>
    <w:rsid w:val="00AE11A3"/>
    <w:rsid w:val="00AE1DC3"/>
    <w:rsid w:val="00AE1E5D"/>
    <w:rsid w:val="00AE208D"/>
    <w:rsid w:val="00AE28F1"/>
    <w:rsid w:val="00AE39AC"/>
    <w:rsid w:val="00AE39E6"/>
    <w:rsid w:val="00AE4E77"/>
    <w:rsid w:val="00AE5864"/>
    <w:rsid w:val="00AE6331"/>
    <w:rsid w:val="00AF031A"/>
    <w:rsid w:val="00AF0604"/>
    <w:rsid w:val="00AF2C04"/>
    <w:rsid w:val="00AF3603"/>
    <w:rsid w:val="00AF39A9"/>
    <w:rsid w:val="00AF472F"/>
    <w:rsid w:val="00AF596A"/>
    <w:rsid w:val="00AF5A21"/>
    <w:rsid w:val="00AF6AC1"/>
    <w:rsid w:val="00AF7CAA"/>
    <w:rsid w:val="00AF7F5B"/>
    <w:rsid w:val="00B004CC"/>
    <w:rsid w:val="00B01051"/>
    <w:rsid w:val="00B011CB"/>
    <w:rsid w:val="00B020BD"/>
    <w:rsid w:val="00B029E8"/>
    <w:rsid w:val="00B02D8A"/>
    <w:rsid w:val="00B02E75"/>
    <w:rsid w:val="00B02E94"/>
    <w:rsid w:val="00B033E5"/>
    <w:rsid w:val="00B03545"/>
    <w:rsid w:val="00B036CF"/>
    <w:rsid w:val="00B03F89"/>
    <w:rsid w:val="00B0442B"/>
    <w:rsid w:val="00B04782"/>
    <w:rsid w:val="00B04E3D"/>
    <w:rsid w:val="00B0649E"/>
    <w:rsid w:val="00B0667F"/>
    <w:rsid w:val="00B06E91"/>
    <w:rsid w:val="00B10CE5"/>
    <w:rsid w:val="00B114B1"/>
    <w:rsid w:val="00B115A9"/>
    <w:rsid w:val="00B11B29"/>
    <w:rsid w:val="00B12033"/>
    <w:rsid w:val="00B12F60"/>
    <w:rsid w:val="00B1459C"/>
    <w:rsid w:val="00B14B77"/>
    <w:rsid w:val="00B14C69"/>
    <w:rsid w:val="00B15F5A"/>
    <w:rsid w:val="00B1701B"/>
    <w:rsid w:val="00B17296"/>
    <w:rsid w:val="00B230DB"/>
    <w:rsid w:val="00B23BA8"/>
    <w:rsid w:val="00B23C67"/>
    <w:rsid w:val="00B24153"/>
    <w:rsid w:val="00B249BD"/>
    <w:rsid w:val="00B2509F"/>
    <w:rsid w:val="00B25E3F"/>
    <w:rsid w:val="00B275D1"/>
    <w:rsid w:val="00B30130"/>
    <w:rsid w:val="00B30594"/>
    <w:rsid w:val="00B30772"/>
    <w:rsid w:val="00B31331"/>
    <w:rsid w:val="00B31461"/>
    <w:rsid w:val="00B32E12"/>
    <w:rsid w:val="00B3317B"/>
    <w:rsid w:val="00B340A1"/>
    <w:rsid w:val="00B3529C"/>
    <w:rsid w:val="00B35BB1"/>
    <w:rsid w:val="00B36D1F"/>
    <w:rsid w:val="00B36F03"/>
    <w:rsid w:val="00B37A34"/>
    <w:rsid w:val="00B4161C"/>
    <w:rsid w:val="00B42C9D"/>
    <w:rsid w:val="00B43A0A"/>
    <w:rsid w:val="00B43EFE"/>
    <w:rsid w:val="00B45C9C"/>
    <w:rsid w:val="00B4618C"/>
    <w:rsid w:val="00B465E0"/>
    <w:rsid w:val="00B4675D"/>
    <w:rsid w:val="00B46B20"/>
    <w:rsid w:val="00B47203"/>
    <w:rsid w:val="00B476D0"/>
    <w:rsid w:val="00B47816"/>
    <w:rsid w:val="00B47B75"/>
    <w:rsid w:val="00B50F1E"/>
    <w:rsid w:val="00B52580"/>
    <w:rsid w:val="00B52D56"/>
    <w:rsid w:val="00B53027"/>
    <w:rsid w:val="00B53373"/>
    <w:rsid w:val="00B5357E"/>
    <w:rsid w:val="00B53926"/>
    <w:rsid w:val="00B545D8"/>
    <w:rsid w:val="00B54C88"/>
    <w:rsid w:val="00B54E71"/>
    <w:rsid w:val="00B5535D"/>
    <w:rsid w:val="00B55640"/>
    <w:rsid w:val="00B56FB1"/>
    <w:rsid w:val="00B571C7"/>
    <w:rsid w:val="00B57943"/>
    <w:rsid w:val="00B609B5"/>
    <w:rsid w:val="00B614D3"/>
    <w:rsid w:val="00B64716"/>
    <w:rsid w:val="00B64C43"/>
    <w:rsid w:val="00B64D14"/>
    <w:rsid w:val="00B65129"/>
    <w:rsid w:val="00B656DD"/>
    <w:rsid w:val="00B66D00"/>
    <w:rsid w:val="00B6762A"/>
    <w:rsid w:val="00B70423"/>
    <w:rsid w:val="00B71406"/>
    <w:rsid w:val="00B72933"/>
    <w:rsid w:val="00B74503"/>
    <w:rsid w:val="00B74F60"/>
    <w:rsid w:val="00B7616A"/>
    <w:rsid w:val="00B7662D"/>
    <w:rsid w:val="00B76635"/>
    <w:rsid w:val="00B766EB"/>
    <w:rsid w:val="00B768F3"/>
    <w:rsid w:val="00B76AE6"/>
    <w:rsid w:val="00B7712D"/>
    <w:rsid w:val="00B771BB"/>
    <w:rsid w:val="00B8006D"/>
    <w:rsid w:val="00B8009E"/>
    <w:rsid w:val="00B80FDF"/>
    <w:rsid w:val="00B81064"/>
    <w:rsid w:val="00B81953"/>
    <w:rsid w:val="00B82AF0"/>
    <w:rsid w:val="00B82D6E"/>
    <w:rsid w:val="00B82E24"/>
    <w:rsid w:val="00B834FF"/>
    <w:rsid w:val="00B84708"/>
    <w:rsid w:val="00B84712"/>
    <w:rsid w:val="00B85199"/>
    <w:rsid w:val="00B85F2B"/>
    <w:rsid w:val="00B86093"/>
    <w:rsid w:val="00B879A6"/>
    <w:rsid w:val="00B90A35"/>
    <w:rsid w:val="00B92F92"/>
    <w:rsid w:val="00B9333F"/>
    <w:rsid w:val="00B93790"/>
    <w:rsid w:val="00B94361"/>
    <w:rsid w:val="00B948FF"/>
    <w:rsid w:val="00B97274"/>
    <w:rsid w:val="00B974A1"/>
    <w:rsid w:val="00B979B0"/>
    <w:rsid w:val="00B97EFD"/>
    <w:rsid w:val="00BA0C60"/>
    <w:rsid w:val="00BA1218"/>
    <w:rsid w:val="00BA14A6"/>
    <w:rsid w:val="00BA1FE5"/>
    <w:rsid w:val="00BA2375"/>
    <w:rsid w:val="00BA3042"/>
    <w:rsid w:val="00BA3083"/>
    <w:rsid w:val="00BA6152"/>
    <w:rsid w:val="00BA6799"/>
    <w:rsid w:val="00BA7A07"/>
    <w:rsid w:val="00BA7DAF"/>
    <w:rsid w:val="00BB0AAE"/>
    <w:rsid w:val="00BB11DF"/>
    <w:rsid w:val="00BB28E2"/>
    <w:rsid w:val="00BB32ED"/>
    <w:rsid w:val="00BB34A2"/>
    <w:rsid w:val="00BB3A7F"/>
    <w:rsid w:val="00BB455C"/>
    <w:rsid w:val="00BB47C3"/>
    <w:rsid w:val="00BB4CF9"/>
    <w:rsid w:val="00BB50D4"/>
    <w:rsid w:val="00BB574D"/>
    <w:rsid w:val="00BB619E"/>
    <w:rsid w:val="00BB7152"/>
    <w:rsid w:val="00BC0768"/>
    <w:rsid w:val="00BC12C3"/>
    <w:rsid w:val="00BC16FA"/>
    <w:rsid w:val="00BC184D"/>
    <w:rsid w:val="00BC29B4"/>
    <w:rsid w:val="00BC2B56"/>
    <w:rsid w:val="00BC4327"/>
    <w:rsid w:val="00BC43B5"/>
    <w:rsid w:val="00BC4937"/>
    <w:rsid w:val="00BC5A6D"/>
    <w:rsid w:val="00BC64D9"/>
    <w:rsid w:val="00BC729D"/>
    <w:rsid w:val="00BC79C9"/>
    <w:rsid w:val="00BD2B9E"/>
    <w:rsid w:val="00BD322C"/>
    <w:rsid w:val="00BD3A4E"/>
    <w:rsid w:val="00BD4EF0"/>
    <w:rsid w:val="00BD5AC2"/>
    <w:rsid w:val="00BD678E"/>
    <w:rsid w:val="00BD7347"/>
    <w:rsid w:val="00BD73E6"/>
    <w:rsid w:val="00BD7A2A"/>
    <w:rsid w:val="00BE093C"/>
    <w:rsid w:val="00BE0A29"/>
    <w:rsid w:val="00BE2102"/>
    <w:rsid w:val="00BE2C60"/>
    <w:rsid w:val="00BE671E"/>
    <w:rsid w:val="00BF03F4"/>
    <w:rsid w:val="00BF0987"/>
    <w:rsid w:val="00BF4170"/>
    <w:rsid w:val="00BF5260"/>
    <w:rsid w:val="00BF6020"/>
    <w:rsid w:val="00BF79C6"/>
    <w:rsid w:val="00C013EF"/>
    <w:rsid w:val="00C01E5C"/>
    <w:rsid w:val="00C02934"/>
    <w:rsid w:val="00C03012"/>
    <w:rsid w:val="00C03214"/>
    <w:rsid w:val="00C04180"/>
    <w:rsid w:val="00C05D22"/>
    <w:rsid w:val="00C05E1D"/>
    <w:rsid w:val="00C06CBA"/>
    <w:rsid w:val="00C06F36"/>
    <w:rsid w:val="00C07F2E"/>
    <w:rsid w:val="00C11205"/>
    <w:rsid w:val="00C11837"/>
    <w:rsid w:val="00C120F3"/>
    <w:rsid w:val="00C12EB7"/>
    <w:rsid w:val="00C1362B"/>
    <w:rsid w:val="00C152C0"/>
    <w:rsid w:val="00C16841"/>
    <w:rsid w:val="00C16E2F"/>
    <w:rsid w:val="00C17011"/>
    <w:rsid w:val="00C172F9"/>
    <w:rsid w:val="00C176CF"/>
    <w:rsid w:val="00C177B0"/>
    <w:rsid w:val="00C20E06"/>
    <w:rsid w:val="00C21248"/>
    <w:rsid w:val="00C217D5"/>
    <w:rsid w:val="00C2254D"/>
    <w:rsid w:val="00C22B01"/>
    <w:rsid w:val="00C255CC"/>
    <w:rsid w:val="00C25A2D"/>
    <w:rsid w:val="00C2630D"/>
    <w:rsid w:val="00C268A8"/>
    <w:rsid w:val="00C27065"/>
    <w:rsid w:val="00C30A7F"/>
    <w:rsid w:val="00C30B60"/>
    <w:rsid w:val="00C33614"/>
    <w:rsid w:val="00C353E1"/>
    <w:rsid w:val="00C35DBE"/>
    <w:rsid w:val="00C368AA"/>
    <w:rsid w:val="00C36E31"/>
    <w:rsid w:val="00C3746E"/>
    <w:rsid w:val="00C37FB6"/>
    <w:rsid w:val="00C41DA5"/>
    <w:rsid w:val="00C42437"/>
    <w:rsid w:val="00C42690"/>
    <w:rsid w:val="00C43451"/>
    <w:rsid w:val="00C45022"/>
    <w:rsid w:val="00C45C7D"/>
    <w:rsid w:val="00C4699E"/>
    <w:rsid w:val="00C470D2"/>
    <w:rsid w:val="00C4784B"/>
    <w:rsid w:val="00C501ED"/>
    <w:rsid w:val="00C507A3"/>
    <w:rsid w:val="00C50BB1"/>
    <w:rsid w:val="00C515CD"/>
    <w:rsid w:val="00C51651"/>
    <w:rsid w:val="00C5380D"/>
    <w:rsid w:val="00C54376"/>
    <w:rsid w:val="00C55BC7"/>
    <w:rsid w:val="00C55BF1"/>
    <w:rsid w:val="00C55CE8"/>
    <w:rsid w:val="00C55E7B"/>
    <w:rsid w:val="00C566EC"/>
    <w:rsid w:val="00C60399"/>
    <w:rsid w:val="00C610A2"/>
    <w:rsid w:val="00C6190A"/>
    <w:rsid w:val="00C61F7C"/>
    <w:rsid w:val="00C624FB"/>
    <w:rsid w:val="00C62870"/>
    <w:rsid w:val="00C62928"/>
    <w:rsid w:val="00C62A09"/>
    <w:rsid w:val="00C6404B"/>
    <w:rsid w:val="00C6604D"/>
    <w:rsid w:val="00C660BF"/>
    <w:rsid w:val="00C66111"/>
    <w:rsid w:val="00C6612F"/>
    <w:rsid w:val="00C66A07"/>
    <w:rsid w:val="00C66D6C"/>
    <w:rsid w:val="00C67325"/>
    <w:rsid w:val="00C67F9A"/>
    <w:rsid w:val="00C7022F"/>
    <w:rsid w:val="00C70D90"/>
    <w:rsid w:val="00C713E6"/>
    <w:rsid w:val="00C718FC"/>
    <w:rsid w:val="00C71FB4"/>
    <w:rsid w:val="00C7212F"/>
    <w:rsid w:val="00C72741"/>
    <w:rsid w:val="00C72790"/>
    <w:rsid w:val="00C7291A"/>
    <w:rsid w:val="00C73845"/>
    <w:rsid w:val="00C744A9"/>
    <w:rsid w:val="00C74D2D"/>
    <w:rsid w:val="00C761AD"/>
    <w:rsid w:val="00C76604"/>
    <w:rsid w:val="00C7677D"/>
    <w:rsid w:val="00C77894"/>
    <w:rsid w:val="00C8086D"/>
    <w:rsid w:val="00C814FC"/>
    <w:rsid w:val="00C82A58"/>
    <w:rsid w:val="00C82DB3"/>
    <w:rsid w:val="00C82E36"/>
    <w:rsid w:val="00C83CAD"/>
    <w:rsid w:val="00C848C5"/>
    <w:rsid w:val="00C84E08"/>
    <w:rsid w:val="00C86E4B"/>
    <w:rsid w:val="00C874CD"/>
    <w:rsid w:val="00C906D2"/>
    <w:rsid w:val="00C9166C"/>
    <w:rsid w:val="00C91DC4"/>
    <w:rsid w:val="00C94156"/>
    <w:rsid w:val="00C9479B"/>
    <w:rsid w:val="00C94E94"/>
    <w:rsid w:val="00C95E6A"/>
    <w:rsid w:val="00C96CDB"/>
    <w:rsid w:val="00C97189"/>
    <w:rsid w:val="00C97951"/>
    <w:rsid w:val="00C97B80"/>
    <w:rsid w:val="00CA041E"/>
    <w:rsid w:val="00CA15A8"/>
    <w:rsid w:val="00CA16AD"/>
    <w:rsid w:val="00CA16E8"/>
    <w:rsid w:val="00CA493E"/>
    <w:rsid w:val="00CA4C27"/>
    <w:rsid w:val="00CA5EAA"/>
    <w:rsid w:val="00CA62BE"/>
    <w:rsid w:val="00CA68B6"/>
    <w:rsid w:val="00CA7AA0"/>
    <w:rsid w:val="00CA7F94"/>
    <w:rsid w:val="00CB0179"/>
    <w:rsid w:val="00CB0865"/>
    <w:rsid w:val="00CB09DC"/>
    <w:rsid w:val="00CB1926"/>
    <w:rsid w:val="00CB4E93"/>
    <w:rsid w:val="00CB506F"/>
    <w:rsid w:val="00CB55A0"/>
    <w:rsid w:val="00CB6726"/>
    <w:rsid w:val="00CB698A"/>
    <w:rsid w:val="00CB6B00"/>
    <w:rsid w:val="00CB6B79"/>
    <w:rsid w:val="00CB78A8"/>
    <w:rsid w:val="00CC06CA"/>
    <w:rsid w:val="00CC0B0E"/>
    <w:rsid w:val="00CC105D"/>
    <w:rsid w:val="00CC28D9"/>
    <w:rsid w:val="00CC5126"/>
    <w:rsid w:val="00CC527E"/>
    <w:rsid w:val="00CC5CE2"/>
    <w:rsid w:val="00CC673E"/>
    <w:rsid w:val="00CC7CB8"/>
    <w:rsid w:val="00CD024C"/>
    <w:rsid w:val="00CD146E"/>
    <w:rsid w:val="00CD1E04"/>
    <w:rsid w:val="00CD2342"/>
    <w:rsid w:val="00CD2DAF"/>
    <w:rsid w:val="00CD511F"/>
    <w:rsid w:val="00CD5B6C"/>
    <w:rsid w:val="00CD6C01"/>
    <w:rsid w:val="00CD71E9"/>
    <w:rsid w:val="00CE02D9"/>
    <w:rsid w:val="00CE3059"/>
    <w:rsid w:val="00CE41C8"/>
    <w:rsid w:val="00CE4706"/>
    <w:rsid w:val="00CE5D28"/>
    <w:rsid w:val="00CE5D81"/>
    <w:rsid w:val="00CE6916"/>
    <w:rsid w:val="00CE6B30"/>
    <w:rsid w:val="00CE6CA2"/>
    <w:rsid w:val="00CF031B"/>
    <w:rsid w:val="00CF1556"/>
    <w:rsid w:val="00CF1BB2"/>
    <w:rsid w:val="00CF21FD"/>
    <w:rsid w:val="00CF2332"/>
    <w:rsid w:val="00CF24DA"/>
    <w:rsid w:val="00CF3141"/>
    <w:rsid w:val="00CF33DD"/>
    <w:rsid w:val="00CF468A"/>
    <w:rsid w:val="00CF55C4"/>
    <w:rsid w:val="00CF5C28"/>
    <w:rsid w:val="00CF5CAE"/>
    <w:rsid w:val="00CF5E89"/>
    <w:rsid w:val="00CF611E"/>
    <w:rsid w:val="00CF66BF"/>
    <w:rsid w:val="00CF73D4"/>
    <w:rsid w:val="00CF79F3"/>
    <w:rsid w:val="00CF7B47"/>
    <w:rsid w:val="00CF7C9D"/>
    <w:rsid w:val="00D01765"/>
    <w:rsid w:val="00D01B48"/>
    <w:rsid w:val="00D025EE"/>
    <w:rsid w:val="00D02DBD"/>
    <w:rsid w:val="00D03015"/>
    <w:rsid w:val="00D03331"/>
    <w:rsid w:val="00D034D8"/>
    <w:rsid w:val="00D04095"/>
    <w:rsid w:val="00D058BF"/>
    <w:rsid w:val="00D05D55"/>
    <w:rsid w:val="00D05FFD"/>
    <w:rsid w:val="00D0647F"/>
    <w:rsid w:val="00D064D4"/>
    <w:rsid w:val="00D068E1"/>
    <w:rsid w:val="00D06FC3"/>
    <w:rsid w:val="00D07E6C"/>
    <w:rsid w:val="00D100DB"/>
    <w:rsid w:val="00D10436"/>
    <w:rsid w:val="00D1052F"/>
    <w:rsid w:val="00D113D1"/>
    <w:rsid w:val="00D139E6"/>
    <w:rsid w:val="00D1439F"/>
    <w:rsid w:val="00D146EB"/>
    <w:rsid w:val="00D147FC"/>
    <w:rsid w:val="00D14FB8"/>
    <w:rsid w:val="00D15288"/>
    <w:rsid w:val="00D1575C"/>
    <w:rsid w:val="00D15ED8"/>
    <w:rsid w:val="00D162B9"/>
    <w:rsid w:val="00D164ED"/>
    <w:rsid w:val="00D1690A"/>
    <w:rsid w:val="00D16F41"/>
    <w:rsid w:val="00D17312"/>
    <w:rsid w:val="00D176EC"/>
    <w:rsid w:val="00D177AD"/>
    <w:rsid w:val="00D179C9"/>
    <w:rsid w:val="00D20612"/>
    <w:rsid w:val="00D2090D"/>
    <w:rsid w:val="00D218F6"/>
    <w:rsid w:val="00D22A63"/>
    <w:rsid w:val="00D22AC0"/>
    <w:rsid w:val="00D244EB"/>
    <w:rsid w:val="00D24E77"/>
    <w:rsid w:val="00D250D2"/>
    <w:rsid w:val="00D25DD9"/>
    <w:rsid w:val="00D27042"/>
    <w:rsid w:val="00D2756B"/>
    <w:rsid w:val="00D27A82"/>
    <w:rsid w:val="00D31911"/>
    <w:rsid w:val="00D32178"/>
    <w:rsid w:val="00D3296D"/>
    <w:rsid w:val="00D32AAD"/>
    <w:rsid w:val="00D332B9"/>
    <w:rsid w:val="00D33894"/>
    <w:rsid w:val="00D33B69"/>
    <w:rsid w:val="00D34435"/>
    <w:rsid w:val="00D355EE"/>
    <w:rsid w:val="00D36E05"/>
    <w:rsid w:val="00D403FC"/>
    <w:rsid w:val="00D406BB"/>
    <w:rsid w:val="00D408C9"/>
    <w:rsid w:val="00D40AE3"/>
    <w:rsid w:val="00D436B3"/>
    <w:rsid w:val="00D43E23"/>
    <w:rsid w:val="00D44AFA"/>
    <w:rsid w:val="00D44DF5"/>
    <w:rsid w:val="00D45DDF"/>
    <w:rsid w:val="00D46C25"/>
    <w:rsid w:val="00D471B9"/>
    <w:rsid w:val="00D4785A"/>
    <w:rsid w:val="00D511C7"/>
    <w:rsid w:val="00D51262"/>
    <w:rsid w:val="00D51C5E"/>
    <w:rsid w:val="00D5216F"/>
    <w:rsid w:val="00D5233C"/>
    <w:rsid w:val="00D52F10"/>
    <w:rsid w:val="00D5309C"/>
    <w:rsid w:val="00D541CE"/>
    <w:rsid w:val="00D54699"/>
    <w:rsid w:val="00D54E2D"/>
    <w:rsid w:val="00D55C23"/>
    <w:rsid w:val="00D56E9F"/>
    <w:rsid w:val="00D57E6B"/>
    <w:rsid w:val="00D60BC8"/>
    <w:rsid w:val="00D61449"/>
    <w:rsid w:val="00D61CCB"/>
    <w:rsid w:val="00D6305D"/>
    <w:rsid w:val="00D63208"/>
    <w:rsid w:val="00D63ADE"/>
    <w:rsid w:val="00D643EA"/>
    <w:rsid w:val="00D655F6"/>
    <w:rsid w:val="00D667DA"/>
    <w:rsid w:val="00D70646"/>
    <w:rsid w:val="00D733C4"/>
    <w:rsid w:val="00D73703"/>
    <w:rsid w:val="00D7546B"/>
    <w:rsid w:val="00D757DD"/>
    <w:rsid w:val="00D75E58"/>
    <w:rsid w:val="00D76FB7"/>
    <w:rsid w:val="00D7774D"/>
    <w:rsid w:val="00D80B4F"/>
    <w:rsid w:val="00D813C8"/>
    <w:rsid w:val="00D81BD0"/>
    <w:rsid w:val="00D822A9"/>
    <w:rsid w:val="00D8259F"/>
    <w:rsid w:val="00D82790"/>
    <w:rsid w:val="00D82BFF"/>
    <w:rsid w:val="00D82F6B"/>
    <w:rsid w:val="00D84A38"/>
    <w:rsid w:val="00D84EDF"/>
    <w:rsid w:val="00D84FF8"/>
    <w:rsid w:val="00D85B00"/>
    <w:rsid w:val="00D862A9"/>
    <w:rsid w:val="00D863EE"/>
    <w:rsid w:val="00D86A1A"/>
    <w:rsid w:val="00D86B43"/>
    <w:rsid w:val="00D86F6A"/>
    <w:rsid w:val="00D876D6"/>
    <w:rsid w:val="00D90935"/>
    <w:rsid w:val="00D93196"/>
    <w:rsid w:val="00D93BB8"/>
    <w:rsid w:val="00D93F83"/>
    <w:rsid w:val="00D955F3"/>
    <w:rsid w:val="00D9587C"/>
    <w:rsid w:val="00D95D23"/>
    <w:rsid w:val="00D95DA7"/>
    <w:rsid w:val="00D966B1"/>
    <w:rsid w:val="00DA018E"/>
    <w:rsid w:val="00DA076E"/>
    <w:rsid w:val="00DA0939"/>
    <w:rsid w:val="00DA0E27"/>
    <w:rsid w:val="00DA0E7C"/>
    <w:rsid w:val="00DA1118"/>
    <w:rsid w:val="00DA1776"/>
    <w:rsid w:val="00DA2027"/>
    <w:rsid w:val="00DA2106"/>
    <w:rsid w:val="00DA245F"/>
    <w:rsid w:val="00DA28F6"/>
    <w:rsid w:val="00DA2C36"/>
    <w:rsid w:val="00DA31FC"/>
    <w:rsid w:val="00DA3354"/>
    <w:rsid w:val="00DA410D"/>
    <w:rsid w:val="00DA519E"/>
    <w:rsid w:val="00DA51F3"/>
    <w:rsid w:val="00DA5C81"/>
    <w:rsid w:val="00DA6FD7"/>
    <w:rsid w:val="00DA7640"/>
    <w:rsid w:val="00DA76F5"/>
    <w:rsid w:val="00DA7BFC"/>
    <w:rsid w:val="00DB0694"/>
    <w:rsid w:val="00DB074E"/>
    <w:rsid w:val="00DB0C62"/>
    <w:rsid w:val="00DB0E9B"/>
    <w:rsid w:val="00DB0F86"/>
    <w:rsid w:val="00DB3F34"/>
    <w:rsid w:val="00DB432F"/>
    <w:rsid w:val="00DB453C"/>
    <w:rsid w:val="00DB4856"/>
    <w:rsid w:val="00DB4B05"/>
    <w:rsid w:val="00DB4FF1"/>
    <w:rsid w:val="00DB5293"/>
    <w:rsid w:val="00DB58FC"/>
    <w:rsid w:val="00DB639A"/>
    <w:rsid w:val="00DB6E10"/>
    <w:rsid w:val="00DB6FC7"/>
    <w:rsid w:val="00DB7019"/>
    <w:rsid w:val="00DB73B7"/>
    <w:rsid w:val="00DB77B9"/>
    <w:rsid w:val="00DB7A13"/>
    <w:rsid w:val="00DB7A2D"/>
    <w:rsid w:val="00DC2289"/>
    <w:rsid w:val="00DC254B"/>
    <w:rsid w:val="00DC2E91"/>
    <w:rsid w:val="00DC3478"/>
    <w:rsid w:val="00DC39D2"/>
    <w:rsid w:val="00DC4676"/>
    <w:rsid w:val="00DC4873"/>
    <w:rsid w:val="00DC4944"/>
    <w:rsid w:val="00DC506B"/>
    <w:rsid w:val="00DC58B6"/>
    <w:rsid w:val="00DC714D"/>
    <w:rsid w:val="00DC71DE"/>
    <w:rsid w:val="00DC75DB"/>
    <w:rsid w:val="00DD05CF"/>
    <w:rsid w:val="00DD146C"/>
    <w:rsid w:val="00DD1F6F"/>
    <w:rsid w:val="00DD2C89"/>
    <w:rsid w:val="00DD2FDE"/>
    <w:rsid w:val="00DD35E8"/>
    <w:rsid w:val="00DD4562"/>
    <w:rsid w:val="00DD6577"/>
    <w:rsid w:val="00DE0E7A"/>
    <w:rsid w:val="00DE10D0"/>
    <w:rsid w:val="00DE1207"/>
    <w:rsid w:val="00DE1BF8"/>
    <w:rsid w:val="00DE1DC1"/>
    <w:rsid w:val="00DE2E2D"/>
    <w:rsid w:val="00DE311C"/>
    <w:rsid w:val="00DE3600"/>
    <w:rsid w:val="00DE39A7"/>
    <w:rsid w:val="00DE408A"/>
    <w:rsid w:val="00DE45C7"/>
    <w:rsid w:val="00DE4A60"/>
    <w:rsid w:val="00DE5D01"/>
    <w:rsid w:val="00DE5D13"/>
    <w:rsid w:val="00DE6768"/>
    <w:rsid w:val="00DE681C"/>
    <w:rsid w:val="00DE6EE8"/>
    <w:rsid w:val="00DE72EB"/>
    <w:rsid w:val="00DE7458"/>
    <w:rsid w:val="00DE7A97"/>
    <w:rsid w:val="00DF0F25"/>
    <w:rsid w:val="00DF124A"/>
    <w:rsid w:val="00DF165C"/>
    <w:rsid w:val="00DF24DC"/>
    <w:rsid w:val="00DF2C77"/>
    <w:rsid w:val="00DF4167"/>
    <w:rsid w:val="00DF556B"/>
    <w:rsid w:val="00DF5BD1"/>
    <w:rsid w:val="00DF6945"/>
    <w:rsid w:val="00DF6BBC"/>
    <w:rsid w:val="00DF70DC"/>
    <w:rsid w:val="00E005F7"/>
    <w:rsid w:val="00E0156B"/>
    <w:rsid w:val="00E01A80"/>
    <w:rsid w:val="00E01B5C"/>
    <w:rsid w:val="00E032F5"/>
    <w:rsid w:val="00E03D52"/>
    <w:rsid w:val="00E05220"/>
    <w:rsid w:val="00E0608D"/>
    <w:rsid w:val="00E06EA9"/>
    <w:rsid w:val="00E07174"/>
    <w:rsid w:val="00E1177A"/>
    <w:rsid w:val="00E125C9"/>
    <w:rsid w:val="00E12FCB"/>
    <w:rsid w:val="00E13574"/>
    <w:rsid w:val="00E13741"/>
    <w:rsid w:val="00E13EBD"/>
    <w:rsid w:val="00E1455F"/>
    <w:rsid w:val="00E14DDF"/>
    <w:rsid w:val="00E155B3"/>
    <w:rsid w:val="00E15BFD"/>
    <w:rsid w:val="00E16E03"/>
    <w:rsid w:val="00E1749F"/>
    <w:rsid w:val="00E20166"/>
    <w:rsid w:val="00E222AD"/>
    <w:rsid w:val="00E238D2"/>
    <w:rsid w:val="00E244B2"/>
    <w:rsid w:val="00E244E4"/>
    <w:rsid w:val="00E2498E"/>
    <w:rsid w:val="00E25141"/>
    <w:rsid w:val="00E253E0"/>
    <w:rsid w:val="00E25A94"/>
    <w:rsid w:val="00E2705F"/>
    <w:rsid w:val="00E317DF"/>
    <w:rsid w:val="00E31B11"/>
    <w:rsid w:val="00E31CAC"/>
    <w:rsid w:val="00E33194"/>
    <w:rsid w:val="00E33A42"/>
    <w:rsid w:val="00E33B2F"/>
    <w:rsid w:val="00E347F2"/>
    <w:rsid w:val="00E34DD5"/>
    <w:rsid w:val="00E34FFA"/>
    <w:rsid w:val="00E36224"/>
    <w:rsid w:val="00E3710B"/>
    <w:rsid w:val="00E37C4B"/>
    <w:rsid w:val="00E4011D"/>
    <w:rsid w:val="00E40261"/>
    <w:rsid w:val="00E408A5"/>
    <w:rsid w:val="00E422B2"/>
    <w:rsid w:val="00E436A1"/>
    <w:rsid w:val="00E441E7"/>
    <w:rsid w:val="00E44254"/>
    <w:rsid w:val="00E4459C"/>
    <w:rsid w:val="00E445FE"/>
    <w:rsid w:val="00E447D6"/>
    <w:rsid w:val="00E44D04"/>
    <w:rsid w:val="00E44FCB"/>
    <w:rsid w:val="00E455AC"/>
    <w:rsid w:val="00E467FB"/>
    <w:rsid w:val="00E478E3"/>
    <w:rsid w:val="00E4790F"/>
    <w:rsid w:val="00E5052E"/>
    <w:rsid w:val="00E50932"/>
    <w:rsid w:val="00E5142A"/>
    <w:rsid w:val="00E51ED2"/>
    <w:rsid w:val="00E5295F"/>
    <w:rsid w:val="00E52C8A"/>
    <w:rsid w:val="00E53221"/>
    <w:rsid w:val="00E53345"/>
    <w:rsid w:val="00E538B7"/>
    <w:rsid w:val="00E54979"/>
    <w:rsid w:val="00E5555B"/>
    <w:rsid w:val="00E56F39"/>
    <w:rsid w:val="00E600CE"/>
    <w:rsid w:val="00E602D9"/>
    <w:rsid w:val="00E60F00"/>
    <w:rsid w:val="00E6149F"/>
    <w:rsid w:val="00E61714"/>
    <w:rsid w:val="00E61E5C"/>
    <w:rsid w:val="00E62A32"/>
    <w:rsid w:val="00E62CDF"/>
    <w:rsid w:val="00E631A8"/>
    <w:rsid w:val="00E63E3A"/>
    <w:rsid w:val="00E64A6D"/>
    <w:rsid w:val="00E64BBB"/>
    <w:rsid w:val="00E651C2"/>
    <w:rsid w:val="00E657BD"/>
    <w:rsid w:val="00E659B5"/>
    <w:rsid w:val="00E66DDF"/>
    <w:rsid w:val="00E678B8"/>
    <w:rsid w:val="00E71829"/>
    <w:rsid w:val="00E72397"/>
    <w:rsid w:val="00E72D49"/>
    <w:rsid w:val="00E7338A"/>
    <w:rsid w:val="00E739B6"/>
    <w:rsid w:val="00E740B9"/>
    <w:rsid w:val="00E7484F"/>
    <w:rsid w:val="00E74FD1"/>
    <w:rsid w:val="00E751A3"/>
    <w:rsid w:val="00E772A0"/>
    <w:rsid w:val="00E77508"/>
    <w:rsid w:val="00E81CE4"/>
    <w:rsid w:val="00E81FA4"/>
    <w:rsid w:val="00E82417"/>
    <w:rsid w:val="00E83736"/>
    <w:rsid w:val="00E85F38"/>
    <w:rsid w:val="00E86375"/>
    <w:rsid w:val="00E871AF"/>
    <w:rsid w:val="00E87B19"/>
    <w:rsid w:val="00E87CBE"/>
    <w:rsid w:val="00E908C0"/>
    <w:rsid w:val="00E90D04"/>
    <w:rsid w:val="00E923D8"/>
    <w:rsid w:val="00E9285A"/>
    <w:rsid w:val="00E92BF4"/>
    <w:rsid w:val="00E93B02"/>
    <w:rsid w:val="00E93F0F"/>
    <w:rsid w:val="00E94D6A"/>
    <w:rsid w:val="00E95F38"/>
    <w:rsid w:val="00E966A8"/>
    <w:rsid w:val="00E969F1"/>
    <w:rsid w:val="00E973A7"/>
    <w:rsid w:val="00EA10F7"/>
    <w:rsid w:val="00EA1927"/>
    <w:rsid w:val="00EA1A00"/>
    <w:rsid w:val="00EA21F5"/>
    <w:rsid w:val="00EA2F3E"/>
    <w:rsid w:val="00EA4332"/>
    <w:rsid w:val="00EA4A33"/>
    <w:rsid w:val="00EA6DE2"/>
    <w:rsid w:val="00EA6F9E"/>
    <w:rsid w:val="00EA7111"/>
    <w:rsid w:val="00EB074A"/>
    <w:rsid w:val="00EB09C6"/>
    <w:rsid w:val="00EB235D"/>
    <w:rsid w:val="00EB266E"/>
    <w:rsid w:val="00EB2CB4"/>
    <w:rsid w:val="00EB2DE4"/>
    <w:rsid w:val="00EB3071"/>
    <w:rsid w:val="00EB324A"/>
    <w:rsid w:val="00EB37D7"/>
    <w:rsid w:val="00EB3ECF"/>
    <w:rsid w:val="00EB4659"/>
    <w:rsid w:val="00EB4C9A"/>
    <w:rsid w:val="00EB55FD"/>
    <w:rsid w:val="00EB5C5E"/>
    <w:rsid w:val="00EB5D45"/>
    <w:rsid w:val="00EB7981"/>
    <w:rsid w:val="00EC0741"/>
    <w:rsid w:val="00EC10EB"/>
    <w:rsid w:val="00EC137D"/>
    <w:rsid w:val="00EC1393"/>
    <w:rsid w:val="00EC1554"/>
    <w:rsid w:val="00EC163B"/>
    <w:rsid w:val="00EC1699"/>
    <w:rsid w:val="00EC1CDE"/>
    <w:rsid w:val="00EC23AF"/>
    <w:rsid w:val="00EC2979"/>
    <w:rsid w:val="00EC2FA3"/>
    <w:rsid w:val="00EC3145"/>
    <w:rsid w:val="00EC4981"/>
    <w:rsid w:val="00EC6311"/>
    <w:rsid w:val="00EC6962"/>
    <w:rsid w:val="00EC706D"/>
    <w:rsid w:val="00EC736E"/>
    <w:rsid w:val="00ED04B0"/>
    <w:rsid w:val="00ED085A"/>
    <w:rsid w:val="00ED0AE9"/>
    <w:rsid w:val="00ED1057"/>
    <w:rsid w:val="00ED1EA1"/>
    <w:rsid w:val="00ED275B"/>
    <w:rsid w:val="00ED3CC4"/>
    <w:rsid w:val="00ED42AF"/>
    <w:rsid w:val="00ED4862"/>
    <w:rsid w:val="00ED5041"/>
    <w:rsid w:val="00ED58C6"/>
    <w:rsid w:val="00ED6022"/>
    <w:rsid w:val="00ED66C3"/>
    <w:rsid w:val="00ED69A7"/>
    <w:rsid w:val="00ED7061"/>
    <w:rsid w:val="00ED73B5"/>
    <w:rsid w:val="00ED7484"/>
    <w:rsid w:val="00EE20A3"/>
    <w:rsid w:val="00EE219C"/>
    <w:rsid w:val="00EE3508"/>
    <w:rsid w:val="00EE3706"/>
    <w:rsid w:val="00EE55EC"/>
    <w:rsid w:val="00EE55F8"/>
    <w:rsid w:val="00EE5939"/>
    <w:rsid w:val="00EE5B8B"/>
    <w:rsid w:val="00EE6047"/>
    <w:rsid w:val="00EE7438"/>
    <w:rsid w:val="00EF0F09"/>
    <w:rsid w:val="00EF1877"/>
    <w:rsid w:val="00EF210F"/>
    <w:rsid w:val="00EF2BF1"/>
    <w:rsid w:val="00EF37BB"/>
    <w:rsid w:val="00EF498D"/>
    <w:rsid w:val="00EF4DCB"/>
    <w:rsid w:val="00EF4F0F"/>
    <w:rsid w:val="00EF57B1"/>
    <w:rsid w:val="00EF6188"/>
    <w:rsid w:val="00EF6DA1"/>
    <w:rsid w:val="00EF7BB5"/>
    <w:rsid w:val="00F00A8B"/>
    <w:rsid w:val="00F01199"/>
    <w:rsid w:val="00F013EA"/>
    <w:rsid w:val="00F018FB"/>
    <w:rsid w:val="00F01E36"/>
    <w:rsid w:val="00F01E8F"/>
    <w:rsid w:val="00F02004"/>
    <w:rsid w:val="00F02BD0"/>
    <w:rsid w:val="00F0347A"/>
    <w:rsid w:val="00F03AD1"/>
    <w:rsid w:val="00F044FD"/>
    <w:rsid w:val="00F050F2"/>
    <w:rsid w:val="00F057EB"/>
    <w:rsid w:val="00F05A09"/>
    <w:rsid w:val="00F05BBF"/>
    <w:rsid w:val="00F07320"/>
    <w:rsid w:val="00F07B87"/>
    <w:rsid w:val="00F07E56"/>
    <w:rsid w:val="00F10538"/>
    <w:rsid w:val="00F11720"/>
    <w:rsid w:val="00F1187C"/>
    <w:rsid w:val="00F11980"/>
    <w:rsid w:val="00F11DB6"/>
    <w:rsid w:val="00F12930"/>
    <w:rsid w:val="00F12A44"/>
    <w:rsid w:val="00F12B7A"/>
    <w:rsid w:val="00F12E20"/>
    <w:rsid w:val="00F13972"/>
    <w:rsid w:val="00F145B8"/>
    <w:rsid w:val="00F14D13"/>
    <w:rsid w:val="00F14DCE"/>
    <w:rsid w:val="00F150D6"/>
    <w:rsid w:val="00F16492"/>
    <w:rsid w:val="00F16A18"/>
    <w:rsid w:val="00F16B50"/>
    <w:rsid w:val="00F16E82"/>
    <w:rsid w:val="00F175D0"/>
    <w:rsid w:val="00F17C14"/>
    <w:rsid w:val="00F20CCC"/>
    <w:rsid w:val="00F20D58"/>
    <w:rsid w:val="00F21399"/>
    <w:rsid w:val="00F21CA2"/>
    <w:rsid w:val="00F21EF9"/>
    <w:rsid w:val="00F22107"/>
    <w:rsid w:val="00F22866"/>
    <w:rsid w:val="00F23269"/>
    <w:rsid w:val="00F23729"/>
    <w:rsid w:val="00F23D7B"/>
    <w:rsid w:val="00F2412A"/>
    <w:rsid w:val="00F24B56"/>
    <w:rsid w:val="00F24B69"/>
    <w:rsid w:val="00F25796"/>
    <w:rsid w:val="00F26E48"/>
    <w:rsid w:val="00F3029E"/>
    <w:rsid w:val="00F3076C"/>
    <w:rsid w:val="00F326C5"/>
    <w:rsid w:val="00F32AE1"/>
    <w:rsid w:val="00F33431"/>
    <w:rsid w:val="00F34887"/>
    <w:rsid w:val="00F34D6F"/>
    <w:rsid w:val="00F35AB9"/>
    <w:rsid w:val="00F36AE6"/>
    <w:rsid w:val="00F36D8B"/>
    <w:rsid w:val="00F36E0A"/>
    <w:rsid w:val="00F36EB7"/>
    <w:rsid w:val="00F4012D"/>
    <w:rsid w:val="00F401EB"/>
    <w:rsid w:val="00F4021E"/>
    <w:rsid w:val="00F40DF6"/>
    <w:rsid w:val="00F41128"/>
    <w:rsid w:val="00F41A96"/>
    <w:rsid w:val="00F41C72"/>
    <w:rsid w:val="00F41D01"/>
    <w:rsid w:val="00F41D73"/>
    <w:rsid w:val="00F42BC6"/>
    <w:rsid w:val="00F42F6E"/>
    <w:rsid w:val="00F43AB0"/>
    <w:rsid w:val="00F43CC3"/>
    <w:rsid w:val="00F447E4"/>
    <w:rsid w:val="00F46E6F"/>
    <w:rsid w:val="00F47298"/>
    <w:rsid w:val="00F47379"/>
    <w:rsid w:val="00F47D03"/>
    <w:rsid w:val="00F527B7"/>
    <w:rsid w:val="00F53032"/>
    <w:rsid w:val="00F531AC"/>
    <w:rsid w:val="00F5444F"/>
    <w:rsid w:val="00F553CB"/>
    <w:rsid w:val="00F564AC"/>
    <w:rsid w:val="00F56844"/>
    <w:rsid w:val="00F56B50"/>
    <w:rsid w:val="00F56DA4"/>
    <w:rsid w:val="00F57DAB"/>
    <w:rsid w:val="00F60D67"/>
    <w:rsid w:val="00F61A93"/>
    <w:rsid w:val="00F61B27"/>
    <w:rsid w:val="00F62A78"/>
    <w:rsid w:val="00F63CA2"/>
    <w:rsid w:val="00F64277"/>
    <w:rsid w:val="00F64774"/>
    <w:rsid w:val="00F647A5"/>
    <w:rsid w:val="00F64AAC"/>
    <w:rsid w:val="00F6569A"/>
    <w:rsid w:val="00F67FDC"/>
    <w:rsid w:val="00F70492"/>
    <w:rsid w:val="00F70712"/>
    <w:rsid w:val="00F70D63"/>
    <w:rsid w:val="00F717F5"/>
    <w:rsid w:val="00F72294"/>
    <w:rsid w:val="00F7372D"/>
    <w:rsid w:val="00F73C8A"/>
    <w:rsid w:val="00F73E65"/>
    <w:rsid w:val="00F7438C"/>
    <w:rsid w:val="00F74993"/>
    <w:rsid w:val="00F74A11"/>
    <w:rsid w:val="00F74B87"/>
    <w:rsid w:val="00F74F6A"/>
    <w:rsid w:val="00F75184"/>
    <w:rsid w:val="00F758AE"/>
    <w:rsid w:val="00F75C20"/>
    <w:rsid w:val="00F7600D"/>
    <w:rsid w:val="00F764B8"/>
    <w:rsid w:val="00F76C02"/>
    <w:rsid w:val="00F77087"/>
    <w:rsid w:val="00F77A18"/>
    <w:rsid w:val="00F77C39"/>
    <w:rsid w:val="00F80F61"/>
    <w:rsid w:val="00F80FAC"/>
    <w:rsid w:val="00F8245D"/>
    <w:rsid w:val="00F8269A"/>
    <w:rsid w:val="00F82DE7"/>
    <w:rsid w:val="00F82EE8"/>
    <w:rsid w:val="00F82FB2"/>
    <w:rsid w:val="00F83172"/>
    <w:rsid w:val="00F84421"/>
    <w:rsid w:val="00F84573"/>
    <w:rsid w:val="00F85944"/>
    <w:rsid w:val="00F8616E"/>
    <w:rsid w:val="00F87111"/>
    <w:rsid w:val="00F904E8"/>
    <w:rsid w:val="00F91E18"/>
    <w:rsid w:val="00F9313A"/>
    <w:rsid w:val="00F939EC"/>
    <w:rsid w:val="00F93CE3"/>
    <w:rsid w:val="00F93D53"/>
    <w:rsid w:val="00F93F80"/>
    <w:rsid w:val="00F95536"/>
    <w:rsid w:val="00F978B8"/>
    <w:rsid w:val="00F97E9C"/>
    <w:rsid w:val="00F97EE9"/>
    <w:rsid w:val="00FA1316"/>
    <w:rsid w:val="00FA1858"/>
    <w:rsid w:val="00FA21A1"/>
    <w:rsid w:val="00FA22DF"/>
    <w:rsid w:val="00FA2A61"/>
    <w:rsid w:val="00FA48EC"/>
    <w:rsid w:val="00FA4CB7"/>
    <w:rsid w:val="00FA5279"/>
    <w:rsid w:val="00FA5B76"/>
    <w:rsid w:val="00FA5F51"/>
    <w:rsid w:val="00FA64D0"/>
    <w:rsid w:val="00FA6DA2"/>
    <w:rsid w:val="00FA7134"/>
    <w:rsid w:val="00FB09D2"/>
    <w:rsid w:val="00FB14FD"/>
    <w:rsid w:val="00FB16D7"/>
    <w:rsid w:val="00FB2C7B"/>
    <w:rsid w:val="00FB3120"/>
    <w:rsid w:val="00FB33C5"/>
    <w:rsid w:val="00FB41EF"/>
    <w:rsid w:val="00FB4773"/>
    <w:rsid w:val="00FB4A1A"/>
    <w:rsid w:val="00FB4FC7"/>
    <w:rsid w:val="00FB52A6"/>
    <w:rsid w:val="00FB56DD"/>
    <w:rsid w:val="00FB5FD2"/>
    <w:rsid w:val="00FC0107"/>
    <w:rsid w:val="00FC0895"/>
    <w:rsid w:val="00FC1985"/>
    <w:rsid w:val="00FC2280"/>
    <w:rsid w:val="00FC2908"/>
    <w:rsid w:val="00FC2FB8"/>
    <w:rsid w:val="00FC31AD"/>
    <w:rsid w:val="00FC36BF"/>
    <w:rsid w:val="00FC3DC6"/>
    <w:rsid w:val="00FC553B"/>
    <w:rsid w:val="00FC6306"/>
    <w:rsid w:val="00FC7CF9"/>
    <w:rsid w:val="00FD0044"/>
    <w:rsid w:val="00FD01F4"/>
    <w:rsid w:val="00FD044C"/>
    <w:rsid w:val="00FD0D4A"/>
    <w:rsid w:val="00FD1077"/>
    <w:rsid w:val="00FD1547"/>
    <w:rsid w:val="00FD1F0F"/>
    <w:rsid w:val="00FD1FAC"/>
    <w:rsid w:val="00FD22B8"/>
    <w:rsid w:val="00FD2463"/>
    <w:rsid w:val="00FD3F01"/>
    <w:rsid w:val="00FD5565"/>
    <w:rsid w:val="00FD6A08"/>
    <w:rsid w:val="00FD7313"/>
    <w:rsid w:val="00FD7F36"/>
    <w:rsid w:val="00FE081E"/>
    <w:rsid w:val="00FE0CF6"/>
    <w:rsid w:val="00FE2BAD"/>
    <w:rsid w:val="00FE3619"/>
    <w:rsid w:val="00FE41C4"/>
    <w:rsid w:val="00FE42A9"/>
    <w:rsid w:val="00FE4672"/>
    <w:rsid w:val="00FE47FC"/>
    <w:rsid w:val="00FE51AA"/>
    <w:rsid w:val="00FE6DBA"/>
    <w:rsid w:val="00FE7861"/>
    <w:rsid w:val="00FF1C63"/>
    <w:rsid w:val="00FF289B"/>
    <w:rsid w:val="00FF2907"/>
    <w:rsid w:val="00FF2908"/>
    <w:rsid w:val="00FF2B2B"/>
    <w:rsid w:val="00FF3333"/>
    <w:rsid w:val="00FF4FB8"/>
    <w:rsid w:val="00FF507F"/>
    <w:rsid w:val="00FF5BC0"/>
    <w:rsid w:val="00FF70D0"/>
    <w:rsid w:val="00FF7DDA"/>
    <w:rsid w:val="01367047"/>
    <w:rsid w:val="025E4A5F"/>
    <w:rsid w:val="05BB3588"/>
    <w:rsid w:val="07B4ED85"/>
    <w:rsid w:val="0A88AAB6"/>
    <w:rsid w:val="0C29AF07"/>
    <w:rsid w:val="0C97889C"/>
    <w:rsid w:val="0D237E65"/>
    <w:rsid w:val="0D843A2E"/>
    <w:rsid w:val="0F7AA488"/>
    <w:rsid w:val="0FA103C5"/>
    <w:rsid w:val="1161ADA2"/>
    <w:rsid w:val="11661C86"/>
    <w:rsid w:val="11B4013C"/>
    <w:rsid w:val="1207DF71"/>
    <w:rsid w:val="15025956"/>
    <w:rsid w:val="1524DEBB"/>
    <w:rsid w:val="15AAAAA9"/>
    <w:rsid w:val="1669C23F"/>
    <w:rsid w:val="18D93843"/>
    <w:rsid w:val="1BAB210A"/>
    <w:rsid w:val="1CA9862C"/>
    <w:rsid w:val="1D9A090D"/>
    <w:rsid w:val="1FFCA984"/>
    <w:rsid w:val="2047A6AD"/>
    <w:rsid w:val="2308ECB0"/>
    <w:rsid w:val="23BDD664"/>
    <w:rsid w:val="243B9827"/>
    <w:rsid w:val="25DEBC8D"/>
    <w:rsid w:val="260AF65C"/>
    <w:rsid w:val="26D5DAA9"/>
    <w:rsid w:val="27AA14E8"/>
    <w:rsid w:val="29E5A422"/>
    <w:rsid w:val="2BF8CEA2"/>
    <w:rsid w:val="2C6857E3"/>
    <w:rsid w:val="2EC6EC7B"/>
    <w:rsid w:val="2EE1CD96"/>
    <w:rsid w:val="376D461F"/>
    <w:rsid w:val="393FBB6C"/>
    <w:rsid w:val="3B9255C3"/>
    <w:rsid w:val="3C9405F5"/>
    <w:rsid w:val="4332C604"/>
    <w:rsid w:val="45463CEB"/>
    <w:rsid w:val="47824E95"/>
    <w:rsid w:val="47C33C31"/>
    <w:rsid w:val="48180195"/>
    <w:rsid w:val="492B6F00"/>
    <w:rsid w:val="4950DDBB"/>
    <w:rsid w:val="4F6768F0"/>
    <w:rsid w:val="502166B1"/>
    <w:rsid w:val="531CD595"/>
    <w:rsid w:val="5485C87F"/>
    <w:rsid w:val="5B0E51AA"/>
    <w:rsid w:val="5C1C4832"/>
    <w:rsid w:val="5D899F29"/>
    <w:rsid w:val="5E5767C9"/>
    <w:rsid w:val="5EBC0209"/>
    <w:rsid w:val="63971EE6"/>
    <w:rsid w:val="66944720"/>
    <w:rsid w:val="674F9590"/>
    <w:rsid w:val="6771FBED"/>
    <w:rsid w:val="679262D5"/>
    <w:rsid w:val="6982E542"/>
    <w:rsid w:val="69A21480"/>
    <w:rsid w:val="6A881DB9"/>
    <w:rsid w:val="6B4F8149"/>
    <w:rsid w:val="6B52F044"/>
    <w:rsid w:val="6DC109AA"/>
    <w:rsid w:val="6EECDE84"/>
    <w:rsid w:val="6FC9FC0C"/>
    <w:rsid w:val="70A45FDD"/>
    <w:rsid w:val="71FAEB21"/>
    <w:rsid w:val="72FE2464"/>
    <w:rsid w:val="738FAD7C"/>
    <w:rsid w:val="73D95428"/>
    <w:rsid w:val="74B1E6CC"/>
    <w:rsid w:val="74FBBFAE"/>
    <w:rsid w:val="7693F631"/>
    <w:rsid w:val="7B274E15"/>
    <w:rsid w:val="7B9E15AA"/>
    <w:rsid w:val="7C42010B"/>
    <w:rsid w:val="7C51B42E"/>
    <w:rsid w:val="7E649A29"/>
    <w:rsid w:val="7F549FEB"/>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E6656"/>
  <w15:chartTrackingRefBased/>
  <w15:docId w15:val="{6BFE061B-03F3-4963-BE3B-996B45B09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D899F29"/>
    <w:pPr>
      <w:spacing w:after="240"/>
    </w:pPr>
    <w:rPr>
      <w:rFonts w:eastAsiaTheme="minorEastAsia"/>
      <w:sz w:val="22"/>
      <w:szCs w:val="22"/>
      <w:lang w:val="en-GB"/>
    </w:rPr>
  </w:style>
  <w:style w:type="paragraph" w:styleId="Heading1">
    <w:name w:val="heading 1"/>
    <w:basedOn w:val="Normal"/>
    <w:next w:val="Normal"/>
    <w:link w:val="Heading1Char"/>
    <w:uiPriority w:val="9"/>
    <w:qFormat/>
    <w:rsid w:val="5D899F29"/>
    <w:pPr>
      <w:keepNext/>
      <w:spacing w:before="360" w:after="40"/>
      <w:outlineLvl w:val="0"/>
    </w:pPr>
    <w:rPr>
      <w:rFonts w:eastAsiaTheme="majorEastAsia" w:cstheme="majorBidi"/>
      <w:color w:val="000000" w:themeColor="text1"/>
      <w:sz w:val="36"/>
      <w:szCs w:val="36"/>
    </w:rPr>
  </w:style>
  <w:style w:type="paragraph" w:styleId="Heading2">
    <w:name w:val="heading 2"/>
    <w:basedOn w:val="Normal"/>
    <w:next w:val="Normal"/>
    <w:link w:val="Heading2Char"/>
    <w:uiPriority w:val="9"/>
    <w:unhideWhenUsed/>
    <w:qFormat/>
    <w:rsid w:val="5D899F29"/>
    <w:pPr>
      <w:keepNext/>
      <w:spacing w:before="240" w:after="4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5D899F29"/>
    <w:pPr>
      <w:keepNext/>
      <w:spacing w:before="240" w:after="0"/>
      <w:outlineLvl w:val="2"/>
    </w:pPr>
    <w:rPr>
      <w:rFonts w:eastAsiaTheme="majorEastAsia" w:cstheme="majorBidi"/>
      <w:b/>
      <w:bCs/>
      <w:color w:val="000000" w:themeColor="text1"/>
      <w:sz w:val="28"/>
      <w:szCs w:val="28"/>
    </w:rPr>
  </w:style>
  <w:style w:type="paragraph" w:styleId="Heading4">
    <w:name w:val="heading 4"/>
    <w:basedOn w:val="Normal"/>
    <w:next w:val="Normal"/>
    <w:link w:val="Heading4Char"/>
    <w:uiPriority w:val="9"/>
    <w:unhideWhenUsed/>
    <w:qFormat/>
    <w:rsid w:val="5D899F29"/>
    <w:pPr>
      <w:keepNext/>
      <w:spacing w:before="40" w:after="0"/>
      <w:outlineLvl w:val="3"/>
    </w:pPr>
    <w:rPr>
      <w:rFonts w:eastAsiaTheme="majorEastAsia" w:cs="Times New Roman (Headings CS)"/>
      <w:b/>
      <w:bCs/>
      <w:color w:val="000000" w:themeColor="text1"/>
      <w:sz w:val="24"/>
      <w:szCs w:val="24"/>
    </w:rPr>
  </w:style>
  <w:style w:type="paragraph" w:styleId="Heading5">
    <w:name w:val="heading 5"/>
    <w:basedOn w:val="Normal"/>
    <w:next w:val="Normal"/>
    <w:link w:val="Heading5Char"/>
    <w:uiPriority w:val="9"/>
    <w:unhideWhenUsed/>
    <w:qFormat/>
    <w:rsid w:val="5D899F29"/>
    <w:pPr>
      <w:keepNext/>
      <w:spacing w:before="40" w:after="0"/>
      <w:outlineLvl w:val="4"/>
    </w:pPr>
    <w:rPr>
      <w:rFonts w:asciiTheme="majorHAnsi" w:eastAsiaTheme="majorEastAsia" w:hAnsiTheme="majorHAnsi" w:cs="Times New Roman (Headings CS)"/>
      <w:b/>
      <w:bCs/>
      <w:caps/>
      <w:color w:val="000000" w:themeColor="text1"/>
    </w:rPr>
  </w:style>
  <w:style w:type="paragraph" w:styleId="Heading6">
    <w:name w:val="heading 6"/>
    <w:basedOn w:val="Normal"/>
    <w:next w:val="Normal"/>
    <w:link w:val="Heading6Char"/>
    <w:uiPriority w:val="9"/>
    <w:unhideWhenUsed/>
    <w:qFormat/>
    <w:rsid w:val="5D899F29"/>
    <w:pPr>
      <w:keepNext/>
      <w:spacing w:before="40" w:after="0"/>
      <w:outlineLvl w:val="5"/>
    </w:pPr>
    <w:rPr>
      <w:rFonts w:asciiTheme="majorHAnsi" w:eastAsiaTheme="majorEastAsia" w:hAnsiTheme="majorHAnsi" w:cstheme="majorBidi"/>
      <w:b/>
      <w:bCs/>
      <w:color w:val="000000" w:themeColor="text1"/>
    </w:rPr>
  </w:style>
  <w:style w:type="paragraph" w:styleId="Heading7">
    <w:name w:val="heading 7"/>
    <w:basedOn w:val="Normal"/>
    <w:next w:val="Normal"/>
    <w:link w:val="Heading7Char"/>
    <w:uiPriority w:val="9"/>
    <w:unhideWhenUsed/>
    <w:qFormat/>
    <w:rsid w:val="5D899F29"/>
    <w:pPr>
      <w:keepNext/>
      <w:spacing w:before="40" w:after="0"/>
      <w:outlineLvl w:val="6"/>
    </w:pPr>
    <w:rPr>
      <w:rFonts w:asciiTheme="majorHAnsi" w:eastAsiaTheme="majorEastAsia" w:hAnsiTheme="majorHAnsi" w:cstheme="majorBidi"/>
      <w:b/>
      <w:bCs/>
      <w:color w:val="000000" w:themeColor="text1"/>
      <w:sz w:val="20"/>
      <w:szCs w:val="20"/>
    </w:rPr>
  </w:style>
  <w:style w:type="paragraph" w:styleId="Heading8">
    <w:name w:val="heading 8"/>
    <w:basedOn w:val="Normal"/>
    <w:next w:val="Normal"/>
    <w:link w:val="Heading8Char"/>
    <w:uiPriority w:val="9"/>
    <w:unhideWhenUsed/>
    <w:qFormat/>
    <w:rsid w:val="5D899F29"/>
    <w:pPr>
      <w:keepNext/>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5D899F29"/>
    <w:pPr>
      <w:keepNext/>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5D899F29"/>
    <w:rPr>
      <w:rFonts w:ascii="Arial" w:eastAsiaTheme="majorEastAsia" w:hAnsi="Arial" w:cstheme="majorBidi"/>
      <w:noProof w:val="0"/>
      <w:color w:val="000000" w:themeColor="text1"/>
      <w:sz w:val="36"/>
      <w:szCs w:val="36"/>
      <w:lang w:val="en-GB"/>
    </w:rPr>
  </w:style>
  <w:style w:type="character" w:customStyle="1" w:styleId="Heading2Char">
    <w:name w:val="Heading 2 Char"/>
    <w:basedOn w:val="DefaultParagraphFont"/>
    <w:link w:val="Heading2"/>
    <w:uiPriority w:val="9"/>
    <w:rsid w:val="5D899F29"/>
    <w:rPr>
      <w:rFonts w:ascii="Arial" w:eastAsiaTheme="majorEastAsia" w:hAnsi="Arial" w:cstheme="majorBidi"/>
      <w:noProof w:val="0"/>
      <w:color w:val="000000" w:themeColor="text1"/>
      <w:sz w:val="32"/>
      <w:szCs w:val="32"/>
      <w:lang w:val="en-GB"/>
    </w:rPr>
  </w:style>
  <w:style w:type="paragraph" w:styleId="Title">
    <w:name w:val="Title"/>
    <w:aliases w:val="Document Title"/>
    <w:basedOn w:val="Normal"/>
    <w:next w:val="Subtitle"/>
    <w:link w:val="TitleChar"/>
    <w:uiPriority w:val="10"/>
    <w:qFormat/>
    <w:rsid w:val="5D899F29"/>
    <w:pPr>
      <w:contextualSpacing/>
    </w:pPr>
    <w:rPr>
      <w:rFonts w:eastAsiaTheme="majorEastAsia" w:cstheme="majorBidi"/>
      <w:color w:val="EB0000" w:themeColor="text2"/>
      <w:sz w:val="72"/>
      <w:szCs w:val="72"/>
    </w:rPr>
  </w:style>
  <w:style w:type="character" w:customStyle="1" w:styleId="TitleChar">
    <w:name w:val="Title Char"/>
    <w:aliases w:val="Document Title Char"/>
    <w:basedOn w:val="DefaultParagraphFont"/>
    <w:link w:val="Title"/>
    <w:uiPriority w:val="10"/>
    <w:rsid w:val="5D899F29"/>
    <w:rPr>
      <w:rFonts w:ascii="Arial" w:eastAsiaTheme="majorEastAsia" w:hAnsi="Arial" w:cstheme="majorBidi"/>
      <w:noProof w:val="0"/>
      <w:color w:val="EB0000" w:themeColor="text2"/>
      <w:sz w:val="72"/>
      <w:szCs w:val="72"/>
      <w:lang w:val="en-GB"/>
    </w:rPr>
  </w:style>
  <w:style w:type="paragraph" w:styleId="Subtitle">
    <w:name w:val="Subtitle"/>
    <w:basedOn w:val="Normal"/>
    <w:next w:val="Normal"/>
    <w:link w:val="SubtitleChar"/>
    <w:uiPriority w:val="11"/>
    <w:qFormat/>
    <w:rsid w:val="5D899F29"/>
    <w:rPr>
      <w:rFonts w:cs="Times New Roman (Headings CS)"/>
      <w:color w:val="000000" w:themeColor="text1"/>
      <w:sz w:val="32"/>
      <w:szCs w:val="32"/>
    </w:rPr>
  </w:style>
  <w:style w:type="character" w:customStyle="1" w:styleId="SubtitleChar">
    <w:name w:val="Subtitle Char"/>
    <w:basedOn w:val="DefaultParagraphFont"/>
    <w:link w:val="Subtitle"/>
    <w:uiPriority w:val="11"/>
    <w:rsid w:val="5D899F29"/>
    <w:rPr>
      <w:rFonts w:ascii="Arial" w:eastAsiaTheme="minorEastAsia" w:hAnsi="Arial" w:cs="Times New Roman (Headings CS)"/>
      <w:noProof w:val="0"/>
      <w:color w:val="000000" w:themeColor="text1"/>
      <w:sz w:val="32"/>
      <w:szCs w:val="32"/>
      <w:lang w:val="en-GB"/>
    </w:rPr>
  </w:style>
  <w:style w:type="paragraph" w:styleId="Quote">
    <w:name w:val="Quote"/>
    <w:basedOn w:val="Normal"/>
    <w:next w:val="Normal"/>
    <w:link w:val="QuoteChar"/>
    <w:uiPriority w:val="29"/>
    <w:qFormat/>
    <w:rsid w:val="5D899F29"/>
    <w:pPr>
      <w:spacing w:before="200"/>
      <w:ind w:left="720" w:right="720"/>
    </w:pPr>
    <w:rPr>
      <w:i/>
      <w:iCs/>
      <w:color w:val="404040" w:themeColor="text1" w:themeTint="BF"/>
    </w:rPr>
  </w:style>
  <w:style w:type="character" w:customStyle="1" w:styleId="QuoteChar">
    <w:name w:val="Quote Char"/>
    <w:basedOn w:val="DefaultParagraphFont"/>
    <w:link w:val="Quote"/>
    <w:uiPriority w:val="29"/>
    <w:rsid w:val="5D899F29"/>
    <w:rPr>
      <w:rFonts w:ascii="Arial" w:eastAsiaTheme="minorEastAsia" w:hAnsi="Arial" w:cstheme="minorBidi"/>
      <w:i/>
      <w:iCs/>
      <w:noProof w:val="0"/>
      <w:color w:val="404040" w:themeColor="text1" w:themeTint="BF"/>
      <w:sz w:val="22"/>
      <w:szCs w:val="22"/>
      <w:lang w:val="en-GB"/>
    </w:rPr>
  </w:style>
  <w:style w:type="paragraph" w:styleId="BodyText">
    <w:name w:val="Body Text"/>
    <w:basedOn w:val="Normal"/>
    <w:link w:val="BodyTextChar"/>
    <w:uiPriority w:val="1"/>
    <w:qFormat/>
    <w:rsid w:val="5D899F29"/>
    <w:rPr>
      <w:rFonts w:eastAsia="ArialNova-Light" w:cs="ArialNova-Light"/>
      <w:sz w:val="18"/>
      <w:szCs w:val="18"/>
      <w:lang w:bidi="en-US"/>
    </w:rPr>
  </w:style>
  <w:style w:type="character" w:customStyle="1" w:styleId="BodyTextChar">
    <w:name w:val="Body Text Char"/>
    <w:basedOn w:val="DefaultParagraphFont"/>
    <w:link w:val="BodyText"/>
    <w:uiPriority w:val="1"/>
    <w:rsid w:val="5D899F29"/>
    <w:rPr>
      <w:rFonts w:ascii="Arial" w:eastAsia="ArialNova-Light" w:hAnsi="Arial" w:cs="ArialNova-Light"/>
      <w:noProof w:val="0"/>
      <w:sz w:val="18"/>
      <w:szCs w:val="18"/>
      <w:lang w:val="en-GB" w:bidi="en-US"/>
    </w:rPr>
  </w:style>
  <w:style w:type="paragraph" w:customStyle="1" w:styleId="InsetText">
    <w:name w:val="Inset Text"/>
    <w:basedOn w:val="Normal"/>
    <w:uiPriority w:val="1"/>
    <w:qFormat/>
    <w:rsid w:val="5D899F29"/>
    <w:pPr>
      <w:ind w:left="540" w:right="540"/>
    </w:pPr>
  </w:style>
  <w:style w:type="paragraph" w:customStyle="1" w:styleId="Title2">
    <w:name w:val="Title 2"/>
    <w:basedOn w:val="Normal"/>
    <w:uiPriority w:val="1"/>
    <w:qFormat/>
    <w:rsid w:val="5D899F29"/>
    <w:pPr>
      <w:spacing w:after="120"/>
    </w:pPr>
    <w:rPr>
      <w:color w:val="EB0000" w:themeColor="text2"/>
      <w:sz w:val="44"/>
      <w:szCs w:val="44"/>
    </w:rPr>
  </w:style>
  <w:style w:type="paragraph" w:styleId="NoSpacing">
    <w:name w:val="No Spacing"/>
    <w:link w:val="NoSpacingChar"/>
    <w:uiPriority w:val="1"/>
    <w:qFormat/>
    <w:rsid w:val="00364663"/>
    <w:pPr>
      <w:spacing w:after="120" w:line="240" w:lineRule="auto"/>
    </w:pPr>
    <w:rPr>
      <w:rFonts w:ascii="Arial" w:hAnsi="Arial"/>
      <w:sz w:val="22"/>
    </w:rPr>
  </w:style>
  <w:style w:type="paragraph" w:styleId="BalloonText">
    <w:name w:val="Balloon Text"/>
    <w:basedOn w:val="Normal"/>
    <w:link w:val="BalloonTextChar"/>
    <w:uiPriority w:val="99"/>
    <w:semiHidden/>
    <w:unhideWhenUsed/>
    <w:rsid w:val="5D899F29"/>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5D899F29"/>
    <w:rPr>
      <w:rFonts w:ascii="Times New Roman" w:eastAsiaTheme="minorEastAsia" w:hAnsi="Times New Roman" w:cs="Times New Roman"/>
      <w:noProof w:val="0"/>
      <w:sz w:val="18"/>
      <w:szCs w:val="18"/>
      <w:lang w:val="en-GB"/>
    </w:rPr>
  </w:style>
  <w:style w:type="character" w:customStyle="1" w:styleId="Heading3Char">
    <w:name w:val="Heading 3 Char"/>
    <w:basedOn w:val="DefaultParagraphFont"/>
    <w:link w:val="Heading3"/>
    <w:uiPriority w:val="9"/>
    <w:rsid w:val="5D899F29"/>
    <w:rPr>
      <w:rFonts w:ascii="Arial" w:eastAsiaTheme="majorEastAsia" w:hAnsi="Arial" w:cstheme="majorBidi"/>
      <w:b/>
      <w:bCs/>
      <w:noProof w:val="0"/>
      <w:color w:val="000000" w:themeColor="text1"/>
      <w:sz w:val="28"/>
      <w:szCs w:val="28"/>
      <w:lang w:val="en-GB"/>
    </w:rPr>
  </w:style>
  <w:style w:type="character" w:customStyle="1" w:styleId="Heading4Char">
    <w:name w:val="Heading 4 Char"/>
    <w:basedOn w:val="DefaultParagraphFont"/>
    <w:link w:val="Heading4"/>
    <w:uiPriority w:val="9"/>
    <w:rsid w:val="5D899F29"/>
    <w:rPr>
      <w:rFonts w:ascii="Arial" w:eastAsiaTheme="majorEastAsia" w:hAnsi="Arial" w:cs="Times New Roman (Headings CS)"/>
      <w:b/>
      <w:bCs/>
      <w:noProof w:val="0"/>
      <w:color w:val="000000" w:themeColor="text1"/>
      <w:lang w:val="en-GB"/>
    </w:rPr>
  </w:style>
  <w:style w:type="character" w:customStyle="1" w:styleId="Heading5Char">
    <w:name w:val="Heading 5 Char"/>
    <w:basedOn w:val="DefaultParagraphFont"/>
    <w:link w:val="Heading5"/>
    <w:uiPriority w:val="9"/>
    <w:rsid w:val="5D899F29"/>
    <w:rPr>
      <w:rFonts w:asciiTheme="majorHAnsi" w:eastAsiaTheme="majorEastAsia" w:hAnsiTheme="majorHAnsi" w:cs="Times New Roman (Headings CS)"/>
      <w:b/>
      <w:bCs/>
      <w:caps/>
      <w:noProof w:val="0"/>
      <w:color w:val="000000" w:themeColor="text1"/>
      <w:sz w:val="22"/>
      <w:szCs w:val="22"/>
      <w:lang w:val="en-GB"/>
    </w:rPr>
  </w:style>
  <w:style w:type="character" w:customStyle="1" w:styleId="Heading6Char">
    <w:name w:val="Heading 6 Char"/>
    <w:basedOn w:val="DefaultParagraphFont"/>
    <w:link w:val="Heading6"/>
    <w:uiPriority w:val="9"/>
    <w:rsid w:val="5D899F29"/>
    <w:rPr>
      <w:rFonts w:asciiTheme="majorHAnsi" w:eastAsiaTheme="majorEastAsia" w:hAnsiTheme="majorHAnsi" w:cstheme="majorBidi"/>
      <w:b/>
      <w:bCs/>
      <w:noProof w:val="0"/>
      <w:color w:val="000000" w:themeColor="text1"/>
      <w:sz w:val="22"/>
      <w:szCs w:val="22"/>
      <w:lang w:val="en-GB"/>
    </w:rPr>
  </w:style>
  <w:style w:type="character" w:customStyle="1" w:styleId="Heading7Char">
    <w:name w:val="Heading 7 Char"/>
    <w:basedOn w:val="DefaultParagraphFont"/>
    <w:link w:val="Heading7"/>
    <w:uiPriority w:val="9"/>
    <w:rsid w:val="5D899F29"/>
    <w:rPr>
      <w:rFonts w:asciiTheme="majorHAnsi" w:eastAsiaTheme="majorEastAsia" w:hAnsiTheme="majorHAnsi" w:cstheme="majorBidi"/>
      <w:b/>
      <w:bCs/>
      <w:noProof w:val="0"/>
      <w:color w:val="000000" w:themeColor="text1"/>
      <w:sz w:val="20"/>
      <w:szCs w:val="20"/>
      <w:lang w:val="en-GB"/>
    </w:rPr>
  </w:style>
  <w:style w:type="table" w:styleId="TableGrid">
    <w:name w:val="Table Grid"/>
    <w:aliases w:val="Table no border,Table Grid for Notes/Tips,new tab,Equifax table,Header Table"/>
    <w:basedOn w:val="TableNormal"/>
    <w:uiPriority w:val="39"/>
    <w:rsid w:val="00D6305D"/>
    <w:pPr>
      <w:spacing w:after="0" w:line="240" w:lineRule="auto"/>
    </w:pPr>
    <w:rPr>
      <w:rFonts w:ascii="Arial" w:eastAsia="Times New Roman" w:hAnsi="Arial"/>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next w:val="TableInfo"/>
    <w:uiPriority w:val="1"/>
    <w:qFormat/>
    <w:rsid w:val="5D899F29"/>
    <w:pPr>
      <w:spacing w:after="0"/>
    </w:pPr>
    <w:rPr>
      <w:b/>
      <w:bCs/>
      <w:sz w:val="18"/>
      <w:szCs w:val="18"/>
    </w:rPr>
  </w:style>
  <w:style w:type="paragraph" w:customStyle="1" w:styleId="TableInfo">
    <w:name w:val="Table Info"/>
    <w:qFormat/>
    <w:rsid w:val="00D6305D"/>
    <w:pPr>
      <w:suppressAutoHyphens/>
      <w:spacing w:after="0" w:line="240" w:lineRule="auto"/>
    </w:pPr>
    <w:rPr>
      <w:rFonts w:ascii="Arial" w:hAnsi="Arial"/>
      <w:sz w:val="18"/>
      <w:szCs w:val="15"/>
    </w:rPr>
  </w:style>
  <w:style w:type="paragraph" w:styleId="TOC1">
    <w:name w:val="toc 1"/>
    <w:basedOn w:val="Normal"/>
    <w:next w:val="Normal"/>
    <w:uiPriority w:val="39"/>
    <w:unhideWhenUsed/>
    <w:qFormat/>
    <w:rsid w:val="5D899F29"/>
    <w:pPr>
      <w:spacing w:after="100"/>
    </w:pPr>
    <w:rPr>
      <w:b/>
      <w:bCs/>
      <w:sz w:val="24"/>
      <w:szCs w:val="24"/>
    </w:rPr>
  </w:style>
  <w:style w:type="paragraph" w:styleId="TOC2">
    <w:name w:val="toc 2"/>
    <w:basedOn w:val="Normal"/>
    <w:next w:val="Normal"/>
    <w:uiPriority w:val="39"/>
    <w:unhideWhenUsed/>
    <w:qFormat/>
    <w:rsid w:val="5D899F29"/>
    <w:pPr>
      <w:spacing w:after="100"/>
      <w:ind w:left="220"/>
    </w:pPr>
    <w:rPr>
      <w:b/>
      <w:bCs/>
      <w:sz w:val="20"/>
      <w:szCs w:val="20"/>
    </w:rPr>
  </w:style>
  <w:style w:type="paragraph" w:styleId="TOC3">
    <w:name w:val="toc 3"/>
    <w:basedOn w:val="Normal"/>
    <w:next w:val="Normal"/>
    <w:uiPriority w:val="39"/>
    <w:unhideWhenUsed/>
    <w:qFormat/>
    <w:rsid w:val="5D899F29"/>
    <w:pPr>
      <w:spacing w:after="100"/>
      <w:ind w:left="440"/>
    </w:pPr>
    <w:rPr>
      <w:sz w:val="20"/>
      <w:szCs w:val="20"/>
    </w:rPr>
  </w:style>
  <w:style w:type="character" w:styleId="Hyperlink">
    <w:name w:val="Hyperlink"/>
    <w:basedOn w:val="DefaultParagraphFont"/>
    <w:uiPriority w:val="99"/>
    <w:unhideWhenUsed/>
    <w:rsid w:val="00901E7D"/>
    <w:rPr>
      <w:color w:val="EB0000" w:themeColor="hyperlink"/>
      <w:u w:val="single"/>
    </w:rPr>
  </w:style>
  <w:style w:type="paragraph" w:styleId="TOC4">
    <w:name w:val="toc 4"/>
    <w:basedOn w:val="Normal"/>
    <w:next w:val="Normal"/>
    <w:uiPriority w:val="39"/>
    <w:unhideWhenUsed/>
    <w:rsid w:val="5D899F29"/>
    <w:pPr>
      <w:spacing w:after="100"/>
      <w:ind w:left="660"/>
    </w:pPr>
    <w:rPr>
      <w:sz w:val="20"/>
      <w:szCs w:val="20"/>
    </w:rPr>
  </w:style>
  <w:style w:type="character" w:customStyle="1" w:styleId="NoSpacingChar">
    <w:name w:val="No Spacing Char"/>
    <w:basedOn w:val="DefaultParagraphFont"/>
    <w:link w:val="NoSpacing"/>
    <w:uiPriority w:val="1"/>
    <w:rsid w:val="00F23729"/>
    <w:rPr>
      <w:rFonts w:ascii="Arial" w:hAnsi="Arial"/>
      <w:sz w:val="22"/>
    </w:rPr>
  </w:style>
  <w:style w:type="paragraph" w:styleId="Header">
    <w:name w:val="header"/>
    <w:basedOn w:val="Normal"/>
    <w:link w:val="HeaderChar"/>
    <w:uiPriority w:val="99"/>
    <w:unhideWhenUsed/>
    <w:rsid w:val="5D899F29"/>
    <w:pPr>
      <w:tabs>
        <w:tab w:val="center" w:pos="4680"/>
        <w:tab w:val="right" w:pos="9360"/>
      </w:tabs>
      <w:spacing w:after="0"/>
    </w:pPr>
  </w:style>
  <w:style w:type="character" w:customStyle="1" w:styleId="HeaderChar">
    <w:name w:val="Header Char"/>
    <w:basedOn w:val="DefaultParagraphFont"/>
    <w:link w:val="Header"/>
    <w:uiPriority w:val="99"/>
    <w:rsid w:val="5D899F29"/>
    <w:rPr>
      <w:rFonts w:ascii="Arial" w:eastAsiaTheme="minorEastAsia" w:hAnsi="Arial" w:cstheme="minorBidi"/>
      <w:noProof w:val="0"/>
      <w:sz w:val="22"/>
      <w:szCs w:val="22"/>
      <w:lang w:val="en-GB"/>
    </w:rPr>
  </w:style>
  <w:style w:type="paragraph" w:styleId="Footer">
    <w:name w:val="footer"/>
    <w:basedOn w:val="Normal"/>
    <w:link w:val="FooterChar"/>
    <w:uiPriority w:val="99"/>
    <w:unhideWhenUsed/>
    <w:rsid w:val="5D899F29"/>
    <w:pPr>
      <w:tabs>
        <w:tab w:val="center" w:pos="4680"/>
        <w:tab w:val="right" w:pos="9360"/>
      </w:tabs>
      <w:spacing w:after="0"/>
    </w:pPr>
  </w:style>
  <w:style w:type="character" w:customStyle="1" w:styleId="FooterChar">
    <w:name w:val="Footer Char"/>
    <w:basedOn w:val="DefaultParagraphFont"/>
    <w:link w:val="Footer"/>
    <w:uiPriority w:val="99"/>
    <w:rsid w:val="5D899F29"/>
    <w:rPr>
      <w:rFonts w:ascii="Arial" w:eastAsiaTheme="minorEastAsia" w:hAnsi="Arial" w:cstheme="minorBidi"/>
      <w:noProof w:val="0"/>
      <w:sz w:val="22"/>
      <w:szCs w:val="22"/>
      <w:lang w:val="en-GB"/>
    </w:rPr>
  </w:style>
  <w:style w:type="character" w:customStyle="1" w:styleId="WhiteText">
    <w:name w:val="White Text"/>
    <w:uiPriority w:val="1"/>
    <w:qFormat/>
    <w:rsid w:val="001A017B"/>
    <w:rPr>
      <w:color w:val="FFFFFF" w:themeColor="background1"/>
    </w:rPr>
  </w:style>
  <w:style w:type="paragraph" w:customStyle="1" w:styleId="AddressandName">
    <w:name w:val="Address and Name"/>
    <w:basedOn w:val="Normal"/>
    <w:uiPriority w:val="1"/>
    <w:qFormat/>
    <w:rsid w:val="5D899F29"/>
    <w:pPr>
      <w:spacing w:after="0"/>
    </w:pPr>
  </w:style>
  <w:style w:type="paragraph" w:styleId="ListParagraph">
    <w:name w:val="List Paragraph"/>
    <w:basedOn w:val="Normal"/>
    <w:uiPriority w:val="34"/>
    <w:qFormat/>
    <w:rsid w:val="5D899F29"/>
    <w:pPr>
      <w:ind w:left="720"/>
      <w:contextualSpacing/>
    </w:pPr>
  </w:style>
  <w:style w:type="character" w:customStyle="1" w:styleId="Heading8Char">
    <w:name w:val="Heading 8 Char"/>
    <w:basedOn w:val="DefaultParagraphFont"/>
    <w:link w:val="Heading8"/>
    <w:uiPriority w:val="9"/>
    <w:rsid w:val="5D899F29"/>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5D899F29"/>
    <w:rPr>
      <w:rFonts w:asciiTheme="majorHAnsi" w:eastAsiaTheme="majorEastAsia" w:hAnsiTheme="majorHAnsi" w:cstheme="majorBidi"/>
      <w:i/>
      <w:iCs/>
      <w:noProof w:val="0"/>
      <w:color w:val="272727"/>
      <w:sz w:val="21"/>
      <w:szCs w:val="21"/>
      <w:lang w:val="en-GB"/>
    </w:rPr>
  </w:style>
  <w:style w:type="paragraph" w:styleId="TOC5">
    <w:name w:val="toc 5"/>
    <w:basedOn w:val="Normal"/>
    <w:next w:val="Normal"/>
    <w:uiPriority w:val="39"/>
    <w:unhideWhenUsed/>
    <w:rsid w:val="5D899F29"/>
    <w:pPr>
      <w:spacing w:after="100"/>
      <w:ind w:left="880"/>
    </w:pPr>
  </w:style>
  <w:style w:type="paragraph" w:styleId="TOC6">
    <w:name w:val="toc 6"/>
    <w:basedOn w:val="Normal"/>
    <w:next w:val="Normal"/>
    <w:uiPriority w:val="39"/>
    <w:unhideWhenUsed/>
    <w:rsid w:val="5D899F29"/>
    <w:pPr>
      <w:spacing w:after="100"/>
      <w:ind w:left="1100"/>
    </w:pPr>
  </w:style>
  <w:style w:type="paragraph" w:styleId="TOC7">
    <w:name w:val="toc 7"/>
    <w:basedOn w:val="Normal"/>
    <w:next w:val="Normal"/>
    <w:uiPriority w:val="39"/>
    <w:unhideWhenUsed/>
    <w:rsid w:val="5D899F29"/>
    <w:pPr>
      <w:spacing w:after="100"/>
      <w:ind w:left="1320"/>
    </w:pPr>
  </w:style>
  <w:style w:type="paragraph" w:styleId="TOC8">
    <w:name w:val="toc 8"/>
    <w:basedOn w:val="Normal"/>
    <w:next w:val="Normal"/>
    <w:uiPriority w:val="39"/>
    <w:unhideWhenUsed/>
    <w:rsid w:val="5D899F29"/>
    <w:pPr>
      <w:spacing w:after="100"/>
      <w:ind w:left="1540"/>
    </w:pPr>
  </w:style>
  <w:style w:type="paragraph" w:styleId="TOC9">
    <w:name w:val="toc 9"/>
    <w:basedOn w:val="Normal"/>
    <w:next w:val="Normal"/>
    <w:uiPriority w:val="39"/>
    <w:unhideWhenUsed/>
    <w:rsid w:val="5D899F29"/>
    <w:pPr>
      <w:spacing w:after="100"/>
      <w:ind w:left="1760"/>
    </w:pPr>
  </w:style>
  <w:style w:type="paragraph" w:styleId="EndnoteText">
    <w:name w:val="endnote text"/>
    <w:basedOn w:val="Normal"/>
    <w:link w:val="EndnoteTextChar"/>
    <w:uiPriority w:val="99"/>
    <w:semiHidden/>
    <w:unhideWhenUsed/>
    <w:rsid w:val="5D899F29"/>
    <w:pPr>
      <w:spacing w:after="0"/>
    </w:pPr>
    <w:rPr>
      <w:sz w:val="20"/>
      <w:szCs w:val="20"/>
    </w:rPr>
  </w:style>
  <w:style w:type="character" w:customStyle="1" w:styleId="EndnoteTextChar">
    <w:name w:val="Endnote Text Char"/>
    <w:basedOn w:val="DefaultParagraphFont"/>
    <w:link w:val="EndnoteText"/>
    <w:uiPriority w:val="99"/>
    <w:semiHidden/>
    <w:rsid w:val="5D899F29"/>
    <w:rPr>
      <w:noProof w:val="0"/>
      <w:sz w:val="20"/>
      <w:szCs w:val="20"/>
      <w:lang w:val="en-GB"/>
    </w:rPr>
  </w:style>
  <w:style w:type="paragraph" w:styleId="FootnoteText">
    <w:name w:val="footnote text"/>
    <w:basedOn w:val="Normal"/>
    <w:link w:val="FootnoteTextChar"/>
    <w:uiPriority w:val="99"/>
    <w:semiHidden/>
    <w:unhideWhenUsed/>
    <w:rsid w:val="5D899F29"/>
    <w:pPr>
      <w:spacing w:after="0"/>
    </w:pPr>
    <w:rPr>
      <w:sz w:val="20"/>
      <w:szCs w:val="20"/>
    </w:rPr>
  </w:style>
  <w:style w:type="character" w:customStyle="1" w:styleId="FootnoteTextChar">
    <w:name w:val="Footnote Text Char"/>
    <w:basedOn w:val="DefaultParagraphFont"/>
    <w:link w:val="FootnoteText"/>
    <w:uiPriority w:val="99"/>
    <w:semiHidden/>
    <w:rsid w:val="5D899F29"/>
    <w:rPr>
      <w:noProof w:val="0"/>
      <w:sz w:val="20"/>
      <w:szCs w:val="20"/>
      <w:lang w:val="en-GB"/>
    </w:rPr>
  </w:style>
  <w:style w:type="paragraph" w:styleId="ListBullet">
    <w:name w:val="List Bullet"/>
    <w:basedOn w:val="Normal"/>
    <w:uiPriority w:val="99"/>
    <w:unhideWhenUsed/>
    <w:rsid w:val="00DA2C36"/>
    <w:pPr>
      <w:spacing w:after="120"/>
    </w:pPr>
    <w:rPr>
      <w:rFonts w:ascii="Arial" w:eastAsiaTheme="minorHAnsi" w:hAnsi="Arial"/>
      <w:szCs w:val="24"/>
      <w:lang w:val="en-US"/>
    </w:rPr>
  </w:style>
  <w:style w:type="paragraph" w:styleId="ListBullet2">
    <w:name w:val="List Bullet 2"/>
    <w:basedOn w:val="Normal"/>
    <w:uiPriority w:val="99"/>
    <w:unhideWhenUsed/>
    <w:rsid w:val="00DA2C36"/>
    <w:pPr>
      <w:numPr>
        <w:numId w:val="2"/>
      </w:numPr>
      <w:spacing w:after="120" w:line="276" w:lineRule="auto"/>
      <w:ind w:left="560" w:hanging="280"/>
    </w:pPr>
    <w:rPr>
      <w:rFonts w:ascii="Arial" w:eastAsiaTheme="minorHAnsi" w:hAnsi="Arial"/>
      <w:sz w:val="20"/>
      <w:szCs w:val="24"/>
      <w:lang w:val="en-US"/>
    </w:rPr>
  </w:style>
  <w:style w:type="paragraph" w:styleId="ListBullet3">
    <w:name w:val="List Bullet 3"/>
    <w:basedOn w:val="Normal"/>
    <w:uiPriority w:val="99"/>
    <w:unhideWhenUsed/>
    <w:rsid w:val="00DA2C36"/>
    <w:pPr>
      <w:numPr>
        <w:numId w:val="1"/>
      </w:numPr>
      <w:spacing w:after="120" w:line="276" w:lineRule="auto"/>
      <w:ind w:left="800" w:hanging="240"/>
    </w:pPr>
    <w:rPr>
      <w:rFonts w:ascii="Arial" w:eastAsiaTheme="minorHAnsi" w:hAnsi="Arial"/>
      <w:sz w:val="20"/>
      <w:szCs w:val="24"/>
      <w:lang w:val="en-US"/>
    </w:rPr>
  </w:style>
  <w:style w:type="character" w:styleId="CommentReference">
    <w:name w:val="annotation reference"/>
    <w:basedOn w:val="DefaultParagraphFont"/>
    <w:uiPriority w:val="99"/>
    <w:semiHidden/>
    <w:unhideWhenUsed/>
    <w:rsid w:val="00186241"/>
    <w:rPr>
      <w:sz w:val="16"/>
      <w:szCs w:val="16"/>
    </w:rPr>
  </w:style>
  <w:style w:type="paragraph" w:styleId="CommentText">
    <w:name w:val="annotation text"/>
    <w:basedOn w:val="Normal"/>
    <w:link w:val="CommentTextChar"/>
    <w:uiPriority w:val="99"/>
    <w:unhideWhenUsed/>
    <w:rsid w:val="00186241"/>
    <w:pPr>
      <w:spacing w:line="240" w:lineRule="auto"/>
    </w:pPr>
    <w:rPr>
      <w:sz w:val="20"/>
      <w:szCs w:val="20"/>
    </w:rPr>
  </w:style>
  <w:style w:type="character" w:customStyle="1" w:styleId="CommentTextChar">
    <w:name w:val="Comment Text Char"/>
    <w:basedOn w:val="DefaultParagraphFont"/>
    <w:link w:val="CommentText"/>
    <w:uiPriority w:val="99"/>
    <w:rsid w:val="00186241"/>
    <w:rPr>
      <w:rFonts w:eastAsiaTheme="minorEastAsia"/>
      <w:sz w:val="20"/>
      <w:szCs w:val="20"/>
      <w:lang w:val="en-GB"/>
    </w:rPr>
  </w:style>
  <w:style w:type="paragraph" w:styleId="CommentSubject">
    <w:name w:val="annotation subject"/>
    <w:basedOn w:val="CommentText"/>
    <w:next w:val="CommentText"/>
    <w:link w:val="CommentSubjectChar"/>
    <w:uiPriority w:val="99"/>
    <w:semiHidden/>
    <w:unhideWhenUsed/>
    <w:rsid w:val="00186241"/>
    <w:rPr>
      <w:b/>
      <w:bCs/>
    </w:rPr>
  </w:style>
  <w:style w:type="character" w:customStyle="1" w:styleId="CommentSubjectChar">
    <w:name w:val="Comment Subject Char"/>
    <w:basedOn w:val="CommentTextChar"/>
    <w:link w:val="CommentSubject"/>
    <w:uiPriority w:val="99"/>
    <w:semiHidden/>
    <w:rsid w:val="00186241"/>
    <w:rPr>
      <w:rFonts w:eastAsiaTheme="minorEastAsia"/>
      <w:b/>
      <w:bCs/>
      <w:sz w:val="20"/>
      <w:szCs w:val="20"/>
      <w:lang w:val="en-GB"/>
    </w:rPr>
  </w:style>
  <w:style w:type="character" w:styleId="Mention">
    <w:name w:val="Mention"/>
    <w:basedOn w:val="DefaultParagraphFont"/>
    <w:uiPriority w:val="99"/>
    <w:unhideWhenUsed/>
    <w:rsid w:val="000E2CEA"/>
    <w:rPr>
      <w:color w:val="2B579A"/>
      <w:shd w:val="clear" w:color="auto" w:fill="E1DFDD"/>
    </w:rPr>
  </w:style>
  <w:style w:type="character" w:styleId="UnresolvedMention">
    <w:name w:val="Unresolved Mention"/>
    <w:basedOn w:val="DefaultParagraphFont"/>
    <w:uiPriority w:val="99"/>
    <w:semiHidden/>
    <w:unhideWhenUsed/>
    <w:rsid w:val="00D40AE3"/>
    <w:rPr>
      <w:color w:val="605E5C"/>
      <w:shd w:val="clear" w:color="auto" w:fill="E1DFDD"/>
    </w:rPr>
  </w:style>
  <w:style w:type="character" w:styleId="BookTitle">
    <w:name w:val="Book Title"/>
    <w:basedOn w:val="DefaultParagraphFont"/>
    <w:uiPriority w:val="33"/>
    <w:qFormat/>
    <w:rsid w:val="00D40AE3"/>
    <w:rPr>
      <w:b/>
      <w:bCs/>
      <w:i/>
      <w:iCs/>
      <w:spacing w:val="5"/>
    </w:rPr>
  </w:style>
  <w:style w:type="paragraph" w:styleId="NormalWeb">
    <w:name w:val="Normal (Web)"/>
    <w:basedOn w:val="Normal"/>
    <w:uiPriority w:val="99"/>
    <w:semiHidden/>
    <w:unhideWhenUsed/>
    <w:rsid w:val="003E1920"/>
    <w:pPr>
      <w:spacing w:before="100" w:beforeAutospacing="1" w:after="100" w:afterAutospacing="1" w:line="240" w:lineRule="auto"/>
    </w:pPr>
    <w:rPr>
      <w:rFonts w:ascii="Times New Roman" w:eastAsia="Times New Roman" w:hAnsi="Times New Roman" w:cs="Times New Roman"/>
      <w:sz w:val="24"/>
      <w:szCs w:val="24"/>
      <w:lang w:val="en-IN" w:eastAsia="en-IN" w:bidi="or-IN"/>
    </w:rPr>
  </w:style>
  <w:style w:type="paragraph" w:styleId="Revision">
    <w:name w:val="Revision"/>
    <w:hidden/>
    <w:uiPriority w:val="99"/>
    <w:semiHidden/>
    <w:rsid w:val="003F134A"/>
    <w:pPr>
      <w:spacing w:after="0" w:line="240" w:lineRule="auto"/>
    </w:pPr>
    <w:rPr>
      <w:rFonts w:eastAsiaTheme="minorEastAsia"/>
      <w:sz w:val="22"/>
      <w:szCs w:val="22"/>
      <w:lang w:val="en-GB"/>
    </w:rPr>
  </w:style>
  <w:style w:type="table" w:styleId="GridTable5Dark">
    <w:name w:val="Grid Table 5 Dark"/>
    <w:basedOn w:val="TableNormal"/>
    <w:uiPriority w:val="50"/>
    <w:rsid w:val="00F57DA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5">
    <w:name w:val="Plain Table 5"/>
    <w:basedOn w:val="TableNormal"/>
    <w:uiPriority w:val="45"/>
    <w:rsid w:val="00F57DA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ndnoteReference">
    <w:name w:val="endnote reference"/>
    <w:basedOn w:val="DefaultParagraphFont"/>
    <w:uiPriority w:val="99"/>
    <w:semiHidden/>
    <w:unhideWhenUsed/>
    <w:rsid w:val="00F57DAB"/>
    <w:rPr>
      <w:vertAlign w:val="superscript"/>
    </w:rPr>
  </w:style>
  <w:style w:type="character" w:styleId="FootnoteReference">
    <w:name w:val="footnote reference"/>
    <w:basedOn w:val="DefaultParagraphFont"/>
    <w:uiPriority w:val="99"/>
    <w:semiHidden/>
    <w:unhideWhenUsed/>
    <w:rsid w:val="00F57DAB"/>
    <w:rPr>
      <w:vertAlign w:val="superscript"/>
    </w:rPr>
  </w:style>
  <w:style w:type="table" w:styleId="TableGridLight">
    <w:name w:val="Grid Table Light"/>
    <w:basedOn w:val="TableNormal"/>
    <w:uiPriority w:val="40"/>
    <w:rsid w:val="00F57D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57DA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57DA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Rackspace2019">
  <a:themeElements>
    <a:clrScheme name="Rackspace2019">
      <a:dk1>
        <a:srgbClr val="000000"/>
      </a:dk1>
      <a:lt1>
        <a:srgbClr val="FFFFFF"/>
      </a:lt1>
      <a:dk2>
        <a:srgbClr val="EB0000"/>
      </a:dk2>
      <a:lt2>
        <a:srgbClr val="FFDEDE"/>
      </a:lt2>
      <a:accent1>
        <a:srgbClr val="95008A"/>
      </a:accent1>
      <a:accent2>
        <a:srgbClr val="F6D6F4"/>
      </a:accent2>
      <a:accent3>
        <a:srgbClr val="3300FB"/>
      </a:accent3>
      <a:accent4>
        <a:srgbClr val="E8F1FC"/>
      </a:accent4>
      <a:accent5>
        <a:srgbClr val="00C8BC"/>
      </a:accent5>
      <a:accent6>
        <a:srgbClr val="D1FFFB"/>
      </a:accent6>
      <a:hlink>
        <a:srgbClr val="EB0000"/>
      </a:hlink>
      <a:folHlink>
        <a:srgbClr val="EB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ttle_Card" id="{AE004379-5750-6642-A2A4-75375F1AC4C3}" vid="{43733E6F-C3D0-1846-9258-0471E47E021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36d467e-fe90-4ae0-9fe2-011d77897820">
      <Terms xmlns="http://schemas.microsoft.com/office/infopath/2007/PartnerControls"/>
    </lcf76f155ced4ddcb4097134ff3c332f>
    <TaxCatchAll xmlns="4544b03d-ed08-46e1-a5f8-632fc735be33" xsi:nil="true"/>
    <Tag xmlns="236d467e-fe90-4ae0-9fe2-011d77897820" xsi:nil="true"/>
    <DateandTime xmlns="236d467e-fe90-4ae0-9fe2-011d77897820" xsi:nil="true"/>
    <AssignedTo xmlns="236d467e-fe90-4ae0-9fe2-011d77897820">
      <UserInfo>
        <DisplayName/>
        <AccountId xsi:nil="true"/>
        <AccountType/>
      </UserInfo>
    </AssignedTo>
    <_Flow_SignoffStatus xmlns="236d467e-fe90-4ae0-9fe2-011d7789782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104D1C152C32946844AA72ED5B510AE" ma:contentTypeVersion="26" ma:contentTypeDescription="Create a new document." ma:contentTypeScope="" ma:versionID="bce43857724608d39763b478dc4c9a1d">
  <xsd:schema xmlns:xsd="http://www.w3.org/2001/XMLSchema" xmlns:xs="http://www.w3.org/2001/XMLSchema" xmlns:p="http://schemas.microsoft.com/office/2006/metadata/properties" xmlns:ns1="http://schemas.microsoft.com/sharepoint/v3" xmlns:ns2="236d467e-fe90-4ae0-9fe2-011d77897820" xmlns:ns3="4544b03d-ed08-46e1-a5f8-632fc735be33" targetNamespace="http://schemas.microsoft.com/office/2006/metadata/properties" ma:root="true" ma:fieldsID="1b16391487ab9acfbea2741ef6c7ba04" ns1:_="" ns2:_="" ns3:_="">
    <xsd:import namespace="http://schemas.microsoft.com/sharepoint/v3"/>
    <xsd:import namespace="236d467e-fe90-4ae0-9fe2-011d77897820"/>
    <xsd:import namespace="4544b03d-ed08-46e1-a5f8-632fc735be3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_Flow_SignoffStatu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DateandTime" minOccurs="0"/>
                <xsd:element ref="ns2:MediaServiceObjectDetectorVersions" minOccurs="0"/>
                <xsd:element ref="ns2:AssignedTo" minOccurs="0"/>
                <xsd:element ref="ns2:MediaServiceSearchProperties" minOccurs="0"/>
                <xsd:element ref="ns2:Tag"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6d467e-fe90-4ae0-9fe2-011d778978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Flow_SignoffStatus" ma:index="18" nillable="true" ma:displayName="Sign-off status" ma:internalName="Sign_x002d_off_x0020_status">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de1bf74-4a37-48ce-b614-74b37de43851" ma:termSetId="09814cd3-568e-fe90-9814-8d621ff8fb84" ma:anchorId="fba54fb3-c3e1-fe81-a776-ca4b69148c4d" ma:open="true" ma:isKeyword="false">
      <xsd:complexType>
        <xsd:sequence>
          <xsd:element ref="pc:Terms" minOccurs="0" maxOccurs="1"/>
        </xsd:sequence>
      </xsd:complexType>
    </xsd:element>
    <xsd:element name="DateandTime" ma:index="25" nillable="true" ma:displayName="Date and Time" ma:format="DateOnly" ma:internalName="DateandTime">
      <xsd:simpleType>
        <xsd:restriction base="dms:DateTim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AssignedTo" ma:index="27" nillable="true" ma:displayName="Assigned To" ma:format="Dropdown" ma:list="UserInfo" ma:SharePointGroup="0"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Tag" ma:index="29" nillable="true" ma:displayName="Tag" ma:description="Description of document" ma:format="Dropdown" ma:internalName="Tag">
      <xsd:simpleType>
        <xsd:restriction base="dms:Text">
          <xsd:maxLength value="255"/>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44b03d-ed08-46e1-a5f8-632fc735be3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735703f-a276-49e5-accf-32bfcce930c1}" ma:internalName="TaxCatchAll" ma:showField="CatchAllData" ma:web="4544b03d-ed08-46e1-a5f8-632fc735be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D80417-4DDF-42F6-82C4-BA3759F64E77}">
  <ds:schemaRefs>
    <ds:schemaRef ds:uri="http://schemas.microsoft.com/sharepoint/v3/contenttype/forms"/>
  </ds:schemaRefs>
</ds:datastoreItem>
</file>

<file path=customXml/itemProps2.xml><?xml version="1.0" encoding="utf-8"?>
<ds:datastoreItem xmlns:ds="http://schemas.openxmlformats.org/officeDocument/2006/customXml" ds:itemID="{8F2FA0D6-E6A7-4413-8213-DA2C5C323674}">
  <ds:schemaRefs>
    <ds:schemaRef ds:uri="http://schemas.microsoft.com/office/2006/metadata/properties"/>
    <ds:schemaRef ds:uri="http://schemas.microsoft.com/office/infopath/2007/PartnerControls"/>
    <ds:schemaRef ds:uri="236d467e-fe90-4ae0-9fe2-011d77897820"/>
    <ds:schemaRef ds:uri="4544b03d-ed08-46e1-a5f8-632fc735be33"/>
  </ds:schemaRefs>
</ds:datastoreItem>
</file>

<file path=customXml/itemProps3.xml><?xml version="1.0" encoding="utf-8"?>
<ds:datastoreItem xmlns:ds="http://schemas.openxmlformats.org/officeDocument/2006/customXml" ds:itemID="{EE20914F-BC94-6240-93B5-6ED25D774804}">
  <ds:schemaRefs>
    <ds:schemaRef ds:uri="http://schemas.openxmlformats.org/officeDocument/2006/bibliography"/>
  </ds:schemaRefs>
</ds:datastoreItem>
</file>

<file path=customXml/itemProps4.xml><?xml version="1.0" encoding="utf-8"?>
<ds:datastoreItem xmlns:ds="http://schemas.openxmlformats.org/officeDocument/2006/customXml" ds:itemID="{195F051C-A851-405C-9E80-0E592C9DC701}"/>
</file>

<file path=docMetadata/LabelInfo.xml><?xml version="1.0" encoding="utf-8"?>
<clbl:labelList xmlns:clbl="http://schemas.microsoft.com/office/2020/mipLabelMetadata">
  <clbl:label id="{e7f09a8f-df31-4464-b100-d09a5dbff5c8}" enabled="1" method="Privileged" siteId="{570057f4-73ef-41c8-bcbb-08db2fc15c2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40</Pages>
  <Words>18383</Words>
  <Characters>108829</Characters>
  <Application>Microsoft Office Word</Application>
  <DocSecurity>0</DocSecurity>
  <Lines>2654</Lines>
  <Paragraphs>1719</Paragraphs>
  <ScaleCrop>false</ScaleCrop>
  <Manager/>
  <Company/>
  <LinksUpToDate>false</LinksUpToDate>
  <CharactersWithSpaces>125493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rstewart@rackspace.com</dc:creator>
  <cp:keywords/>
  <dc:description/>
  <cp:lastModifiedBy>Mahesh Desai</cp:lastModifiedBy>
  <cp:revision>712</cp:revision>
  <cp:lastPrinted>2018-11-20T20:19:00Z</cp:lastPrinted>
  <dcterms:created xsi:type="dcterms:W3CDTF">2023-01-29T03:55:00Z</dcterms:created>
  <dcterms:modified xsi:type="dcterms:W3CDTF">2026-05-05T06:50:00Z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0x010100B104D1C152C32946844AA72ED5B510AE</vt:lpwstr>
  </property>
  <property fmtid="{D5CDD505-2E9C-101B-9397-08002B2CF9AE}" pid="3" name="MediaServiceImageTags">
    <vt:lpwstr/>
  </property>
  <property fmtid="{D5CDD505-2E9C-101B-9397-08002B2CF9AE}" pid="4" name="docLang">
    <vt:lpwstr>en</vt:lpwstr>
  </property>
</Properties>
</file>