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LightShading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9406"/>
            <w:gridSpan w:val="2"/>
          </w:tcPr>
          <w:p>
            <w:r>
              <w:rPr>
                <w:b/>
                <w:color w:val="E31C3D"/>
              </w:rPr>
              <w:t>DOCUMENT INFORMATION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Document Purpose:</w:t>
            </w:r>
          </w:p>
        </w:tc>
        <w:tc>
          <w:tcPr>
            <w:tcW w:type="dxa" w:w="4703"/>
          </w:tcPr>
          <w:p>
            <w:r>
              <w:t>The commercial handoff document that initiates the Part 2 migration engagement. Contains: Part 2 scope, timeline, investment, and next steps. The customer signs this at the Phase 4 playback meeting.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CRA Phase:</w:t>
            </w:r>
          </w:p>
        </w:tc>
        <w:tc>
          <w:tcPr>
            <w:tcW w:type="dxa" w:w="4703"/>
          </w:tcPr>
          <w:p>
            <w:r>
              <w:t>Phase 4: Planning -- Part 2 Handoff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Target Audience:</w:t>
            </w:r>
          </w:p>
        </w:tc>
        <w:tc>
          <w:tcPr>
            <w:tcW w:type="dxa" w:w="4703"/>
          </w:tcPr>
          <w:p>
            <w:r>
              <w:t>Customer CTO/CFO (for signature) + Rackspace Pre-Sales (for pricing)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When to Complete:</w:t>
            </w:r>
          </w:p>
        </w:tc>
        <w:tc>
          <w:tcPr>
            <w:tcW w:type="dxa" w:w="4703"/>
          </w:tcPr>
          <w:p>
            <w:r>
              <w:t>Phase 4 weeks 3-5; present at Phase 4 playback and leave for signature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Est. Time:</w:t>
            </w:r>
          </w:p>
        </w:tc>
        <w:tc>
          <w:tcPr>
            <w:tcW w:type="dxa" w:w="4703"/>
          </w:tcPr>
          <w:p>
            <w:r>
              <w:t>6-8 hours (much of content comes from Phase 3 outputs); 8-12 pages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Version:</w:t>
            </w:r>
          </w:p>
        </w:tc>
        <w:tc>
          <w:tcPr>
            <w:tcW w:type="dxa" w:w="4703"/>
          </w:tcPr>
          <w:p>
            <w:r>
              <w:t>v1.0</w:t>
            </w:r>
          </w:p>
        </w:tc>
      </w:tr>
      <w:tr>
        <w:tc>
          <w:tcPr>
            <w:tcW w:type="dxa" w:w="9406"/>
            <w:gridSpan w:val="2"/>
          </w:tcPr>
          <w:p>
            <w:r>
              <w:rPr>
                <w:b/>
              </w:rPr>
              <w:t>WHAT TO CUSTOMISE</w:t>
              <w:br/>
              <w:t>- Section 3 (Hyperscaler Recommendation): copy from Phase 3 report; do not re-derive</w:t>
              <w:br/>
              <w:t>- Section 4 (TCO Summary): reference Phase 3 TCO model; use 3-year net figure</w:t>
              <w:br/>
              <w:t>- Section 5 (Partner Funding): confirm AMM/MAP/PSO registration status with Alliance Manager</w:t>
              <w:br/>
              <w:t>- Section 10 (Investment): obtain pricing from Pre-Sales; do not estimate without approval</w:t>
            </w:r>
          </w:p>
        </w:tc>
      </w:tr>
      <w:tr>
        <w:tc>
          <w:tcPr>
            <w:tcW w:type="dxa" w:w="9406"/>
            <w:gridSpan w:val="2"/>
          </w:tcPr>
          <w:p>
            <w:r>
              <w:t>Template version: v1.0 -- CRA Framework v2.0 -- Rackspace Cloud Solutions Architecture</w:t>
            </w:r>
          </w:p>
        </w:tc>
      </w:tr>
      <w:tr>
        <w:tc>
          <w:tcPr>
            <w:tcW w:type="dxa" w:w="9406"/>
            <w:gridSpan w:val="2"/>
          </w:tcPr>
          <w:p>
            <w:r>
              <w:rPr>
                <w:b/>
                <w:color w:val="E31C3D"/>
              </w:rPr>
              <w:t>IMPORTANT: AMM/MAP/PSO deal registration must be COMPLETE before Rackspace countersigns this document. Check with the Alliance Manager before preparing Section 5. See docs/DMG-MEDIA-UK-LESSONS-LEARNED.md Lesson 5.</w:t>
            </w:r>
          </w:p>
        </w:tc>
      </w:tr>
    </w:tbl>
    <w:p/>
    <w:p>
      <w:pPr>
        <w:sectPr>
          <w:pgSz w:w="12240" w:h="15840"/>
          <w:pgMar w:top="1134" w:right="1417" w:bottom="1134" w:left="1417" w:header="720" w:footer="720" w:gutter="0"/>
          <w:cols w:space="720"/>
          <w:docGrid w:linePitch="360"/>
        </w:sectPr>
      </w:pPr>
    </w:p>
    <w:p>
      <w:pPr>
        <w:jc w:val="center"/>
      </w:pPr>
      <w:r>
        <w:br/>
        <w:br/>
        <w:br/>
      </w:r>
    </w:p>
    <w:p>
      <w:pPr>
        <w:jc w:val="center"/>
      </w:pPr>
      <w:r>
        <w:rPr>
          <w:b/>
          <w:color w:val="E31C3D"/>
          <w:sz w:val="56"/>
        </w:rPr>
        <w:t>CLOUD READINESS ASSESSMENT</w:t>
      </w:r>
    </w:p>
    <w:p>
      <w:pPr>
        <w:jc w:val="center"/>
      </w:pPr>
      <w:r>
        <w:rPr>
          <w:b/>
          <w:color w:val="1A1F36"/>
          <w:sz w:val="44"/>
        </w:rPr>
        <w:t>Part 2 Entry Point</w:t>
      </w:r>
    </w:p>
    <w:p>
      <w:pPr>
        <w:spacing w:after="0" w:before="0"/>
      </w:pPr>
    </w:p>
    <w:p>
      <w:pPr>
        <w:spacing w:after="0" w:before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00"/>
          </w:tcPr>
          <w:p>
            <w:r/>
            <w:r>
              <w:rPr>
                <w:b/>
                <w:i w:val="0"/>
                <w:sz w:val="22"/>
              </w:rPr>
              <w:t>Customer: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i w:val="0"/>
                <w:sz w:val="22"/>
              </w:rPr>
              <w:t>[CUSTOMER LEGAL ENTITY NAME]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/>
                <w:i w:val="0"/>
                <w:sz w:val="22"/>
              </w:rPr>
              <w:t>Prepared By: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i w:val="0"/>
                <w:sz w:val="22"/>
              </w:rPr>
              <w:t>[LEAD ARCHITECT NAME], Rackspace Technology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/>
                <w:i w:val="0"/>
                <w:sz w:val="22"/>
              </w:rPr>
              <w:t>Engagement Reference: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i w:val="0"/>
                <w:sz w:val="22"/>
              </w:rPr>
              <w:t>[ENGAGEMENT ID / SOW REFERENCE]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/>
                <w:i w:val="0"/>
                <w:sz w:val="22"/>
              </w:rPr>
              <w:t>Date: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i w:val="0"/>
                <w:sz w:val="22"/>
              </w:rPr>
              <w:t>[DD Month YYYY]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/>
                <w:i w:val="0"/>
                <w:sz w:val="22"/>
              </w:rPr>
              <w:t>Document Version: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i w:val="0"/>
                <w:sz w:val="22"/>
              </w:rPr>
              <w:t>1.0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/>
                <w:i w:val="0"/>
                <w:sz w:val="22"/>
              </w:rPr>
              <w:t>Classification: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i w:val="0"/>
                <w:sz w:val="22"/>
              </w:rPr>
              <w:t>Client Confidential</w:t>
            </w:r>
          </w:p>
        </w:tc>
      </w:tr>
    </w:tbl>
    <w:p>
      <w:pPr>
        <w:spacing w:after="0" w:before="0"/>
      </w:pPr>
    </w:p>
    <w:p>
      <w:pPr>
        <w:spacing w:after="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4FD"/>
          </w:tcPr>
          <w:p>
            <w:r>
              <w:rPr>
                <w:i/>
                <w:color w:val="1A1F36"/>
                <w:sz w:val="20"/>
              </w:rPr>
              <w:t>Footer on all pages: [Customer Name] — Cloud Readiness Assessment Part 2 Entry Point — Rackspace Confidential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E31C3D"/>
        </w:rPr>
        <w:t>How to Use This Template</w:t>
      </w:r>
    </w:p>
    <w:p>
      <w:pPr>
        <w:spacing w:after="80"/>
      </w:pPr>
      <w:r>
        <w:rPr>
          <w:b w:val="0"/>
          <w:i w:val="0"/>
          <w:sz w:val="21"/>
        </w:rPr>
        <w:t>This document is the authoring blueprint for the Part 2 Entry Point. Work through each section in order. Every section includes: Purpose, Required Content, Format, and a populated DMG Media UK example.</w:t>
      </w:r>
    </w:p>
    <w:p>
      <w:pPr>
        <w:pStyle w:val="ListBullet"/>
        <w:spacing w:after="40"/>
        <w:ind w:left="360"/>
      </w:pPr>
      <w:r>
        <w:rPr>
          <w:sz w:val="21"/>
        </w:rPr>
        <w:t>Replace all [PLACEHOLDER] text with engagement-specific content</w:t>
      </w:r>
    </w:p>
    <w:p>
      <w:pPr>
        <w:pStyle w:val="ListBullet"/>
        <w:spacing w:after="40"/>
        <w:ind w:left="360"/>
      </w:pPr>
      <w:r>
        <w:rPr>
          <w:sz w:val="21"/>
        </w:rPr>
        <w:t>Tables with 'TEMPLATE ROW' labels: duplicate the row for each item in your engagement</w:t>
      </w:r>
    </w:p>
    <w:p>
      <w:pPr>
        <w:pStyle w:val="ListBullet"/>
        <w:spacing w:after="40"/>
        <w:ind w:left="360"/>
      </w:pPr>
      <w:r>
        <w:rPr>
          <w:sz w:val="21"/>
        </w:rPr>
        <w:t>Sections marked with [MANDATORY] must not be omitted — write 'TBD — [reason]' if data is incomplete</w:t>
      </w:r>
    </w:p>
    <w:p>
      <w:pPr>
        <w:pStyle w:val="ListBullet"/>
        <w:spacing w:after="40"/>
        <w:ind w:left="360"/>
      </w:pPr>
      <w:r>
        <w:rPr>
          <w:sz w:val="21"/>
        </w:rPr>
        <w:t>Sections marked [OPTIONAL] are strongly recommended for enterprise customers</w:t>
      </w:r>
    </w:p>
    <w:p>
      <w:pPr>
        <w:spacing w:after="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31C3D"/>
          </w:tcPr>
          <w:p>
            <w:r>
              <w:rPr>
                <w:b/>
                <w:color w:val="FFFFFF"/>
                <w:sz w:val="26"/>
              </w:rPr>
              <w:t>SECTION 1 — EXECUTIVE SUMMARY  [MANDATORY]</w:t>
            </w:r>
          </w:p>
        </w:tc>
      </w:tr>
    </w:tbl>
    <w:p>
      <w:pPr>
        <w:spacing w:after="0" w:before="0"/>
      </w:pPr>
    </w:p>
    <w:p>
      <w:pPr>
        <w:pStyle w:val="Heading2"/>
      </w:pPr>
      <w:r>
        <w:rPr>
          <w:color w:val="E31C3D"/>
        </w:rPr>
        <w:t>1. Executive Summary</w:t>
      </w:r>
    </w:p>
    <w:p>
      <w:pPr>
        <w:spacing w:after="80"/>
      </w:pPr>
      <w:r>
        <w:rPr>
          <w:b w:val="0"/>
          <w:i/>
          <w:sz w:val="21"/>
        </w:rPr>
        <w:t>Purpose: Give the CTO/CFO a one-page standalone summary they can extract for their board. If they read nothing else, they read this.</w:t>
      </w:r>
    </w:p>
    <w:p>
      <w:pPr>
        <w:spacing w:after="80"/>
      </w:pPr>
      <w:r>
        <w:rPr>
          <w:b/>
          <w:i w:val="0"/>
          <w:sz w:val="21"/>
        </w:rPr>
        <w:t>Required content (in order):</w:t>
      </w:r>
    </w:p>
    <w:p>
      <w:pPr>
        <w:pStyle w:val="ListBullet"/>
        <w:spacing w:after="40"/>
        <w:ind w:left="360"/>
      </w:pPr>
      <w:r>
        <w:rPr>
          <w:sz w:val="21"/>
        </w:rPr>
        <w:t>One-sentence engagement statement — what was assessed, by whom, over what period</w:t>
      </w:r>
    </w:p>
    <w:p>
      <w:pPr>
        <w:pStyle w:val="ListBullet"/>
        <w:spacing w:after="40"/>
        <w:ind w:left="360"/>
      </w:pPr>
      <w:r>
        <w:rPr>
          <w:sz w:val="21"/>
        </w:rPr>
        <w:t>Estate summary — total VMs/servers, application count, DC locations assessed</w:t>
      </w:r>
    </w:p>
    <w:p>
      <w:pPr>
        <w:pStyle w:val="ListBullet"/>
        <w:spacing w:after="40"/>
        <w:ind w:left="360"/>
      </w:pPr>
      <w:r>
        <w:rPr>
          <w:sz w:val="21"/>
        </w:rPr>
        <w:t>Recommended hyperscaler — primary + rationale in two sentences</w:t>
      </w:r>
    </w:p>
    <w:p>
      <w:pPr>
        <w:pStyle w:val="ListBullet"/>
        <w:spacing w:after="40"/>
        <w:ind w:left="360"/>
      </w:pPr>
      <w:r>
        <w:rPr>
          <w:sz w:val="21"/>
        </w:rPr>
        <w:t>Three-year TCO summary — on-prem baseline vs. recommended cloud (net saving / net increase + %)</w:t>
      </w:r>
    </w:p>
    <w:p>
      <w:pPr>
        <w:pStyle w:val="ListBullet"/>
        <w:spacing w:after="40"/>
        <w:ind w:left="360"/>
      </w:pPr>
      <w:r>
        <w:rPr>
          <w:sz w:val="21"/>
        </w:rPr>
        <w:t>Partner funding identified — AMM / MAP / PSO credits available (£/$ headline figure)</w:t>
      </w:r>
    </w:p>
    <w:p>
      <w:pPr>
        <w:pStyle w:val="ListBullet"/>
        <w:spacing w:after="40"/>
        <w:ind w:left="360"/>
      </w:pPr>
      <w:r>
        <w:rPr>
          <w:sz w:val="21"/>
        </w:rPr>
        <w:t>Recommended next step — one sentence describing what Part 2 is and the proposed start date</w:t>
      </w:r>
    </w:p>
    <w:p>
      <w:pPr>
        <w:spacing w:after="80"/>
      </w:pPr>
      <w:r>
        <w:rPr>
          <w:b w:val="0"/>
          <w:i/>
          <w:color w:val="444444"/>
          <w:sz w:val="21"/>
        </w:rPr>
        <w:t>Format: Boxed 'At a Glance' summary table + 2–3 paragraph narrative. Maximum 1 page.</w:t>
      </w:r>
    </w:p>
    <w:p>
      <w:pPr>
        <w:spacing w:after="0" w:before="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032"/>
            <w:shd w:val="clear" w:color="auto" w:fill="E31C3D"/>
          </w:tcPr>
          <w:p>
            <w:r/>
            <w:r>
              <w:rPr>
                <w:b/>
                <w:i w:val="0"/>
                <w:color w:val="FFFFFF"/>
                <w:sz w:val="19"/>
              </w:rPr>
              <w:t>At a Glance</w:t>
            </w:r>
          </w:p>
        </w:tc>
        <w:tc>
          <w:tcPr>
            <w:tcW w:type="dxa" w:w="5760"/>
            <w:shd w:val="clear" w:color="auto" w:fill="E31C3D"/>
          </w:tcPr>
          <w:p>
            <w:r/>
            <w:r>
              <w:rPr>
                <w:b/>
                <w:i w:val="0"/>
                <w:color w:val="FFFFFF"/>
                <w:sz w:val="19"/>
              </w:rPr>
            </w:r>
          </w:p>
        </w:tc>
      </w:tr>
      <w:tr>
        <w:tc>
          <w:tcPr>
            <w:tcW w:type="dxa" w:w="4032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Organisation</w:t>
            </w:r>
          </w:p>
        </w:tc>
        <w:tc>
          <w:tcPr>
            <w:tcW w:type="dxa" w:w="5760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[CUSTOMER NAME]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  <w:t>Assessment Period</w:t>
            </w:r>
          </w:p>
        </w:tc>
        <w:tc>
          <w:tcPr>
            <w:tcW w:type="dxa" w:w="5760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  <w:t>[Start Date] – [End Date]  ([N] weeks)</w:t>
            </w:r>
          </w:p>
        </w:tc>
      </w:tr>
      <w:tr>
        <w:tc>
          <w:tcPr>
            <w:tcW w:type="dxa" w:w="4032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Estate Assessed</w:t>
            </w:r>
          </w:p>
        </w:tc>
        <w:tc>
          <w:tcPr>
            <w:tcW w:type="dxa" w:w="5760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[N] VMs · [N] applications · [N] data centres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  <w:t>Recommended Hyperscaler</w:t>
            </w:r>
          </w:p>
        </w:tc>
        <w:tc>
          <w:tcPr>
            <w:tcW w:type="dxa" w:w="5760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  <w:t>[PRIMARY CLOUD] — [REGION]</w:t>
            </w:r>
          </w:p>
        </w:tc>
      </w:tr>
      <w:tr>
        <w:tc>
          <w:tcPr>
            <w:tcW w:type="dxa" w:w="4032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3-Year TCO: On-Premises</w:t>
            </w:r>
          </w:p>
        </w:tc>
        <w:tc>
          <w:tcPr>
            <w:tcW w:type="dxa" w:w="5760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£/$ [X]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  <w:t>3-Year TCO: Recommended Cloud (Optimised + Partner Funding)</w:t>
            </w:r>
          </w:p>
        </w:tc>
        <w:tc>
          <w:tcPr>
            <w:tcW w:type="dxa" w:w="5760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  <w:t>£/$ [X]  ([Y]% saving)</w:t>
            </w:r>
          </w:p>
        </w:tc>
      </w:tr>
      <w:tr>
        <w:tc>
          <w:tcPr>
            <w:tcW w:type="dxa" w:w="4032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Partner Funding Identified</w:t>
            </w:r>
          </w:p>
        </w:tc>
        <w:tc>
          <w:tcPr>
            <w:tcW w:type="dxa" w:w="5760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[AMM / MAP / PSO] — estimated £/$ [X]–[Y]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  <w:t>Recommended Next Step</w:t>
            </w:r>
          </w:p>
        </w:tc>
        <w:tc>
          <w:tcPr>
            <w:tcW w:type="dxa" w:w="5760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  <w:t>[Part 2 description] — proposed start [Quarter Year]</w:t>
            </w:r>
          </w:p>
        </w:tc>
      </w:tr>
    </w:tbl>
    <w:p>
      <w:pPr>
        <w:spacing w:after="0" w:before="0"/>
      </w:pPr>
    </w:p>
    <w:p>
      <w:pPr>
        <w:spacing w:after="80"/>
      </w:pPr>
      <w:r>
        <w:rPr>
          <w:b/>
          <w:i w:val="0"/>
          <w:sz w:val="21"/>
        </w:rPr>
        <w:t>Narrative (2–3 paragraphs):</w:t>
      </w:r>
    </w:p>
    <w:p>
      <w:pPr>
        <w:spacing w:after="80"/>
      </w:pPr>
      <w:r>
        <w:rPr>
          <w:b w:val="0"/>
          <w:i w:val="0"/>
          <w:sz w:val="21"/>
        </w:rPr>
        <w:t>Rackspace Technology completed a Cloud Readiness Assessment of [CUSTOMER NAME]'s on-premises estate across [N] data centres from [Start Month] to [End Month] [Year]. The assessment covered [N] virtual machines, [N] Oracle RAC clusters, and approximately [N] in-scope applications.</w:t>
      </w:r>
    </w:p>
    <w:p>
      <w:pPr>
        <w:spacing w:after="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4FD"/>
          </w:tcPr>
          <w:p>
            <w:r>
              <w:rPr>
                <w:i/>
                <w:color w:val="1A1F36"/>
                <w:sz w:val="20"/>
              </w:rPr>
              <w:t>DMG Media UK example: Rackspace Technology completed a Cloud Readiness Assessment of DMG Media UK's on-premises estate across two London data centres from February to May 2026. The assessment covered 4,212 virtual machines, 18 Oracle RAC clusters, and approximately 280 in-scope applications. Primary recommendation: Microsoft Azure (UK South primary, UK West DR). Three-year TCO: On-premises status quo £18.4M. Azure (3-year RI, AHB applied) £11.2M. Net saving: £7.2M (39%) before AMM funding. Partner funding: Microsoft AMM eligibility identified — estimated £800K–£1.2M.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31C3D"/>
          </w:tcPr>
          <w:p>
            <w:r>
              <w:rPr>
                <w:b/>
                <w:color w:val="FFFFFF"/>
                <w:sz w:val="26"/>
              </w:rPr>
              <w:t>SECTION 2 — SCOPE OF PART 1 ASSESSMENT  [MANDATORY]</w:t>
            </w:r>
          </w:p>
        </w:tc>
      </w:tr>
    </w:tbl>
    <w:p>
      <w:pPr>
        <w:spacing w:after="0" w:before="0"/>
      </w:pPr>
    </w:p>
    <w:p>
      <w:pPr>
        <w:pStyle w:val="Heading2"/>
      </w:pPr>
      <w:r>
        <w:rPr>
          <w:color w:val="E31C3D"/>
        </w:rPr>
        <w:t>2. Scope of Part 1 Assessment</w:t>
      </w:r>
    </w:p>
    <w:p>
      <w:pPr>
        <w:pStyle w:val="Heading3"/>
      </w:pPr>
      <w:r>
        <w:rPr>
          <w:color w:val="E31C3D"/>
        </w:rPr>
        <w:t>2.1 Estate Summary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4032"/>
            <w:shd w:val="clear" w:color="auto" w:fill="E31C3D"/>
          </w:tcPr>
          <w:p>
            <w:r/>
            <w:r>
              <w:rPr>
                <w:b/>
                <w:i w:val="0"/>
                <w:color w:val="FFFFFF"/>
                <w:sz w:val="19"/>
              </w:rPr>
              <w:t>Category</w:t>
            </w:r>
          </w:p>
        </w:tc>
        <w:tc>
          <w:tcPr>
            <w:tcW w:type="dxa" w:w="1728"/>
            <w:shd w:val="clear" w:color="auto" w:fill="E31C3D"/>
          </w:tcPr>
          <w:p>
            <w:r/>
            <w:r>
              <w:rPr>
                <w:b/>
                <w:i w:val="0"/>
                <w:color w:val="FFFFFF"/>
                <w:sz w:val="19"/>
              </w:rPr>
              <w:t>Count</w:t>
            </w:r>
          </w:p>
        </w:tc>
        <w:tc>
          <w:tcPr>
            <w:tcW w:type="dxa" w:w="4032"/>
            <w:shd w:val="clear" w:color="auto" w:fill="E31C3D"/>
          </w:tcPr>
          <w:p>
            <w:r/>
            <w:r>
              <w:rPr>
                <w:b/>
                <w:i w:val="0"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4032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Virtual Machines (in scope)</w:t>
            </w:r>
          </w:p>
        </w:tc>
        <w:tc>
          <w:tcPr>
            <w:tcW w:type="dxa" w:w="1728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[N]</w:t>
            </w:r>
          </w:p>
        </w:tc>
        <w:tc>
          <w:tcPr>
            <w:tcW w:type="dxa" w:w="4032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[TEMPLATE ROW — add rows as needed]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  <w:t>Physical Servers</w:t>
            </w:r>
          </w:p>
        </w:tc>
        <w:tc>
          <w:tcPr>
            <w:tcW w:type="dxa" w:w="1728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  <w:t>[N]</w:t>
            </w:r>
          </w:p>
        </w:tc>
        <w:tc>
          <w:tcPr>
            <w:tcW w:type="dxa" w:w="4032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4032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Oracle RAC clusters</w:t>
            </w:r>
          </w:p>
        </w:tc>
        <w:tc>
          <w:tcPr>
            <w:tcW w:type="dxa" w:w="1728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[N]</w:t>
            </w:r>
          </w:p>
        </w:tc>
        <w:tc>
          <w:tcPr>
            <w:tcW w:type="dxa" w:w="4032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4032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  <w:t>SQL Server instances</w:t>
            </w:r>
          </w:p>
        </w:tc>
        <w:tc>
          <w:tcPr>
            <w:tcW w:type="dxa" w:w="1728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  <w:t>[N]</w:t>
            </w:r>
          </w:p>
        </w:tc>
        <w:tc>
          <w:tcPr>
            <w:tcW w:type="dxa" w:w="4032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4032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Applications profiled</w:t>
            </w:r>
          </w:p>
        </w:tc>
        <w:tc>
          <w:tcPr>
            <w:tcW w:type="dxa" w:w="1728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[N]</w:t>
            </w:r>
          </w:p>
        </w:tc>
        <w:tc>
          <w:tcPr>
            <w:tcW w:type="dxa" w:w="4032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4032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  <w:t>Data centres / locations</w:t>
            </w:r>
          </w:p>
        </w:tc>
        <w:tc>
          <w:tcPr>
            <w:tcW w:type="dxa" w:w="1728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  <w:t>[N]</w:t>
            </w:r>
          </w:p>
        </w:tc>
        <w:tc>
          <w:tcPr>
            <w:tcW w:type="dxa" w:w="4032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  <w:t>[Location names]</w:t>
            </w:r>
          </w:p>
        </w:tc>
      </w:tr>
      <w:tr>
        <w:tc>
          <w:tcPr>
            <w:tcW w:type="dxa" w:w="4032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Assessment period</w:t>
            </w:r>
          </w:p>
        </w:tc>
        <w:tc>
          <w:tcPr>
            <w:tcW w:type="dxa" w:w="1728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[Start] – [End]</w:t>
            </w:r>
          </w:p>
        </w:tc>
        <w:tc>
          <w:tcPr>
            <w:tcW w:type="dxa" w:w="4032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[N] weeks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4FD"/>
          </w:tcPr>
          <w:p>
            <w:r>
              <w:rPr>
                <w:i/>
                <w:color w:val="1A1F36"/>
                <w:sz w:val="20"/>
              </w:rPr>
              <w:t>DMG Media UK example: 4,212 VMs · 18 Oracle RAC · 340+ SQL Server · 280 applications · 2 DCs (London Docklands + Sovereign House) · 16 weeks.</w:t>
            </w:r>
          </w:p>
        </w:tc>
      </w:tr>
    </w:tbl>
    <w:p>
      <w:pPr>
        <w:spacing w:after="0" w:before="0"/>
      </w:pPr>
    </w:p>
    <w:p>
      <w:pPr>
        <w:pStyle w:val="Heading3"/>
      </w:pPr>
      <w:r>
        <w:rPr>
          <w:color w:val="E31C3D"/>
        </w:rPr>
        <w:t>2.2 What Was Out of Scope</w:t>
      </w:r>
    </w:p>
    <w:p>
      <w:pPr>
        <w:spacing w:after="80"/>
      </w:pPr>
      <w:r>
        <w:rPr>
          <w:b w:val="0"/>
          <w:i w:val="0"/>
          <w:sz w:val="21"/>
        </w:rPr>
        <w:t>List any assets explicitly excluded. This prevents scope creep in Part 2 or disputes about what was and was not assessed.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5040"/>
            <w:shd w:val="clear" w:color="auto" w:fill="E31C3D"/>
          </w:tcPr>
          <w:p>
            <w:r/>
            <w:r>
              <w:rPr>
                <w:b/>
                <w:i w:val="0"/>
                <w:color w:val="FFFFFF"/>
                <w:sz w:val="19"/>
              </w:rPr>
              <w:t>Asset / Area</w:t>
            </w:r>
          </w:p>
        </w:tc>
        <w:tc>
          <w:tcPr>
            <w:tcW w:type="dxa" w:w="4752"/>
            <w:shd w:val="clear" w:color="auto" w:fill="E31C3D"/>
          </w:tcPr>
          <w:p>
            <w:r/>
            <w:r>
              <w:rPr>
                <w:b/>
                <w:i w:val="0"/>
                <w:color w:val="FFFFFF"/>
                <w:sz w:val="19"/>
              </w:rPr>
              <w:t>Reason Out of Scope</w:t>
            </w:r>
          </w:p>
        </w:tc>
      </w:tr>
      <w:tr>
        <w:tc>
          <w:tcPr>
            <w:tcW w:type="dxa" w:w="5040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[TEMPLATE ROW]</w:t>
            </w:r>
          </w:p>
        </w:tc>
        <w:tc>
          <w:tcPr>
            <w:tcW w:type="dxa" w:w="4752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[TEMPLATE ROW]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4FD"/>
          </w:tcPr>
          <w:p>
            <w:r>
              <w:rPr>
                <w:i/>
                <w:color w:val="1A1F36"/>
                <w:sz w:val="20"/>
              </w:rPr>
              <w:t>DMG Media UK example: Network infrastructure redesign (flagged as Part 2 workstream) · SaaS applications (separate SaaS rationalisation workstream) · DR/BC detailed design (preliminary flags only in Part 1).</w:t>
            </w:r>
          </w:p>
        </w:tc>
      </w:tr>
    </w:tbl>
    <w:p>
      <w:pPr>
        <w:spacing w:after="0" w:before="0"/>
      </w:pPr>
    </w:p>
    <w:p>
      <w:pPr>
        <w:pStyle w:val="Heading3"/>
      </w:pPr>
      <w:r>
        <w:rPr>
          <w:color w:val="E31C3D"/>
        </w:rPr>
        <w:t>2.3 Scope Variance Note  [MANDATORY if applicable]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3CD"/>
          </w:tcPr>
          <w:p>
            <w:r>
              <w:rPr>
                <w:b/>
                <w:color w:val="856404"/>
                <w:sz w:val="20"/>
              </w:rPr>
              <w:t>MANDATORY — If scope grew during the engagement, document it here to protect Part 2 commercial baseline.</w:t>
            </w:r>
          </w:p>
        </w:tc>
      </w:tr>
    </w:tbl>
    <w:p>
      <w:pPr>
        <w:spacing w:after="0" w:before="0"/>
      </w:pPr>
    </w:p>
    <w:p>
      <w:pPr>
        <w:spacing w:after="80"/>
      </w:pPr>
      <w:r>
        <w:rPr>
          <w:b w:val="0"/>
          <w:i w:val="0"/>
          <w:sz w:val="21"/>
        </w:rPr>
        <w:t>"The original SOW estimated [N] in-scope VMs. Final assessed estate was [N] VMs — a [X]% variance. This variance was managed through [agreed mechanism: change control / extended timeline / additional resource]. The Part 2 SOW should be scoped against the final assessed figure of [N] VMs."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4FD"/>
          </w:tcPr>
          <w:p>
            <w:r>
              <w:rPr>
                <w:i/>
                <w:color w:val="1A1F36"/>
                <w:sz w:val="20"/>
              </w:rPr>
              <w:t>DMG Media UK example: Original SOW: 2,700 VMs. Final estate: 4,212 VMs. 57% variance. Managed through phased scope expansion with customer approval. Part 2 SOW must be scoped at 4,212 VMs.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31C3D"/>
          </w:tcPr>
          <w:p>
            <w:r>
              <w:rPr>
                <w:b/>
                <w:color w:val="FFFFFF"/>
                <w:sz w:val="26"/>
              </w:rPr>
              <w:t>SECTION 3 — HYPERSCALER RECOMMENDATION  [MANDATORY]</w:t>
            </w:r>
          </w:p>
        </w:tc>
      </w:tr>
    </w:tbl>
    <w:p>
      <w:pPr>
        <w:spacing w:after="0" w:before="0"/>
      </w:pPr>
    </w:p>
    <w:p>
      <w:pPr>
        <w:pStyle w:val="Heading2"/>
      </w:pPr>
      <w:r>
        <w:rPr>
          <w:color w:val="E31C3D"/>
        </w:rPr>
        <w:t>3. Hyperscaler Recommendation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3CD"/>
          </w:tcPr>
          <w:p>
            <w:r>
              <w:rPr>
                <w:b/>
                <w:color w:val="856404"/>
                <w:sz w:val="20"/>
              </w:rPr>
              <w:t>Evidence before recommendation — always show the data first. Section 3.1 (scoring table) must come before Section 3.2 (recommendation rationale).</w:t>
            </w:r>
          </w:p>
        </w:tc>
      </w:tr>
    </w:tbl>
    <w:p>
      <w:pPr>
        <w:spacing w:after="0" w:before="0"/>
      </w:pPr>
    </w:p>
    <w:p>
      <w:pPr>
        <w:pStyle w:val="Heading3"/>
      </w:pPr>
      <w:r>
        <w:rPr>
          <w:color w:val="E31C3D"/>
        </w:rPr>
        <w:t>3.1 Hyperscaler Scoring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4320"/>
            <w:shd w:val="clear" w:color="auto" w:fill="E31C3D"/>
          </w:tcPr>
          <w:p>
            <w:r/>
            <w:r>
              <w:rPr>
                <w:b/>
                <w:i w:val="0"/>
                <w:color w:val="FFFFFF"/>
                <w:sz w:val="19"/>
              </w:rPr>
              <w:t>Evaluation Criterion</w:t>
            </w:r>
          </w:p>
        </w:tc>
        <w:tc>
          <w:tcPr>
            <w:tcW w:type="dxa" w:w="1728"/>
            <w:shd w:val="clear" w:color="auto" w:fill="E31C3D"/>
          </w:tcPr>
          <w:p>
            <w:r/>
            <w:r>
              <w:rPr>
                <w:b/>
                <w:i w:val="0"/>
                <w:color w:val="FFFFFF"/>
                <w:sz w:val="19"/>
              </w:rPr>
              <w:t>Weighting</w:t>
            </w:r>
          </w:p>
        </w:tc>
        <w:tc>
          <w:tcPr>
            <w:tcW w:type="dxa" w:w="1296"/>
            <w:shd w:val="clear" w:color="auto" w:fill="E31C3D"/>
          </w:tcPr>
          <w:p>
            <w:r/>
            <w:r>
              <w:rPr>
                <w:b/>
                <w:i w:val="0"/>
                <w:color w:val="FFFFFF"/>
                <w:sz w:val="19"/>
              </w:rPr>
              <w:t>Azure</w:t>
            </w:r>
          </w:p>
        </w:tc>
        <w:tc>
          <w:tcPr>
            <w:tcW w:type="dxa" w:w="1296"/>
            <w:shd w:val="clear" w:color="auto" w:fill="E31C3D"/>
          </w:tcPr>
          <w:p>
            <w:r/>
            <w:r>
              <w:rPr>
                <w:b/>
                <w:i w:val="0"/>
                <w:color w:val="FFFFFF"/>
                <w:sz w:val="19"/>
              </w:rPr>
              <w:t>AWS</w:t>
            </w:r>
          </w:p>
        </w:tc>
        <w:tc>
          <w:tcPr>
            <w:tcW w:type="dxa" w:w="1296"/>
            <w:shd w:val="clear" w:color="auto" w:fill="E31C3D"/>
          </w:tcPr>
          <w:p>
            <w:r/>
            <w:r>
              <w:rPr>
                <w:b/>
                <w:i w:val="0"/>
                <w:color w:val="FFFFFF"/>
                <w:sz w:val="19"/>
              </w:rPr>
              <w:t>GCP</w:t>
            </w:r>
          </w:p>
        </w:tc>
        <w:tc>
          <w:tcPr>
            <w:tcW w:type="dxa" w:w="2592"/>
            <w:shd w:val="clear" w:color="auto" w:fill="E31C3D"/>
          </w:tcPr>
          <w:p>
            <w:r/>
            <w:r>
              <w:rPr>
                <w:b/>
                <w:i w:val="0"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TCO (3-year, primary workloads)</w:t>
            </w:r>
          </w:p>
        </w:tc>
        <w:tc>
          <w:tcPr>
            <w:tcW w:type="dxa" w:w="1728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[X]%</w:t>
            </w:r>
          </w:p>
        </w:tc>
        <w:tc>
          <w:tcPr>
            <w:tcW w:type="dxa" w:w="1296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[Score/10]</w:t>
            </w:r>
          </w:p>
        </w:tc>
        <w:tc>
          <w:tcPr>
            <w:tcW w:type="dxa" w:w="1296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[Score/10]</w:t>
            </w:r>
          </w:p>
        </w:tc>
        <w:tc>
          <w:tcPr>
            <w:tcW w:type="dxa" w:w="1296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[Score/10]</w:t>
            </w:r>
          </w:p>
        </w:tc>
        <w:tc>
          <w:tcPr>
            <w:tcW w:type="dxa" w:w="2592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[TEMPLATE ROW]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  <w:t>Licensing advantage (AHB / BYOL)</w:t>
            </w:r>
          </w:p>
        </w:tc>
        <w:tc>
          <w:tcPr>
            <w:tcW w:type="dxa" w:w="1728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  <w:t>[X]%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592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4320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Regulatory compliance posture</w:t>
            </w:r>
          </w:p>
        </w:tc>
        <w:tc>
          <w:tcPr>
            <w:tcW w:type="dxa" w:w="1728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[X]%</w:t>
            </w:r>
          </w:p>
        </w:tc>
        <w:tc>
          <w:tcPr>
            <w:tcW w:type="dxa" w:w="1296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296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296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592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4320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  <w:t>Partner commercial (AMM / MAP / PSO)</w:t>
            </w:r>
          </w:p>
        </w:tc>
        <w:tc>
          <w:tcPr>
            <w:tcW w:type="dxa" w:w="1728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  <w:t>[X]%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592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4320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Technical fit (workload types)</w:t>
            </w:r>
          </w:p>
        </w:tc>
        <w:tc>
          <w:tcPr>
            <w:tcW w:type="dxa" w:w="1728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[X]%</w:t>
            </w:r>
          </w:p>
        </w:tc>
        <w:tc>
          <w:tcPr>
            <w:tcW w:type="dxa" w:w="1296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296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296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592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4320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  <w:t>Strategic alignment (enterprise agreements)</w:t>
            </w:r>
          </w:p>
        </w:tc>
        <w:tc>
          <w:tcPr>
            <w:tcW w:type="dxa" w:w="1728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  <w:t>[X]%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592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4320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WEIGHTED TOTAL</w:t>
            </w:r>
          </w:p>
        </w:tc>
        <w:tc>
          <w:tcPr>
            <w:tcW w:type="dxa" w:w="1728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100%</w:t>
            </w:r>
          </w:p>
        </w:tc>
        <w:tc>
          <w:tcPr>
            <w:tcW w:type="dxa" w:w="1296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[Score]</w:t>
            </w:r>
          </w:p>
        </w:tc>
        <w:tc>
          <w:tcPr>
            <w:tcW w:type="dxa" w:w="1296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[Score]</w:t>
            </w:r>
          </w:p>
        </w:tc>
        <w:tc>
          <w:tcPr>
            <w:tcW w:type="dxa" w:w="1296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[Score]</w:t>
            </w:r>
          </w:p>
        </w:tc>
        <w:tc>
          <w:tcPr>
            <w:tcW w:type="dxa" w:w="2592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4320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  <w:t>RECOMMENDATION</w:t>
            </w:r>
          </w:p>
        </w:tc>
        <w:tc>
          <w:tcPr>
            <w:tcW w:type="dxa" w:w="1728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  <w:t>[PRIMARY]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  <w:t>Secondary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  <w:t>Tertiary</w:t>
            </w:r>
          </w:p>
        </w:tc>
        <w:tc>
          <w:tcPr>
            <w:tcW w:type="dxa" w:w="2592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</w:tbl>
    <w:p>
      <w:pPr>
        <w:spacing w:after="0" w:before="0"/>
      </w:pPr>
    </w:p>
    <w:p>
      <w:pPr>
        <w:pStyle w:val="Heading3"/>
      </w:pPr>
      <w:r>
        <w:rPr>
          <w:color w:val="E31C3D"/>
        </w:rPr>
        <w:t>3.2 Recommendation Rationale</w:t>
      </w:r>
    </w:p>
    <w:p>
      <w:pPr>
        <w:spacing w:after="80"/>
      </w:pPr>
      <w:r>
        <w:rPr>
          <w:b w:val="0"/>
          <w:i w:val="0"/>
          <w:sz w:val="21"/>
        </w:rPr>
        <w:t>Write 3–5 bullet points, each citing a specific data point from the assessment. Use the structure below:</w:t>
      </w:r>
    </w:p>
    <w:p>
      <w:pPr>
        <w:pStyle w:val="ListBullet"/>
        <w:spacing w:after="40"/>
        <w:ind w:left="360"/>
      </w:pPr>
      <w:r>
        <w:rPr>
          <w:sz w:val="21"/>
        </w:rPr>
        <w:t>Cost: "[Primary cloud] TCO over 3 years is [£/$X] vs. on-prem [£/$Y] — a [Z]% saving, driven by [AHB / RI pricing / licensing overlay]."</w:t>
      </w:r>
    </w:p>
    <w:p>
      <w:pPr>
        <w:pStyle w:val="ListBullet"/>
        <w:spacing w:after="40"/>
        <w:ind w:left="360"/>
      </w:pPr>
      <w:r>
        <w:rPr>
          <w:sz w:val="21"/>
        </w:rPr>
        <w:t>Licensing: "[N] SQL Server licences eligible for AHB — saving [£/$X] vs. PAYG. [N] Oracle workloads [recommended migration path]."</w:t>
      </w:r>
    </w:p>
    <w:p>
      <w:pPr>
        <w:pStyle w:val="ListBullet"/>
        <w:spacing w:after="40"/>
        <w:ind w:left="360"/>
      </w:pPr>
      <w:r>
        <w:rPr>
          <w:sz w:val="21"/>
        </w:rPr>
        <w:t>Compliance: "[Primary cloud] holds [specific certifications relevant to sector] required for [specific regulatory obligation]."</w:t>
      </w:r>
    </w:p>
    <w:p>
      <w:pPr>
        <w:pStyle w:val="ListBullet"/>
        <w:spacing w:after="40"/>
        <w:ind w:left="360"/>
      </w:pPr>
      <w:r>
        <w:rPr>
          <w:sz w:val="21"/>
        </w:rPr>
        <w:t>Partner funding: "[AMM / MAP / PSO] funding eligibility identified — estimated [£/$X] available."</w:t>
      </w:r>
    </w:p>
    <w:p>
      <w:pPr>
        <w:pStyle w:val="ListBullet"/>
        <w:spacing w:after="40"/>
        <w:ind w:left="360"/>
      </w:pPr>
      <w:r>
        <w:rPr>
          <w:sz w:val="21"/>
        </w:rPr>
        <w:t>Strategic: "[Primary cloud] aligns to existing [enterprise agreement / support contract / roadmap commitment]."</w:t>
      </w:r>
    </w:p>
    <w:p>
      <w:pPr>
        <w:spacing w:after="0" w:before="0"/>
      </w:pPr>
    </w:p>
    <w:p>
      <w:pPr>
        <w:pStyle w:val="Heading3"/>
      </w:pPr>
      <w:r>
        <w:rPr>
          <w:color w:val="E31C3D"/>
        </w:rPr>
        <w:t>3.3 Multi-Cloud Exceptions</w:t>
      </w:r>
    </w:p>
    <w:p>
      <w:pPr>
        <w:spacing w:after="80"/>
      </w:pPr>
      <w:r>
        <w:rPr>
          <w:b w:val="0"/>
          <w:i w:val="0"/>
          <w:sz w:val="21"/>
        </w:rPr>
        <w:t>Document any workloads that cannot move to the primary cloud: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600"/>
            <w:shd w:val="clear" w:color="auto" w:fill="E31C3D"/>
          </w:tcPr>
          <w:p>
            <w:r/>
            <w:r>
              <w:rPr>
                <w:b/>
                <w:i w:val="0"/>
                <w:color w:val="FFFFFF"/>
                <w:sz w:val="19"/>
              </w:rPr>
              <w:t>Application / Workload</w:t>
            </w:r>
          </w:p>
        </w:tc>
        <w:tc>
          <w:tcPr>
            <w:tcW w:type="dxa" w:w="4032"/>
            <w:shd w:val="clear" w:color="auto" w:fill="E31C3D"/>
          </w:tcPr>
          <w:p>
            <w:r/>
            <w:r>
              <w:rPr>
                <w:b/>
                <w:i w:val="0"/>
                <w:color w:val="FFFFFF"/>
                <w:sz w:val="19"/>
              </w:rPr>
              <w:t>Reason for Exception</w:t>
            </w:r>
          </w:p>
        </w:tc>
        <w:tc>
          <w:tcPr>
            <w:tcW w:type="dxa" w:w="2592"/>
            <w:shd w:val="clear" w:color="auto" w:fill="E31C3D"/>
          </w:tcPr>
          <w:p>
            <w:r/>
            <w:r>
              <w:rPr>
                <w:b/>
                <w:i w:val="0"/>
                <w:color w:val="FFFFFF"/>
                <w:sz w:val="19"/>
              </w:rPr>
              <w:t>Recommended Cloud</w:t>
            </w:r>
          </w:p>
        </w:tc>
        <w:tc>
          <w:tcPr>
            <w:tcW w:type="dxa" w:w="2448"/>
            <w:shd w:val="clear" w:color="auto" w:fill="E31C3D"/>
          </w:tcPr>
          <w:p>
            <w:r/>
            <w:r>
              <w:rPr>
                <w:b/>
                <w:i w:val="0"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3600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[TEMPLATE ROW]</w:t>
            </w:r>
          </w:p>
        </w:tc>
        <w:tc>
          <w:tcPr>
            <w:tcW w:type="dxa" w:w="4032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[TEMPLATE ROW]</w:t>
            </w:r>
          </w:p>
        </w:tc>
        <w:tc>
          <w:tcPr>
            <w:tcW w:type="dxa" w:w="2592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[TEMPLATE ROW]</w:t>
            </w:r>
          </w:p>
        </w:tc>
        <w:tc>
          <w:tcPr>
            <w:tcW w:type="dxa" w:w="2448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31C3D"/>
          </w:tcPr>
          <w:p>
            <w:r>
              <w:rPr>
                <w:b/>
                <w:color w:val="FFFFFF"/>
                <w:sz w:val="26"/>
              </w:rPr>
              <w:t>SECTION 4 — TCO SUMMARY  [MANDATORY]</w:t>
            </w:r>
          </w:p>
        </w:tc>
      </w:tr>
    </w:tbl>
    <w:p>
      <w:pPr>
        <w:spacing w:after="0" w:before="0"/>
      </w:pPr>
    </w:p>
    <w:p>
      <w:pPr>
        <w:pStyle w:val="Heading2"/>
      </w:pPr>
      <w:r>
        <w:rPr>
          <w:color w:val="E31C3D"/>
        </w:rPr>
        <w:t>4. TCO Summary</w:t>
      </w:r>
    </w:p>
    <w:p>
      <w:pPr>
        <w:spacing w:after="80"/>
      </w:pPr>
      <w:r>
        <w:rPr>
          <w:b w:val="0"/>
          <w:i/>
          <w:color w:val="444444"/>
          <w:sz w:val="21"/>
        </w:rPr>
        <w:t>Every figure must trace back to a tab in the TCO Excel model (business-case-tco-roi.xlsx).</w:t>
      </w:r>
    </w:p>
    <w:p>
      <w:pPr>
        <w:pStyle w:val="Heading3"/>
      </w:pPr>
      <w:r>
        <w:rPr>
          <w:color w:val="E31C3D"/>
        </w:rPr>
        <w:t>4.1 Three-Year Cost Comparison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4032"/>
            <w:shd w:val="clear" w:color="auto" w:fill="E31C3D"/>
          </w:tcPr>
          <w:p>
            <w:r/>
            <w:r>
              <w:rPr>
                <w:b/>
                <w:i w:val="0"/>
                <w:color w:val="FFFFFF"/>
                <w:sz w:val="19"/>
              </w:rPr>
              <w:t>Scenario</w:t>
            </w:r>
          </w:p>
        </w:tc>
        <w:tc>
          <w:tcPr>
            <w:tcW w:type="dxa" w:w="1728"/>
            <w:shd w:val="clear" w:color="auto" w:fill="E31C3D"/>
          </w:tcPr>
          <w:p>
            <w:r/>
            <w:r>
              <w:rPr>
                <w:b/>
                <w:i w:val="0"/>
                <w:color w:val="FFFFFF"/>
                <w:sz w:val="19"/>
              </w:rPr>
              <w:t>Year 1</w:t>
            </w:r>
          </w:p>
        </w:tc>
        <w:tc>
          <w:tcPr>
            <w:tcW w:type="dxa" w:w="1728"/>
            <w:shd w:val="clear" w:color="auto" w:fill="E31C3D"/>
          </w:tcPr>
          <w:p>
            <w:r/>
            <w:r>
              <w:rPr>
                <w:b/>
                <w:i w:val="0"/>
                <w:color w:val="FFFFFF"/>
                <w:sz w:val="19"/>
              </w:rPr>
              <w:t>Year 2</w:t>
            </w:r>
          </w:p>
        </w:tc>
        <w:tc>
          <w:tcPr>
            <w:tcW w:type="dxa" w:w="1728"/>
            <w:shd w:val="clear" w:color="auto" w:fill="E31C3D"/>
          </w:tcPr>
          <w:p>
            <w:r/>
            <w:r>
              <w:rPr>
                <w:b/>
                <w:i w:val="0"/>
                <w:color w:val="FFFFFF"/>
                <w:sz w:val="19"/>
              </w:rPr>
              <w:t>Year 3</w:t>
            </w:r>
          </w:p>
        </w:tc>
        <w:tc>
          <w:tcPr>
            <w:tcW w:type="dxa" w:w="2160"/>
            <w:shd w:val="clear" w:color="auto" w:fill="E31C3D"/>
          </w:tcPr>
          <w:p>
            <w:r/>
            <w:r>
              <w:rPr>
                <w:b/>
                <w:i w:val="0"/>
                <w:color w:val="FFFFFF"/>
                <w:sz w:val="19"/>
              </w:rPr>
              <w:t>3-Year Total</w:t>
            </w:r>
          </w:p>
        </w:tc>
        <w:tc>
          <w:tcPr>
            <w:tcW w:type="dxa" w:w="1440"/>
            <w:shd w:val="clear" w:color="auto" w:fill="E31C3D"/>
          </w:tcPr>
          <w:p>
            <w:r/>
            <w:r>
              <w:rPr>
                <w:b/>
                <w:i w:val="0"/>
                <w:color w:val="FFFFFF"/>
                <w:sz w:val="19"/>
              </w:rPr>
              <w:t>vs. On-Prem</w:t>
            </w:r>
          </w:p>
        </w:tc>
      </w:tr>
      <w:tr>
        <w:tc>
          <w:tcPr>
            <w:tcW w:type="dxa" w:w="4032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On-premises (status quo)</w:t>
            </w:r>
          </w:p>
        </w:tc>
        <w:tc>
          <w:tcPr>
            <w:tcW w:type="dxa" w:w="1728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£/$ [X]</w:t>
            </w:r>
          </w:p>
        </w:tc>
        <w:tc>
          <w:tcPr>
            <w:tcW w:type="dxa" w:w="1728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£/$ [X]</w:t>
            </w:r>
          </w:p>
        </w:tc>
        <w:tc>
          <w:tcPr>
            <w:tcW w:type="dxa" w:w="1728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£/$ [X]</w:t>
            </w:r>
          </w:p>
        </w:tc>
        <w:tc>
          <w:tcPr>
            <w:tcW w:type="dxa" w:w="2160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£/$ [X]</w:t>
            </w:r>
          </w:p>
        </w:tc>
        <w:tc>
          <w:tcPr>
            <w:tcW w:type="dxa" w:w="1440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Baseline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  <w:t>[Primary cloud] — Like-for-Like</w:t>
            </w:r>
          </w:p>
        </w:tc>
        <w:tc>
          <w:tcPr>
            <w:tcW w:type="dxa" w:w="1728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  <w:t>£/$ [X]</w:t>
            </w:r>
          </w:p>
        </w:tc>
        <w:tc>
          <w:tcPr>
            <w:tcW w:type="dxa" w:w="1728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  <w:t>£/$ [X]</w:t>
            </w:r>
          </w:p>
        </w:tc>
        <w:tc>
          <w:tcPr>
            <w:tcW w:type="dxa" w:w="1728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  <w:t>£/$ [X]</w:t>
            </w:r>
          </w:p>
        </w:tc>
        <w:tc>
          <w:tcPr>
            <w:tcW w:type="dxa" w:w="2160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  <w:t>£/$ [X]</w:t>
            </w:r>
          </w:p>
        </w:tc>
        <w:tc>
          <w:tcPr>
            <w:tcW w:type="dxa" w:w="1440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  <w:t>[+/-X%]</w:t>
            </w:r>
          </w:p>
        </w:tc>
      </w:tr>
      <w:tr>
        <w:tc>
          <w:tcPr>
            <w:tcW w:type="dxa" w:w="4032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[Primary cloud] — Optimised (RI / AHB / CUD)</w:t>
            </w:r>
          </w:p>
        </w:tc>
        <w:tc>
          <w:tcPr>
            <w:tcW w:type="dxa" w:w="1728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£/$ [X]</w:t>
            </w:r>
          </w:p>
        </w:tc>
        <w:tc>
          <w:tcPr>
            <w:tcW w:type="dxa" w:w="1728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£/$ [X]</w:t>
            </w:r>
          </w:p>
        </w:tc>
        <w:tc>
          <w:tcPr>
            <w:tcW w:type="dxa" w:w="1728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£/$ [X]</w:t>
            </w:r>
          </w:p>
        </w:tc>
        <w:tc>
          <w:tcPr>
            <w:tcW w:type="dxa" w:w="2160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£/$ [X]</w:t>
            </w:r>
          </w:p>
        </w:tc>
        <w:tc>
          <w:tcPr>
            <w:tcW w:type="dxa" w:w="1440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[+/-X%]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  <w:t>[Primary cloud] — Optimised + Partner Credits</w:t>
            </w:r>
          </w:p>
        </w:tc>
        <w:tc>
          <w:tcPr>
            <w:tcW w:type="dxa" w:w="1728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  <w:t>£/$ [X]</w:t>
            </w:r>
          </w:p>
        </w:tc>
        <w:tc>
          <w:tcPr>
            <w:tcW w:type="dxa" w:w="1728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  <w:t>£/$ [X]</w:t>
            </w:r>
          </w:p>
        </w:tc>
        <w:tc>
          <w:tcPr>
            <w:tcW w:type="dxa" w:w="1728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  <w:t>£/$ [X]</w:t>
            </w:r>
          </w:p>
        </w:tc>
        <w:tc>
          <w:tcPr>
            <w:tcW w:type="dxa" w:w="2160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  <w:t>£/$ [X]</w:t>
            </w:r>
          </w:p>
        </w:tc>
        <w:tc>
          <w:tcPr>
            <w:tcW w:type="dxa" w:w="1440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  <w:t>[+/-X%]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4FD"/>
          </w:tcPr>
          <w:p>
            <w:r>
              <w:rPr>
                <w:i/>
                <w:color w:val="1A1F36"/>
                <w:sz w:val="20"/>
              </w:rPr>
              <w:t>Note on Year 1: Year 1 includes dual-running costs (on-prem + cloud overlap during migration). See Section 4.2.</w:t>
            </w:r>
          </w:p>
        </w:tc>
      </w:tr>
    </w:tbl>
    <w:p>
      <w:pPr>
        <w:spacing w:after="0" w:before="0"/>
      </w:pPr>
    </w:p>
    <w:p>
      <w:pPr>
        <w:pStyle w:val="Heading3"/>
      </w:pPr>
      <w:r>
        <w:rPr>
          <w:color w:val="E31C3D"/>
        </w:rPr>
        <w:t>4.2 Year 1 Dual-Running Forecast</w:t>
      </w:r>
    </w:p>
    <w:p>
      <w:pPr>
        <w:spacing w:after="80"/>
      </w:pPr>
      <w:r>
        <w:rPr>
          <w:b w:val="0"/>
          <w:i w:val="0"/>
          <w:sz w:val="21"/>
        </w:rPr>
        <w:t>Year 1 is typically the most expensive year because workloads run in both environments during migration. Document this explicitly to avoid budget shock.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5472"/>
            <w:shd w:val="clear" w:color="auto" w:fill="E31C3D"/>
          </w:tcPr>
          <w:p>
            <w:r/>
            <w:r>
              <w:rPr>
                <w:b/>
                <w:i w:val="0"/>
                <w:color w:val="FFFFFF"/>
                <w:sz w:val="19"/>
              </w:rPr>
              <w:t>Cost Component</w:t>
            </w:r>
          </w:p>
        </w:tc>
        <w:tc>
          <w:tcPr>
            <w:tcW w:type="dxa" w:w="2160"/>
            <w:shd w:val="clear" w:color="auto" w:fill="E31C3D"/>
          </w:tcPr>
          <w:p>
            <w:r/>
            <w:r>
              <w:rPr>
                <w:b/>
                <w:i w:val="0"/>
                <w:color w:val="FFFFFF"/>
                <w:sz w:val="19"/>
              </w:rPr>
              <w:t>Amount</w:t>
            </w:r>
          </w:p>
        </w:tc>
        <w:tc>
          <w:tcPr>
            <w:tcW w:type="dxa" w:w="5040"/>
            <w:shd w:val="clear" w:color="auto" w:fill="E31C3D"/>
          </w:tcPr>
          <w:p>
            <w:r/>
            <w:r>
              <w:rPr>
                <w:b/>
                <w:i w:val="0"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5472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On-premises costs (full year — decommission not yet complete)</w:t>
            </w:r>
          </w:p>
        </w:tc>
        <w:tc>
          <w:tcPr>
            <w:tcW w:type="dxa" w:w="2160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£/$ [X]</w:t>
            </w:r>
          </w:p>
        </w:tc>
        <w:tc>
          <w:tcPr>
            <w:tcW w:type="dxa" w:w="5040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5472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  <w:t>Cloud costs (partial year — wave 1 + 2 migrated)</w:t>
            </w:r>
          </w:p>
        </w:tc>
        <w:tc>
          <w:tcPr>
            <w:tcW w:type="dxa" w:w="2160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  <w:t>£/$ [X]</w:t>
            </w:r>
          </w:p>
        </w:tc>
        <w:tc>
          <w:tcPr>
            <w:tcW w:type="dxa" w:w="5040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5472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Migration tooling and licences</w:t>
            </w:r>
          </w:p>
        </w:tc>
        <w:tc>
          <w:tcPr>
            <w:tcW w:type="dxa" w:w="2160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£/$ [X]</w:t>
            </w:r>
          </w:p>
        </w:tc>
        <w:tc>
          <w:tcPr>
            <w:tcW w:type="dxa" w:w="5040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5472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  <w:t>Professional services (Part 2)</w:t>
            </w:r>
          </w:p>
        </w:tc>
        <w:tc>
          <w:tcPr>
            <w:tcW w:type="dxa" w:w="2160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  <w:t>£/$ [X]</w:t>
            </w:r>
          </w:p>
        </w:tc>
        <w:tc>
          <w:tcPr>
            <w:tcW w:type="dxa" w:w="5040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5472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YEAR 1 TOTAL (dual-running)</w:t>
            </w:r>
          </w:p>
        </w:tc>
        <w:tc>
          <w:tcPr>
            <w:tcW w:type="dxa" w:w="2160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£/$ [X]</w:t>
            </w:r>
          </w:p>
        </w:tc>
        <w:tc>
          <w:tcPr>
            <w:tcW w:type="dxa" w:w="5040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5472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  <w:t>Year 1 Net (offset by AMM/MAP/PSO credits)</w:t>
            </w:r>
          </w:p>
        </w:tc>
        <w:tc>
          <w:tcPr>
            <w:tcW w:type="dxa" w:w="2160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  <w:t>£/$ [X]</w:t>
            </w:r>
          </w:p>
        </w:tc>
        <w:tc>
          <w:tcPr>
            <w:tcW w:type="dxa" w:w="5040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</w:tbl>
    <w:p>
      <w:pPr>
        <w:spacing w:after="0" w:before="0"/>
      </w:pPr>
    </w:p>
    <w:p>
      <w:pPr>
        <w:pStyle w:val="Heading3"/>
      </w:pPr>
      <w:r>
        <w:rPr>
          <w:color w:val="E31C3D"/>
        </w:rPr>
        <w:t>4.3 Licensing Overlay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3168"/>
            <w:shd w:val="clear" w:color="auto" w:fill="E31C3D"/>
          </w:tcPr>
          <w:p>
            <w:r/>
            <w:r>
              <w:rPr>
                <w:b/>
                <w:i w:val="0"/>
                <w:color w:val="FFFFFF"/>
                <w:sz w:val="19"/>
              </w:rPr>
              <w:t>Licence Type</w:t>
            </w:r>
          </w:p>
        </w:tc>
        <w:tc>
          <w:tcPr>
            <w:tcW w:type="dxa" w:w="1152"/>
            <w:shd w:val="clear" w:color="auto" w:fill="E31C3D"/>
          </w:tcPr>
          <w:p>
            <w:r/>
            <w:r>
              <w:rPr>
                <w:b/>
                <w:i w:val="0"/>
                <w:color w:val="FFFFFF"/>
                <w:sz w:val="19"/>
              </w:rPr>
              <w:t>Volume</w:t>
            </w:r>
          </w:p>
        </w:tc>
        <w:tc>
          <w:tcPr>
            <w:tcW w:type="dxa" w:w="2160"/>
            <w:shd w:val="clear" w:color="auto" w:fill="E31C3D"/>
          </w:tcPr>
          <w:p>
            <w:r/>
            <w:r>
              <w:rPr>
                <w:b/>
                <w:i w:val="0"/>
                <w:color w:val="FFFFFF"/>
                <w:sz w:val="19"/>
              </w:rPr>
              <w:t>Current Annual Cost</w:t>
            </w:r>
          </w:p>
        </w:tc>
        <w:tc>
          <w:tcPr>
            <w:tcW w:type="dxa" w:w="2592"/>
            <w:shd w:val="clear" w:color="auto" w:fill="E31C3D"/>
          </w:tcPr>
          <w:p>
            <w:r/>
            <w:r>
              <w:rPr>
                <w:b/>
                <w:i w:val="0"/>
                <w:color w:val="FFFFFF"/>
                <w:sz w:val="19"/>
              </w:rPr>
              <w:t>Cloud Path</w:t>
            </w:r>
          </w:p>
        </w:tc>
        <w:tc>
          <w:tcPr>
            <w:tcW w:type="dxa" w:w="2160"/>
            <w:shd w:val="clear" w:color="auto" w:fill="E31C3D"/>
          </w:tcPr>
          <w:p>
            <w:r/>
            <w:r>
              <w:rPr>
                <w:b/>
                <w:i w:val="0"/>
                <w:color w:val="FFFFFF"/>
                <w:sz w:val="19"/>
              </w:rPr>
              <w:t>Optimised Annual Cost</w:t>
            </w:r>
          </w:p>
        </w:tc>
        <w:tc>
          <w:tcPr>
            <w:tcW w:type="dxa" w:w="1440"/>
            <w:shd w:val="clear" w:color="auto" w:fill="E31C3D"/>
          </w:tcPr>
          <w:p>
            <w:r/>
            <w:r>
              <w:rPr>
                <w:b/>
                <w:i w:val="0"/>
                <w:color w:val="FFFFFF"/>
                <w:sz w:val="19"/>
              </w:rPr>
              <w:t>Saving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Windows Server (AHB eligible)</w:t>
            </w:r>
          </w:p>
        </w:tc>
        <w:tc>
          <w:tcPr>
            <w:tcW w:type="dxa" w:w="1152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[N]</w:t>
            </w:r>
          </w:p>
        </w:tc>
        <w:tc>
          <w:tcPr>
            <w:tcW w:type="dxa" w:w="2160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£/$ [X]</w:t>
            </w:r>
          </w:p>
        </w:tc>
        <w:tc>
          <w:tcPr>
            <w:tcW w:type="dxa" w:w="2592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AHB + 3yr RI</w:t>
            </w:r>
          </w:p>
        </w:tc>
        <w:tc>
          <w:tcPr>
            <w:tcW w:type="dxa" w:w="2160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£/$ [X]</w:t>
            </w:r>
          </w:p>
        </w:tc>
        <w:tc>
          <w:tcPr>
            <w:tcW w:type="dxa" w:w="1440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£/$ [X]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  <w:t>SQL Server (AHB eligible)</w:t>
            </w:r>
          </w:p>
        </w:tc>
        <w:tc>
          <w:tcPr>
            <w:tcW w:type="dxa" w:w="1152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  <w:t>[N]</w:t>
            </w:r>
          </w:p>
        </w:tc>
        <w:tc>
          <w:tcPr>
            <w:tcW w:type="dxa" w:w="2160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  <w:t>£/$ [X]</w:t>
            </w:r>
          </w:p>
        </w:tc>
        <w:tc>
          <w:tcPr>
            <w:tcW w:type="dxa" w:w="2592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  <w:t>AHB + 3yr RI</w:t>
            </w:r>
          </w:p>
        </w:tc>
        <w:tc>
          <w:tcPr>
            <w:tcW w:type="dxa" w:w="2160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  <w:t>£/$ [X]</w:t>
            </w:r>
          </w:p>
        </w:tc>
        <w:tc>
          <w:tcPr>
            <w:tcW w:type="dxa" w:w="1440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  <w:t>£/$ [X]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Oracle (BYOL)</w:t>
            </w:r>
          </w:p>
        </w:tc>
        <w:tc>
          <w:tcPr>
            <w:tcW w:type="dxa" w:w="1152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[N]</w:t>
            </w:r>
          </w:p>
        </w:tc>
        <w:tc>
          <w:tcPr>
            <w:tcW w:type="dxa" w:w="2160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£/$ [X]</w:t>
            </w:r>
          </w:p>
        </w:tc>
        <w:tc>
          <w:tcPr>
            <w:tcW w:type="dxa" w:w="2592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BYOL on [VM/RDS/Exadata]</w:t>
            </w:r>
          </w:p>
        </w:tc>
        <w:tc>
          <w:tcPr>
            <w:tcW w:type="dxa" w:w="2160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£/$ [X]</w:t>
            </w:r>
          </w:p>
        </w:tc>
        <w:tc>
          <w:tcPr>
            <w:tcW w:type="dxa" w:w="1440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£/$ [X]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  <w:t>[Other — TEMPLATE ROW]</w:t>
            </w:r>
          </w:p>
        </w:tc>
        <w:tc>
          <w:tcPr>
            <w:tcW w:type="dxa" w:w="1152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160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592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160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440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3168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LICENSING TOTAL SAVING</w:t>
            </w:r>
          </w:p>
        </w:tc>
        <w:tc>
          <w:tcPr>
            <w:tcW w:type="dxa" w:w="1152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160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592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160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440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£/$ [X]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31C3D"/>
          </w:tcPr>
          <w:p>
            <w:r>
              <w:rPr>
                <w:b/>
                <w:color w:val="FFFFFF"/>
                <w:sz w:val="26"/>
              </w:rPr>
              <w:t>SECTION 5 — PARTNER FUNDING  [MANDATORY]</w:t>
            </w:r>
          </w:p>
        </w:tc>
      </w:tr>
    </w:tbl>
    <w:p>
      <w:pPr>
        <w:spacing w:after="0" w:before="0"/>
      </w:pPr>
    </w:p>
    <w:p>
      <w:pPr>
        <w:pStyle w:val="Heading2"/>
      </w:pPr>
      <w:r>
        <w:rPr>
          <w:color w:val="E31C3D"/>
        </w:rPr>
        <w:t>5. Partner Funding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3CD"/>
          </w:tcPr>
          <w:p>
            <w:r>
              <w:rPr>
                <w:b/>
                <w:color w:val="856404"/>
                <w:sz w:val="20"/>
              </w:rPr>
              <w:t>MANDATORY: Programme deal registration must be completed BEFORE Part 2 SOW signature. Registration after Part 2 start risks funding eligibility. Confirm with Alliance Manager before completing this section.</w:t>
            </w:r>
          </w:p>
        </w:tc>
      </w:tr>
    </w:tbl>
    <w:p>
      <w:pPr>
        <w:spacing w:after="0" w:before="0"/>
      </w:pPr>
    </w:p>
    <w:p>
      <w:pPr>
        <w:pStyle w:val="Heading3"/>
      </w:pPr>
      <w:r>
        <w:rPr>
          <w:color w:val="E31C3D"/>
        </w:rPr>
        <w:t>5.1 Partner Funding Summary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2880"/>
            <w:shd w:val="clear" w:color="auto" w:fill="E31C3D"/>
          </w:tcPr>
          <w:p>
            <w:r/>
            <w:r>
              <w:rPr>
                <w:b/>
                <w:i w:val="0"/>
                <w:color w:val="FFFFFF"/>
                <w:sz w:val="19"/>
              </w:rPr>
              <w:t>Programme</w:t>
            </w:r>
          </w:p>
        </w:tc>
        <w:tc>
          <w:tcPr>
            <w:tcW w:type="dxa" w:w="1440"/>
            <w:shd w:val="clear" w:color="auto" w:fill="E31C3D"/>
          </w:tcPr>
          <w:p>
            <w:r/>
            <w:r>
              <w:rPr>
                <w:b/>
                <w:i w:val="0"/>
                <w:color w:val="FFFFFF"/>
                <w:sz w:val="19"/>
              </w:rPr>
              <w:t>Provider</w:t>
            </w:r>
          </w:p>
        </w:tc>
        <w:tc>
          <w:tcPr>
            <w:tcW w:type="dxa" w:w="1440"/>
            <w:shd w:val="clear" w:color="auto" w:fill="E31C3D"/>
          </w:tcPr>
          <w:p>
            <w:r/>
            <w:r>
              <w:rPr>
                <w:b/>
                <w:i w:val="0"/>
                <w:color w:val="FFFFFF"/>
                <w:sz w:val="19"/>
              </w:rPr>
              <w:t>Eligibility</w:t>
            </w:r>
          </w:p>
        </w:tc>
        <w:tc>
          <w:tcPr>
            <w:tcW w:type="dxa" w:w="1728"/>
            <w:shd w:val="clear" w:color="auto" w:fill="E31C3D"/>
          </w:tcPr>
          <w:p>
            <w:r/>
            <w:r>
              <w:rPr>
                <w:b/>
                <w:i w:val="0"/>
                <w:color w:val="FFFFFF"/>
                <w:sz w:val="19"/>
              </w:rPr>
              <w:t>Estimated Value</w:t>
            </w:r>
          </w:p>
        </w:tc>
        <w:tc>
          <w:tcPr>
            <w:tcW w:type="dxa" w:w="3600"/>
            <w:shd w:val="clear" w:color="auto" w:fill="E31C3D"/>
          </w:tcPr>
          <w:p>
            <w:r/>
            <w:r>
              <w:rPr>
                <w:b/>
                <w:i w:val="0"/>
                <w:color w:val="FFFFFF"/>
                <w:sz w:val="19"/>
              </w:rPr>
              <w:t>CRA Deliverables Required</w:t>
            </w:r>
          </w:p>
        </w:tc>
        <w:tc>
          <w:tcPr>
            <w:tcW w:type="dxa" w:w="1584"/>
            <w:shd w:val="clear" w:color="auto" w:fill="E31C3D"/>
          </w:tcPr>
          <w:p>
            <w:r/>
            <w:r>
              <w:rPr>
                <w:b/>
                <w:i w:val="0"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Azure Migration and Modernisation (AMM)</w:t>
            </w:r>
          </w:p>
        </w:tc>
        <w:tc>
          <w:tcPr>
            <w:tcW w:type="dxa" w:w="1440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Microsoft</w:t>
            </w:r>
          </w:p>
        </w:tc>
        <w:tc>
          <w:tcPr>
            <w:tcW w:type="dxa" w:w="1440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[Yes/No/TBC]</w:t>
            </w:r>
          </w:p>
        </w:tc>
        <w:tc>
          <w:tcPr>
            <w:tcW w:type="dxa" w:w="1728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£/$ [X]–[Y]</w:t>
            </w:r>
          </w:p>
        </w:tc>
        <w:tc>
          <w:tcPr>
            <w:tcW w:type="dxa" w:w="3600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MRA, inventory, business case, wave plan</w:t>
            </w:r>
          </w:p>
        </w:tc>
        <w:tc>
          <w:tcPr>
            <w:tcW w:type="dxa" w:w="1584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[Not yet registered / Registered / Approved]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  <w:t>AWS Migration Acceleration Programme (MAP)</w:t>
            </w:r>
          </w:p>
        </w:tc>
        <w:tc>
          <w:tcPr>
            <w:tcW w:type="dxa" w:w="1440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  <w:t>AWS</w:t>
            </w:r>
          </w:p>
        </w:tc>
        <w:tc>
          <w:tcPr>
            <w:tcW w:type="dxa" w:w="1440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  <w:t>[Yes/No/TBC]</w:t>
            </w:r>
          </w:p>
        </w:tc>
        <w:tc>
          <w:tcPr>
            <w:tcW w:type="dxa" w:w="1728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  <w:t>£/$ [X]–[Y]</w:t>
            </w:r>
          </w:p>
        </w:tc>
        <w:tc>
          <w:tcPr>
            <w:tcW w:type="dxa" w:w="3600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  <w:t>MRA, inventory, business case, wave plan</w:t>
            </w:r>
          </w:p>
        </w:tc>
        <w:tc>
          <w:tcPr>
            <w:tcW w:type="dxa" w:w="1584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  <w:t>[Not yet registered / Registered / Approved]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Google Cloud RAMP / PSO</w:t>
            </w:r>
          </w:p>
        </w:tc>
        <w:tc>
          <w:tcPr>
            <w:tcW w:type="dxa" w:w="1440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Google</w:t>
            </w:r>
          </w:p>
        </w:tc>
        <w:tc>
          <w:tcPr>
            <w:tcW w:type="dxa" w:w="1440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[Yes/No/TBC]</w:t>
            </w:r>
          </w:p>
        </w:tc>
        <w:tc>
          <w:tcPr>
            <w:tcW w:type="dxa" w:w="1728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£/$ [X]–[Y]</w:t>
            </w:r>
          </w:p>
        </w:tc>
        <w:tc>
          <w:tcPr>
            <w:tcW w:type="dxa" w:w="3600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GCAF assessment, discovery export, opportunity registration</w:t>
            </w:r>
          </w:p>
        </w:tc>
        <w:tc>
          <w:tcPr>
            <w:tcW w:type="dxa" w:w="1584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[Not yet registered / Registered / Approved]</w:t>
            </w:r>
          </w:p>
        </w:tc>
      </w:tr>
    </w:tbl>
    <w:p>
      <w:pPr>
        <w:spacing w:after="0" w:before="0"/>
      </w:pPr>
    </w:p>
    <w:p>
      <w:pPr>
        <w:pStyle w:val="Heading3"/>
      </w:pPr>
      <w:r>
        <w:rPr>
          <w:color w:val="E31C3D"/>
        </w:rPr>
        <w:t>5.2 AMM Pre-Qualification Checklist  [if Azure primary]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5760"/>
            <w:shd w:val="clear" w:color="auto" w:fill="E31C3D"/>
          </w:tcPr>
          <w:p>
            <w:r/>
            <w:r>
              <w:rPr>
                <w:b/>
                <w:i w:val="0"/>
                <w:color w:val="FFFFFF"/>
                <w:sz w:val="19"/>
              </w:rPr>
              <w:t>Requirement</w:t>
            </w:r>
          </w:p>
        </w:tc>
        <w:tc>
          <w:tcPr>
            <w:tcW w:type="dxa" w:w="1728"/>
            <w:shd w:val="clear" w:color="auto" w:fill="E31C3D"/>
          </w:tcPr>
          <w:p>
            <w:r/>
            <w:r>
              <w:rPr>
                <w:b/>
                <w:i w:val="0"/>
                <w:color w:val="FFFFFF"/>
                <w:sz w:val="19"/>
              </w:rPr>
              <w:t>Status</w:t>
            </w:r>
          </w:p>
        </w:tc>
        <w:tc>
          <w:tcPr>
            <w:tcW w:type="dxa" w:w="5184"/>
            <w:shd w:val="clear" w:color="auto" w:fill="E31C3D"/>
          </w:tcPr>
          <w:p>
            <w:r/>
            <w:r>
              <w:rPr>
                <w:b/>
                <w:i w:val="0"/>
                <w:color w:val="FFFFFF"/>
                <w:sz w:val="19"/>
              </w:rPr>
              <w:t>Evidence</w:t>
            </w:r>
          </w:p>
        </w:tc>
      </w:tr>
      <w:tr>
        <w:tc>
          <w:tcPr>
            <w:tcW w:type="dxa" w:w="5760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Migration Readiness Assessment (MRA) complete</w:t>
            </w:r>
          </w:p>
        </w:tc>
        <w:tc>
          <w:tcPr>
            <w:tcW w:type="dxa" w:w="1728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[ ] / [x]</w:t>
            </w:r>
          </w:p>
        </w:tc>
        <w:tc>
          <w:tcPr>
            <w:tcW w:type="dxa" w:w="5184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CRA Phase 2 output</w:t>
            </w:r>
          </w:p>
        </w:tc>
      </w:tr>
      <w:tr>
        <w:tc>
          <w:tcPr>
            <w:tcW w:type="dxa" w:w="5760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  <w:t>Validated infrastructure inventory</w:t>
            </w:r>
          </w:p>
        </w:tc>
        <w:tc>
          <w:tcPr>
            <w:tcW w:type="dxa" w:w="1728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  <w:t>[ ] / [x]</w:t>
            </w:r>
          </w:p>
        </w:tc>
        <w:tc>
          <w:tcPr>
            <w:tcW w:type="dxa" w:w="5184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  <w:t>Templates/01-discovery/</w:t>
            </w:r>
          </w:p>
        </w:tc>
      </w:tr>
      <w:tr>
        <w:tc>
          <w:tcPr>
            <w:tcW w:type="dxa" w:w="5760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Business case with 3-year TCO</w:t>
            </w:r>
          </w:p>
        </w:tc>
        <w:tc>
          <w:tcPr>
            <w:tcW w:type="dxa" w:w="1728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[ ] / [x]</w:t>
            </w:r>
          </w:p>
        </w:tc>
        <w:tc>
          <w:tcPr>
            <w:tcW w:type="dxa" w:w="5184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Templates/03-evaluation/business-case-tco-roi.xlsx</w:t>
            </w:r>
          </w:p>
        </w:tc>
      </w:tr>
      <w:tr>
        <w:tc>
          <w:tcPr>
            <w:tcW w:type="dxa" w:w="5760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  <w:t>Migration wave plan (high level)</w:t>
            </w:r>
          </w:p>
        </w:tc>
        <w:tc>
          <w:tcPr>
            <w:tcW w:type="dxa" w:w="1728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  <w:t>[ ] / [x]</w:t>
            </w:r>
          </w:p>
        </w:tc>
        <w:tc>
          <w:tcPr>
            <w:tcW w:type="dxa" w:w="5184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  <w:t>Templates/04-planning/migration-wave-planner.xlsx</w:t>
            </w:r>
          </w:p>
        </w:tc>
      </w:tr>
      <w:tr>
        <w:tc>
          <w:tcPr>
            <w:tcW w:type="dxa" w:w="5760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Azure as primary or co-primary cloud</w:t>
            </w:r>
          </w:p>
        </w:tc>
        <w:tc>
          <w:tcPr>
            <w:tcW w:type="dxa" w:w="1728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[ ] / [x]</w:t>
            </w:r>
          </w:p>
        </w:tc>
        <w:tc>
          <w:tcPr>
            <w:tcW w:type="dxa" w:w="5184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Hyperscaler recommendation</w:t>
            </w:r>
          </w:p>
        </w:tc>
      </w:tr>
      <w:tr>
        <w:tc>
          <w:tcPr>
            <w:tcW w:type="dxa" w:w="5760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  <w:t>Rackspace registered in MSPP as Delivery Partner</w:t>
            </w:r>
          </w:p>
        </w:tc>
        <w:tc>
          <w:tcPr>
            <w:tcW w:type="dxa" w:w="1728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  <w:t>[ ] / [x]</w:t>
            </w:r>
          </w:p>
        </w:tc>
        <w:tc>
          <w:tcPr>
            <w:tcW w:type="dxa" w:w="5184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  <w:t>Rackspace Alliance Manager to confirm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31C3D"/>
          </w:tcPr>
          <w:p>
            <w:r>
              <w:rPr>
                <w:b/>
                <w:color w:val="FFFFFF"/>
                <w:sz w:val="26"/>
              </w:rPr>
              <w:t>SECTION 6 — MIGRATION APPROACH (HIGH LEVEL)  [MANDATORY]</w:t>
            </w:r>
          </w:p>
        </w:tc>
      </w:tr>
    </w:tbl>
    <w:p>
      <w:pPr>
        <w:spacing w:after="0" w:before="0"/>
      </w:pPr>
    </w:p>
    <w:p>
      <w:pPr>
        <w:pStyle w:val="Heading2"/>
      </w:pPr>
      <w:r>
        <w:rPr>
          <w:color w:val="E31C3D"/>
        </w:rPr>
        <w:t>6. Migration Approach — High Level</w:t>
      </w:r>
    </w:p>
    <w:p>
      <w:pPr>
        <w:pStyle w:val="Heading3"/>
      </w:pPr>
      <w:r>
        <w:rPr>
          <w:color w:val="E31C3D"/>
        </w:rPr>
        <w:t>6.1 Recommended Migration Approach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880"/>
            <w:shd w:val="clear" w:color="auto" w:fill="E31C3D"/>
          </w:tcPr>
          <w:p>
            <w:r/>
            <w:r>
              <w:rPr>
                <w:b/>
                <w:i w:val="0"/>
                <w:color w:val="FFFFFF"/>
                <w:sz w:val="19"/>
              </w:rPr>
              <w:t>Phase</w:t>
            </w:r>
          </w:p>
        </w:tc>
        <w:tc>
          <w:tcPr>
            <w:tcW w:type="dxa" w:w="3600"/>
            <w:shd w:val="clear" w:color="auto" w:fill="E31C3D"/>
          </w:tcPr>
          <w:p>
            <w:r/>
            <w:r>
              <w:rPr>
                <w:b/>
                <w:i w:val="0"/>
                <w:color w:val="FFFFFF"/>
                <w:sz w:val="19"/>
              </w:rPr>
              <w:t>Workloads</w:t>
            </w:r>
          </w:p>
        </w:tc>
        <w:tc>
          <w:tcPr>
            <w:tcW w:type="dxa" w:w="3600"/>
            <w:shd w:val="clear" w:color="auto" w:fill="E31C3D"/>
          </w:tcPr>
          <w:p>
            <w:r/>
            <w:r>
              <w:rPr>
                <w:b/>
                <w:i w:val="0"/>
                <w:color w:val="FFFFFF"/>
                <w:sz w:val="19"/>
              </w:rPr>
              <w:t>Approach</w:t>
            </w:r>
          </w:p>
        </w:tc>
        <w:tc>
          <w:tcPr>
            <w:tcW w:type="dxa" w:w="2592"/>
            <w:shd w:val="clear" w:color="auto" w:fill="E31C3D"/>
          </w:tcPr>
          <w:p>
            <w:r/>
            <w:r>
              <w:rPr>
                <w:b/>
                <w:i w:val="0"/>
                <w:color w:val="FFFFFF"/>
                <w:sz w:val="19"/>
              </w:rPr>
              <w:t>Target Completion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Wave 0 — Proof of Concept</w:t>
            </w:r>
          </w:p>
        </w:tc>
        <w:tc>
          <w:tcPr>
            <w:tcW w:type="dxa" w:w="3600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[N] VMs — [lowest risk workloads]</w:t>
            </w:r>
          </w:p>
        </w:tc>
        <w:tc>
          <w:tcPr>
            <w:tcW w:type="dxa" w:w="3600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Rehost — IaaS lift-and-shift</w:t>
            </w:r>
          </w:p>
        </w:tc>
        <w:tc>
          <w:tcPr>
            <w:tcW w:type="dxa" w:w="2592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[Month Year]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  <w:t>Wave 1 — Core Infrastructure</w:t>
            </w:r>
          </w:p>
        </w:tc>
        <w:tc>
          <w:tcPr>
            <w:tcW w:type="dxa" w:w="3600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  <w:t>[N] VMs — [dev/test, non-critical]</w:t>
            </w:r>
          </w:p>
        </w:tc>
        <w:tc>
          <w:tcPr>
            <w:tcW w:type="dxa" w:w="3600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  <w:t>Rehost — IaaS</w:t>
            </w:r>
          </w:p>
        </w:tc>
        <w:tc>
          <w:tcPr>
            <w:tcW w:type="dxa" w:w="2592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  <w:t>[Month Year]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Wave 2 — Business Applications</w:t>
            </w:r>
          </w:p>
        </w:tc>
        <w:tc>
          <w:tcPr>
            <w:tcW w:type="dxa" w:w="3600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[N] VMs — [business apps, mid-tier]</w:t>
            </w:r>
          </w:p>
        </w:tc>
        <w:tc>
          <w:tcPr>
            <w:tcW w:type="dxa" w:w="3600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Rehost / Replatform</w:t>
            </w:r>
          </w:p>
        </w:tc>
        <w:tc>
          <w:tcPr>
            <w:tcW w:type="dxa" w:w="2592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[Month Year]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  <w:t>Wave 3 — Tier-1 / Production</w:t>
            </w:r>
          </w:p>
        </w:tc>
        <w:tc>
          <w:tcPr>
            <w:tcW w:type="dxa" w:w="3600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  <w:t>[N] VMs — [prod, customer-facing]</w:t>
            </w:r>
          </w:p>
        </w:tc>
        <w:tc>
          <w:tcPr>
            <w:tcW w:type="dxa" w:w="3600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  <w:t>Rehost with optimisation</w:t>
            </w:r>
          </w:p>
        </w:tc>
        <w:tc>
          <w:tcPr>
            <w:tcW w:type="dxa" w:w="2592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  <w:t>[Month Year]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Wave 4 — Oracle / Complex</w:t>
            </w:r>
          </w:p>
        </w:tc>
        <w:tc>
          <w:tcPr>
            <w:tcW w:type="dxa" w:w="3600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[N] nodes — [Oracle RAC, legacy]</w:t>
            </w:r>
          </w:p>
        </w:tc>
        <w:tc>
          <w:tcPr>
            <w:tcW w:type="dxa" w:w="3600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Replatform / Rearchitect</w:t>
            </w:r>
          </w:p>
        </w:tc>
        <w:tc>
          <w:tcPr>
            <w:tcW w:type="dxa" w:w="2592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[Month Year]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  <w:t>Wave 5 — Decommission On-Prem</w:t>
            </w:r>
          </w:p>
        </w:tc>
        <w:tc>
          <w:tcPr>
            <w:tcW w:type="dxa" w:w="3600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  <w:t>All</w:t>
            </w:r>
          </w:p>
        </w:tc>
        <w:tc>
          <w:tcPr>
            <w:tcW w:type="dxa" w:w="3600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  <w:t>DC exit</w:t>
            </w:r>
          </w:p>
        </w:tc>
        <w:tc>
          <w:tcPr>
            <w:tcW w:type="dxa" w:w="2592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  <w:t>[Month Year]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4FD"/>
          </w:tcPr>
          <w:p>
            <w:r>
              <w:rPr>
                <w:i/>
                <w:color w:val="1A1F36"/>
                <w:sz w:val="20"/>
              </w:rPr>
              <w:t>Wave plan above is indicative. Part 2 will produce a detailed wave plan with application-level sequencing, dependency management, and cutover windows.</w:t>
            </w:r>
          </w:p>
        </w:tc>
      </w:tr>
    </w:tbl>
    <w:p>
      <w:pPr>
        <w:spacing w:after="0" w:before="0"/>
      </w:pPr>
    </w:p>
    <w:p>
      <w:pPr>
        <w:pStyle w:val="Heading3"/>
      </w:pPr>
      <w:r>
        <w:rPr>
          <w:color w:val="E31C3D"/>
        </w:rPr>
        <w:t>6.2 7Rs Estate View — High Level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600"/>
            <w:shd w:val="clear" w:color="auto" w:fill="E31C3D"/>
          </w:tcPr>
          <w:p>
            <w:r/>
            <w:r>
              <w:rPr>
                <w:b/>
                <w:i w:val="0"/>
                <w:color w:val="FFFFFF"/>
                <w:sz w:val="19"/>
              </w:rPr>
              <w:t>Migration Pattern</w:t>
            </w:r>
          </w:p>
        </w:tc>
        <w:tc>
          <w:tcPr>
            <w:tcW w:type="dxa" w:w="2880"/>
            <w:shd w:val="clear" w:color="auto" w:fill="E31C3D"/>
          </w:tcPr>
          <w:p>
            <w:r/>
            <w:r>
              <w:rPr>
                <w:b/>
                <w:i w:val="0"/>
                <w:color w:val="FFFFFF"/>
                <w:sz w:val="19"/>
              </w:rPr>
              <w:t>Est. VM / App Count</w:t>
            </w:r>
          </w:p>
        </w:tc>
        <w:tc>
          <w:tcPr>
            <w:tcW w:type="dxa" w:w="6192"/>
            <w:shd w:val="clear" w:color="auto" w:fill="E31C3D"/>
          </w:tcPr>
          <w:p>
            <w:r/>
            <w:r>
              <w:rPr>
                <w:b/>
                <w:i w:val="0"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3600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Rehost (lift-and-shift)</w:t>
            </w:r>
          </w:p>
        </w:tc>
        <w:tc>
          <w:tcPr>
            <w:tcW w:type="dxa" w:w="2880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[N]  ([X]%)</w:t>
            </w:r>
          </w:p>
        </w:tc>
        <w:tc>
          <w:tcPr>
            <w:tcW w:type="dxa" w:w="6192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Majority of estate — low complexity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  <w:t>Replatform</w:t>
            </w:r>
          </w:p>
        </w:tc>
        <w:tc>
          <w:tcPr>
            <w:tcW w:type="dxa" w:w="2880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  <w:t>[N]  ([X]%)</w:t>
            </w:r>
          </w:p>
        </w:tc>
        <w:tc>
          <w:tcPr>
            <w:tcW w:type="dxa" w:w="6192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  <w:t>PaaS-eligible (SQL to managed service, etc.)</w:t>
            </w:r>
          </w:p>
        </w:tc>
      </w:tr>
      <w:tr>
        <w:tc>
          <w:tcPr>
            <w:tcW w:type="dxa" w:w="3600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Rearchitect / Refactor</w:t>
            </w:r>
          </w:p>
        </w:tc>
        <w:tc>
          <w:tcPr>
            <w:tcW w:type="dxa" w:w="2880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[N]  ([X]%)</w:t>
            </w:r>
          </w:p>
        </w:tc>
        <w:tc>
          <w:tcPr>
            <w:tcW w:type="dxa" w:w="6192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Greenfield rebuild or containerisation candidates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  <w:t>Repurchase (SaaS)</w:t>
            </w:r>
          </w:p>
        </w:tc>
        <w:tc>
          <w:tcPr>
            <w:tcW w:type="dxa" w:w="2880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  <w:t>[N]</w:t>
            </w:r>
          </w:p>
        </w:tc>
        <w:tc>
          <w:tcPr>
            <w:tcW w:type="dxa" w:w="6192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  <w:t>Replace with SaaS equivalent</w:t>
            </w:r>
          </w:p>
        </w:tc>
      </w:tr>
      <w:tr>
        <w:tc>
          <w:tcPr>
            <w:tcW w:type="dxa" w:w="3600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Retire</w:t>
            </w:r>
          </w:p>
        </w:tc>
        <w:tc>
          <w:tcPr>
            <w:tcW w:type="dxa" w:w="2880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[N]</w:t>
            </w:r>
          </w:p>
        </w:tc>
        <w:tc>
          <w:tcPr>
            <w:tcW w:type="dxa" w:w="6192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Confirmed decommission — do not migrate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  <w:t>Retain</w:t>
            </w:r>
          </w:p>
        </w:tc>
        <w:tc>
          <w:tcPr>
            <w:tcW w:type="dxa" w:w="2880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  <w:t>[N]</w:t>
            </w:r>
          </w:p>
        </w:tc>
        <w:tc>
          <w:tcPr>
            <w:tcW w:type="dxa" w:w="6192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  <w:t>Cannot migrate — regulatory / latency / dependency</w:t>
            </w:r>
          </w:p>
        </w:tc>
      </w:tr>
      <w:tr>
        <w:tc>
          <w:tcPr>
            <w:tcW w:type="dxa" w:w="3600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Relocate</w:t>
            </w:r>
          </w:p>
        </w:tc>
        <w:tc>
          <w:tcPr>
            <w:tcW w:type="dxa" w:w="2880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[N]</w:t>
            </w:r>
          </w:p>
        </w:tc>
        <w:tc>
          <w:tcPr>
            <w:tcW w:type="dxa" w:w="6192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Move to different DC without cloud migration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31C3D"/>
          </w:tcPr>
          <w:p>
            <w:r>
              <w:rPr>
                <w:b/>
                <w:color w:val="FFFFFF"/>
                <w:sz w:val="26"/>
              </w:rPr>
              <w:t>SECTION 7 — RISK REGISTER (SUMMARY)  [MANDATORY]</w:t>
            </w:r>
          </w:p>
        </w:tc>
      </w:tr>
    </w:tbl>
    <w:p>
      <w:pPr>
        <w:spacing w:after="0" w:before="0"/>
      </w:pPr>
    </w:p>
    <w:p>
      <w:pPr>
        <w:pStyle w:val="Heading2"/>
      </w:pPr>
      <w:r>
        <w:rPr>
          <w:color w:val="E31C3D"/>
        </w:rPr>
        <w:t>7. Risk Register — Summary</w:t>
      </w:r>
    </w:p>
    <w:p>
      <w:pPr>
        <w:spacing w:after="80"/>
      </w:pPr>
      <w:r>
        <w:rPr>
          <w:b w:val="0"/>
          <w:i w:val="0"/>
          <w:sz w:val="21"/>
        </w:rPr>
        <w:t>Document the top risks identified in Part 1 so Part 2 has a risk baseline. Do not defer to Part 2 — risks identified now reduce surprises later.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432"/>
            <w:shd w:val="clear" w:color="auto" w:fill="E31C3D"/>
          </w:tcPr>
          <w:p>
            <w:r/>
            <w:r>
              <w:rPr>
                <w:b/>
                <w:i w:val="0"/>
                <w:color w:val="FFFFFF"/>
                <w:sz w:val="19"/>
              </w:rPr>
              <w:t>#</w:t>
            </w:r>
          </w:p>
        </w:tc>
        <w:tc>
          <w:tcPr>
            <w:tcW w:type="dxa" w:w="4032"/>
            <w:shd w:val="clear" w:color="auto" w:fill="E31C3D"/>
          </w:tcPr>
          <w:p>
            <w:r/>
            <w:r>
              <w:rPr>
                <w:b/>
                <w:i w:val="0"/>
                <w:color w:val="FFFFFF"/>
                <w:sz w:val="19"/>
              </w:rPr>
              <w:t>Risk</w:t>
            </w:r>
          </w:p>
        </w:tc>
        <w:tc>
          <w:tcPr>
            <w:tcW w:type="dxa" w:w="2160"/>
            <w:shd w:val="clear" w:color="auto" w:fill="E31C3D"/>
          </w:tcPr>
          <w:p>
            <w:r/>
            <w:r>
              <w:rPr>
                <w:b/>
                <w:i w:val="0"/>
                <w:color w:val="FFFFFF"/>
                <w:sz w:val="19"/>
              </w:rPr>
              <w:t>Category</w:t>
            </w:r>
          </w:p>
        </w:tc>
        <w:tc>
          <w:tcPr>
            <w:tcW w:type="dxa" w:w="1584"/>
            <w:shd w:val="clear" w:color="auto" w:fill="E31C3D"/>
          </w:tcPr>
          <w:p>
            <w:r/>
            <w:r>
              <w:rPr>
                <w:b/>
                <w:i w:val="0"/>
                <w:color w:val="FFFFFF"/>
                <w:sz w:val="19"/>
              </w:rPr>
              <w:t>Likelihood</w:t>
            </w:r>
          </w:p>
        </w:tc>
        <w:tc>
          <w:tcPr>
            <w:tcW w:type="dxa" w:w="1440"/>
            <w:shd w:val="clear" w:color="auto" w:fill="E31C3D"/>
          </w:tcPr>
          <w:p>
            <w:r/>
            <w:r>
              <w:rPr>
                <w:b/>
                <w:i w:val="0"/>
                <w:color w:val="FFFFFF"/>
                <w:sz w:val="19"/>
              </w:rPr>
              <w:t>Impact</w:t>
            </w:r>
          </w:p>
        </w:tc>
        <w:tc>
          <w:tcPr>
            <w:tcW w:type="dxa" w:w="3024"/>
            <w:shd w:val="clear" w:color="auto" w:fill="E31C3D"/>
          </w:tcPr>
          <w:p>
            <w:r/>
            <w:r>
              <w:rPr>
                <w:b/>
                <w:i w:val="0"/>
                <w:color w:val="FFFFFF"/>
                <w:sz w:val="19"/>
              </w:rPr>
              <w:t>Mitigation</w:t>
            </w:r>
          </w:p>
        </w:tc>
      </w:tr>
      <w:tr>
        <w:tc>
          <w:tcPr>
            <w:tcW w:type="dxa" w:w="432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4032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Oracle licensing cost overrun — BYOL complexity</w:t>
            </w:r>
          </w:p>
        </w:tc>
        <w:tc>
          <w:tcPr>
            <w:tcW w:type="dxa" w:w="2160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Licensing</w:t>
            </w:r>
          </w:p>
        </w:tc>
        <w:tc>
          <w:tcPr>
            <w:tcW w:type="dxa" w:w="1584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[H/M/L]</w:t>
            </w:r>
          </w:p>
        </w:tc>
        <w:tc>
          <w:tcPr>
            <w:tcW w:type="dxa" w:w="1440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[H/M/L]</w:t>
            </w:r>
          </w:p>
        </w:tc>
        <w:tc>
          <w:tcPr>
            <w:tcW w:type="dxa" w:w="3024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[Action]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  <w:t>2</w:t>
            </w:r>
          </w:p>
        </w:tc>
        <w:tc>
          <w:tcPr>
            <w:tcW w:type="dxa" w:w="4032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  <w:t>Network redesign delays wave 1</w:t>
            </w:r>
          </w:p>
        </w:tc>
        <w:tc>
          <w:tcPr>
            <w:tcW w:type="dxa" w:w="2160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  <w:t>Technical</w:t>
            </w:r>
          </w:p>
        </w:tc>
        <w:tc>
          <w:tcPr>
            <w:tcW w:type="dxa" w:w="1584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440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024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432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3</w:t>
            </w:r>
          </w:p>
        </w:tc>
        <w:tc>
          <w:tcPr>
            <w:tcW w:type="dxa" w:w="4032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Scope variance from additional discovery</w:t>
            </w:r>
          </w:p>
        </w:tc>
        <w:tc>
          <w:tcPr>
            <w:tcW w:type="dxa" w:w="2160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Commercial</w:t>
            </w:r>
          </w:p>
        </w:tc>
        <w:tc>
          <w:tcPr>
            <w:tcW w:type="dxa" w:w="1584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440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024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432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  <w:t>4</w:t>
            </w:r>
          </w:p>
        </w:tc>
        <w:tc>
          <w:tcPr>
            <w:tcW w:type="dxa" w:w="4032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  <w:t>CAB approval lead time for firewall changes</w:t>
            </w:r>
          </w:p>
        </w:tc>
        <w:tc>
          <w:tcPr>
            <w:tcW w:type="dxa" w:w="2160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  <w:t>Operational</w:t>
            </w:r>
          </w:p>
        </w:tc>
        <w:tc>
          <w:tcPr>
            <w:tcW w:type="dxa" w:w="1584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440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024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432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5</w:t>
            </w:r>
          </w:p>
        </w:tc>
        <w:tc>
          <w:tcPr>
            <w:tcW w:type="dxa" w:w="4032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[TEMPLATE ROW]</w:t>
            </w:r>
          </w:p>
        </w:tc>
        <w:tc>
          <w:tcPr>
            <w:tcW w:type="dxa" w:w="2160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584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440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024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4FD"/>
          </w:tcPr>
          <w:p>
            <w:r>
              <w:rPr>
                <w:i/>
                <w:color w:val="1A1F36"/>
                <w:sz w:val="20"/>
              </w:rPr>
              <w:t>DMG Media UK top risks: (1) Oracle RAC decommission — 18 clusters — BYOL path modelled, Oracle account team engaged. (2) Scope variance risk — estate grew 57% in Part 1 — scope gate added at Part 2 SOW. (3) Redis OSS licence change — 140+ instances — Redis Enterprise Ltd commercial negotiation parallel-tracked. (4) EoL OS (Windows 2012, RHEL 6) — 340+ servers — ESU cost modelled, upgrade wave prioritised. (5) CAB approval lead time 5–10 business days per firewall change — CAB pre-engagement initiated in week 1 of Part 2.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31C3D"/>
          </w:tcPr>
          <w:p>
            <w:r>
              <w:rPr>
                <w:b/>
                <w:color w:val="FFFFFF"/>
                <w:sz w:val="26"/>
              </w:rPr>
              <w:t>SECTION 8 — ORACLE MODERNISATION  [OPTIONAL — include if Oracle in estate]</w:t>
            </w:r>
          </w:p>
        </w:tc>
      </w:tr>
    </w:tbl>
    <w:p>
      <w:pPr>
        <w:spacing w:after="0" w:before="0"/>
      </w:pPr>
    </w:p>
    <w:p>
      <w:pPr>
        <w:pStyle w:val="Heading2"/>
      </w:pPr>
      <w:r>
        <w:rPr>
          <w:color w:val="E31C3D"/>
        </w:rPr>
        <w:t>8. Oracle Modernisation</w:t>
      </w:r>
    </w:p>
    <w:p>
      <w:pPr>
        <w:spacing w:after="80"/>
      </w:pPr>
      <w:r>
        <w:rPr>
          <w:b w:val="0"/>
          <w:i/>
          <w:sz w:val="21"/>
        </w:rPr>
        <w:t>Oracle is frequently the highest-risk and highest-cost element of any migration. A named section prevents it from being buried in the wave plan.</w:t>
      </w:r>
    </w:p>
    <w:p>
      <w:pPr>
        <w:pStyle w:val="Heading3"/>
      </w:pPr>
      <w:r>
        <w:rPr>
          <w:color w:val="E31C3D"/>
        </w:rPr>
        <w:t>8.1 Oracle Estate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2160"/>
            <w:shd w:val="clear" w:color="auto" w:fill="E31C3D"/>
          </w:tcPr>
          <w:p>
            <w:r/>
            <w:r>
              <w:rPr>
                <w:b/>
                <w:i w:val="0"/>
                <w:color w:val="FFFFFF"/>
                <w:sz w:val="19"/>
              </w:rPr>
              <w:t>Workload</w:t>
            </w:r>
          </w:p>
        </w:tc>
        <w:tc>
          <w:tcPr>
            <w:tcW w:type="dxa" w:w="1296"/>
            <w:shd w:val="clear" w:color="auto" w:fill="E31C3D"/>
          </w:tcPr>
          <w:p>
            <w:r/>
            <w:r>
              <w:rPr>
                <w:b/>
                <w:i w:val="0"/>
                <w:color w:val="FFFFFF"/>
                <w:sz w:val="19"/>
              </w:rPr>
              <w:t>Version</w:t>
            </w:r>
          </w:p>
        </w:tc>
        <w:tc>
          <w:tcPr>
            <w:tcW w:type="dxa" w:w="1872"/>
            <w:shd w:val="clear" w:color="auto" w:fill="E31C3D"/>
          </w:tcPr>
          <w:p>
            <w:r/>
            <w:r>
              <w:rPr>
                <w:b/>
                <w:i w:val="0"/>
                <w:color w:val="FFFFFF"/>
                <w:sz w:val="19"/>
              </w:rPr>
              <w:t>Licence Model</w:t>
            </w:r>
          </w:p>
        </w:tc>
        <w:tc>
          <w:tcPr>
            <w:tcW w:type="dxa" w:w="1584"/>
            <w:shd w:val="clear" w:color="auto" w:fill="E31C3D"/>
          </w:tcPr>
          <w:p>
            <w:r/>
            <w:r>
              <w:rPr>
                <w:b/>
                <w:i w:val="0"/>
                <w:color w:val="FFFFFF"/>
                <w:sz w:val="19"/>
              </w:rPr>
              <w:t>VM / Node Count</w:t>
            </w:r>
          </w:p>
        </w:tc>
        <w:tc>
          <w:tcPr>
            <w:tcW w:type="dxa" w:w="3600"/>
            <w:shd w:val="clear" w:color="auto" w:fill="E31C3D"/>
          </w:tcPr>
          <w:p>
            <w:r/>
            <w:r>
              <w:rPr>
                <w:b/>
                <w:i w:val="0"/>
                <w:color w:val="FFFFFF"/>
                <w:sz w:val="19"/>
              </w:rPr>
              <w:t>Recommended Path</w:t>
            </w:r>
          </w:p>
        </w:tc>
        <w:tc>
          <w:tcPr>
            <w:tcW w:type="dxa" w:w="2160"/>
            <w:shd w:val="clear" w:color="auto" w:fill="E31C3D"/>
          </w:tcPr>
          <w:p>
            <w:r/>
            <w:r>
              <w:rPr>
                <w:b/>
                <w:i w:val="0"/>
                <w:color w:val="FFFFFF"/>
                <w:sz w:val="19"/>
              </w:rPr>
              <w:t>Est. Annual Saving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Oracle RAC</w:t>
            </w:r>
          </w:p>
        </w:tc>
        <w:tc>
          <w:tcPr>
            <w:tcW w:type="dxa" w:w="1296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[version]</w:t>
            </w:r>
          </w:p>
        </w:tc>
        <w:tc>
          <w:tcPr>
            <w:tcW w:type="dxa" w:w="1872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BYOL (Processor)</w:t>
            </w:r>
          </w:p>
        </w:tc>
        <w:tc>
          <w:tcPr>
            <w:tcW w:type="dxa" w:w="1584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[N nodes]</w:t>
            </w:r>
          </w:p>
        </w:tc>
        <w:tc>
          <w:tcPr>
            <w:tcW w:type="dxa" w:w="3600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Oracle DB on dedicated VM hosts (BYOL) — evaluate OCI in 24 months</w:t>
            </w:r>
          </w:p>
        </w:tc>
        <w:tc>
          <w:tcPr>
            <w:tcW w:type="dxa" w:w="2160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£/$ [X]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  <w:t>Oracle SE / EE standalone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  <w:t>[version]</w:t>
            </w:r>
          </w:p>
        </w:tc>
        <w:tc>
          <w:tcPr>
            <w:tcW w:type="dxa" w:w="1872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  <w:t>BYOL</w:t>
            </w:r>
          </w:p>
        </w:tc>
        <w:tc>
          <w:tcPr>
            <w:tcW w:type="dxa" w:w="1584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  <w:t>[N]</w:t>
            </w:r>
          </w:p>
        </w:tc>
        <w:tc>
          <w:tcPr>
            <w:tcW w:type="dxa" w:w="3600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  <w:t>Rehost BYOL on [Azure / AWS / GCP]</w:t>
            </w:r>
          </w:p>
        </w:tc>
        <w:tc>
          <w:tcPr>
            <w:tcW w:type="dxa" w:w="2160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  <w:t>£/$ [X]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Oracle Forms / E-Business Suite</w:t>
            </w:r>
          </w:p>
        </w:tc>
        <w:tc>
          <w:tcPr>
            <w:tcW w:type="dxa" w:w="1296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[version]</w:t>
            </w:r>
          </w:p>
        </w:tc>
        <w:tc>
          <w:tcPr>
            <w:tcW w:type="dxa" w:w="1872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BYOL</w:t>
            </w:r>
          </w:p>
        </w:tc>
        <w:tc>
          <w:tcPr>
            <w:tcW w:type="dxa" w:w="1584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[N]</w:t>
            </w:r>
          </w:p>
        </w:tc>
        <w:tc>
          <w:tcPr>
            <w:tcW w:type="dxa" w:w="3600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Rehost IaaS — no PaaS alternative at scale</w:t>
            </w:r>
          </w:p>
        </w:tc>
        <w:tc>
          <w:tcPr>
            <w:tcW w:type="dxa" w:w="2160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N/A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  <w:t>[TEMPLATE ROW]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872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584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600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160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</w:tbl>
    <w:p>
      <w:pPr>
        <w:spacing w:after="0" w:before="0"/>
      </w:pPr>
    </w:p>
    <w:p>
      <w:pPr>
        <w:pStyle w:val="Heading3"/>
      </w:pPr>
      <w:r>
        <w:rPr>
          <w:color w:val="E31C3D"/>
        </w:rPr>
        <w:t>8.2 Oracle Licensing Flags</w:t>
      </w:r>
    </w:p>
    <w:p>
      <w:pPr>
        <w:pStyle w:val="ListBullet"/>
        <w:spacing w:after="40"/>
        <w:ind w:left="360"/>
      </w:pPr>
      <w:r>
        <w:rPr>
          <w:sz w:val="21"/>
        </w:rPr>
        <w:t>[ ] Is Oracle licensing currently processor-based or NUP? (affects cloud core count)</w:t>
      </w:r>
    </w:p>
    <w:p>
      <w:pPr>
        <w:pStyle w:val="ListBullet"/>
        <w:spacing w:after="40"/>
        <w:ind w:left="360"/>
      </w:pPr>
      <w:r>
        <w:rPr>
          <w:sz w:val="21"/>
        </w:rPr>
        <w:t>[ ] Does the customer have an Oracle Unlimited Licence Agreement (ULA)?</w:t>
      </w:r>
    </w:p>
    <w:p>
      <w:pPr>
        <w:pStyle w:val="ListBullet"/>
        <w:spacing w:after="40"/>
        <w:ind w:left="360"/>
      </w:pPr>
      <w:r>
        <w:rPr>
          <w:sz w:val="21"/>
        </w:rPr>
        <w:t>[ ] Are any workloads eligible for Oracle database service inclusion in OCI? (changes hyperscaler recommendation)</w:t>
      </w:r>
    </w:p>
    <w:p>
      <w:pPr>
        <w:pStyle w:val="ListBullet"/>
        <w:spacing w:after="40"/>
        <w:ind w:left="360"/>
      </w:pPr>
      <w:r>
        <w:rPr>
          <w:sz w:val="21"/>
        </w:rPr>
        <w:t>[ ] Has the customer engaged Oracle account management on cloud migration intent?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3CD"/>
          </w:tcPr>
          <w:p>
            <w:r>
              <w:rPr>
                <w:b/>
                <w:color w:val="856404"/>
                <w:sz w:val="20"/>
              </w:rPr>
              <w:t>Rackspace Oracle practice note: Engage the Rackspace Oracle DBA practice before committing Oracle licensing recommendations to the Part 2 SOW. Oracle licensing in the cloud has non-obvious traps (VMware soft-partitioning, cloud vCPU multipliers) that require specialist review.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31C3D"/>
          </w:tcPr>
          <w:p>
            <w:r>
              <w:rPr>
                <w:b/>
                <w:color w:val="FFFFFF"/>
                <w:sz w:val="26"/>
              </w:rPr>
              <w:t>SECTION 9 — PART 2 ENGAGEMENT MODEL  [MANDATORY]</w:t>
            </w:r>
          </w:p>
        </w:tc>
      </w:tr>
    </w:tbl>
    <w:p>
      <w:pPr>
        <w:spacing w:after="0" w:before="0"/>
      </w:pPr>
    </w:p>
    <w:p>
      <w:pPr>
        <w:pStyle w:val="Heading2"/>
      </w:pPr>
      <w:r>
        <w:rPr>
          <w:color w:val="E31C3D"/>
        </w:rPr>
        <w:t>9. Part 2 Engagement Model</w:t>
      </w:r>
    </w:p>
    <w:p>
      <w:pPr>
        <w:pStyle w:val="Heading3"/>
      </w:pPr>
      <w:r>
        <w:rPr>
          <w:color w:val="E31C3D"/>
        </w:rPr>
        <w:t>9.1 What Part 2 Delivers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600"/>
            <w:shd w:val="clear" w:color="auto" w:fill="E31C3D"/>
          </w:tcPr>
          <w:p>
            <w:r/>
            <w:r>
              <w:rPr>
                <w:b/>
                <w:i w:val="0"/>
                <w:color w:val="FFFFFF"/>
                <w:sz w:val="19"/>
              </w:rPr>
              <w:t>Deliverable</w:t>
            </w:r>
          </w:p>
        </w:tc>
        <w:tc>
          <w:tcPr>
            <w:tcW w:type="dxa" w:w="5760"/>
            <w:shd w:val="clear" w:color="auto" w:fill="E31C3D"/>
          </w:tcPr>
          <w:p>
            <w:r/>
            <w:r>
              <w:rPr>
                <w:b/>
                <w:i w:val="0"/>
                <w:color w:val="FFFFFF"/>
                <w:sz w:val="19"/>
              </w:rPr>
              <w:t>Description</w:t>
            </w:r>
          </w:p>
        </w:tc>
        <w:tc>
          <w:tcPr>
            <w:tcW w:type="dxa" w:w="1872"/>
            <w:shd w:val="clear" w:color="auto" w:fill="E31C3D"/>
          </w:tcPr>
          <w:p>
            <w:r/>
            <w:r>
              <w:rPr>
                <w:b/>
                <w:i w:val="0"/>
                <w:color w:val="FFFFFF"/>
                <w:sz w:val="19"/>
              </w:rPr>
              <w:t>Format</w:t>
            </w:r>
          </w:p>
        </w:tc>
      </w:tr>
      <w:tr>
        <w:tc>
          <w:tcPr>
            <w:tcW w:type="dxa" w:w="3600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Detailed migration wave plan</w:t>
            </w:r>
          </w:p>
        </w:tc>
        <w:tc>
          <w:tcPr>
            <w:tcW w:type="dxa" w:w="5760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Application-level sequencing with dependencies, cutover windows, rollback plans</w:t>
            </w:r>
          </w:p>
        </w:tc>
        <w:tc>
          <w:tcPr>
            <w:tcW w:type="dxa" w:w="1872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Excel + PPTX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  <w:t>Architecture blueprints</w:t>
            </w:r>
          </w:p>
        </w:tc>
        <w:tc>
          <w:tcPr>
            <w:tcW w:type="dxa" w:w="5760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  <w:t>Landing zone design, network topology, IAM model for [primary cloud]</w:t>
            </w:r>
          </w:p>
        </w:tc>
        <w:tc>
          <w:tcPr>
            <w:tcW w:type="dxa" w:w="1872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  <w:t>Visio / draw.io + DOCX</w:t>
            </w:r>
          </w:p>
        </w:tc>
      </w:tr>
      <w:tr>
        <w:tc>
          <w:tcPr>
            <w:tcW w:type="dxa" w:w="3600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Migration runbooks</w:t>
            </w:r>
          </w:p>
        </w:tc>
        <w:tc>
          <w:tcPr>
            <w:tcW w:type="dxa" w:w="5760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Wave-level runbooks for Rehost migrations; application-specific for complex workloads</w:t>
            </w:r>
          </w:p>
        </w:tc>
        <w:tc>
          <w:tcPr>
            <w:tcW w:type="dxa" w:w="1872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DOCX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  <w:t>Oracle migration plan</w:t>
            </w:r>
          </w:p>
        </w:tc>
        <w:tc>
          <w:tcPr>
            <w:tcW w:type="dxa" w:w="5760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  <w:t>Detailed Oracle estate migration path with licensing confirmation</w:t>
            </w:r>
          </w:p>
        </w:tc>
        <w:tc>
          <w:tcPr>
            <w:tcW w:type="dxa" w:w="1872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  <w:t>DOCX</w:t>
            </w:r>
          </w:p>
        </w:tc>
      </w:tr>
      <w:tr>
        <w:tc>
          <w:tcPr>
            <w:tcW w:type="dxa" w:w="3600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Governance framework</w:t>
            </w:r>
          </w:p>
        </w:tc>
        <w:tc>
          <w:tcPr>
            <w:tcW w:type="dxa" w:w="5760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Operating model for cloud-first operations post-migration</w:t>
            </w:r>
          </w:p>
        </w:tc>
        <w:tc>
          <w:tcPr>
            <w:tcW w:type="dxa" w:w="1872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DOCX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  <w:t>Programme governance</w:t>
            </w:r>
          </w:p>
        </w:tc>
        <w:tc>
          <w:tcPr>
            <w:tcW w:type="dxa" w:w="5760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  <w:t>Programme board, weekly reporting, RAID log, change control</w:t>
            </w:r>
          </w:p>
        </w:tc>
        <w:tc>
          <w:tcPr>
            <w:tcW w:type="dxa" w:w="1872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  <w:t>Ongoing</w:t>
            </w:r>
          </w:p>
        </w:tc>
      </w:tr>
      <w:tr>
        <w:tc>
          <w:tcPr>
            <w:tcW w:type="dxa" w:w="3600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[Additional — TEMPLATE ROW]</w:t>
            </w:r>
          </w:p>
        </w:tc>
        <w:tc>
          <w:tcPr>
            <w:tcW w:type="dxa" w:w="5760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872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</w:tbl>
    <w:p>
      <w:pPr>
        <w:spacing w:after="0" w:before="0"/>
      </w:pPr>
    </w:p>
    <w:p>
      <w:pPr>
        <w:pStyle w:val="Heading3"/>
      </w:pPr>
      <w:r>
        <w:rPr>
          <w:color w:val="E31C3D"/>
        </w:rPr>
        <w:t>9.2 Indicative Timeline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shd w:val="clear" w:color="auto" w:fill="E31C3D"/>
          </w:tcPr>
          <w:p>
            <w:r/>
            <w:r>
              <w:rPr>
                <w:b/>
                <w:i w:val="0"/>
                <w:color w:val="FFFFFF"/>
                <w:sz w:val="19"/>
              </w:rPr>
              <w:t>Phase</w:t>
            </w:r>
          </w:p>
        </w:tc>
        <w:tc>
          <w:tcPr>
            <w:tcW w:type="dxa" w:w="2160"/>
            <w:shd w:val="clear" w:color="auto" w:fill="E31C3D"/>
          </w:tcPr>
          <w:p>
            <w:r/>
            <w:r>
              <w:rPr>
                <w:b/>
                <w:i w:val="0"/>
                <w:color w:val="FFFFFF"/>
                <w:sz w:val="19"/>
              </w:rPr>
              <w:t>Duration</w:t>
            </w:r>
          </w:p>
        </w:tc>
        <w:tc>
          <w:tcPr>
            <w:tcW w:type="dxa" w:w="7920"/>
            <w:shd w:val="clear" w:color="auto" w:fill="E31C3D"/>
          </w:tcPr>
          <w:p>
            <w:r/>
            <w:r>
              <w:rPr>
                <w:b/>
                <w:i w:val="0"/>
                <w:color w:val="FFFFFF"/>
                <w:sz w:val="19"/>
              </w:rPr>
              <w:t>Activities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Foundation</w:t>
            </w:r>
          </w:p>
        </w:tc>
        <w:tc>
          <w:tcPr>
            <w:tcW w:type="dxa" w:w="2160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Weeks 1–4</w:t>
            </w:r>
          </w:p>
        </w:tc>
        <w:tc>
          <w:tcPr>
            <w:tcW w:type="dxa" w:w="7920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Landing zone build, tooling deployment, Wave 0 PoC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  <w:t>Wave 1</w:t>
            </w:r>
          </w:p>
        </w:tc>
        <w:tc>
          <w:tcPr>
            <w:tcW w:type="dxa" w:w="2160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  <w:t>Weeks 5–12</w:t>
            </w:r>
          </w:p>
        </w:tc>
        <w:tc>
          <w:tcPr>
            <w:tcW w:type="dxa" w:w="7920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  <w:t>Dev/test + non-critical workloads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Wave 2</w:t>
            </w:r>
          </w:p>
        </w:tc>
        <w:tc>
          <w:tcPr>
            <w:tcW w:type="dxa" w:w="2160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Weeks 13–20</w:t>
            </w:r>
          </w:p>
        </w:tc>
        <w:tc>
          <w:tcPr>
            <w:tcW w:type="dxa" w:w="7920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Business applications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  <w:t>Wave 3</w:t>
            </w:r>
          </w:p>
        </w:tc>
        <w:tc>
          <w:tcPr>
            <w:tcW w:type="dxa" w:w="2160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  <w:t>Weeks 21–32</w:t>
            </w:r>
          </w:p>
        </w:tc>
        <w:tc>
          <w:tcPr>
            <w:tcW w:type="dxa" w:w="7920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  <w:t>Tier-1 / production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Wave 4</w:t>
            </w:r>
          </w:p>
        </w:tc>
        <w:tc>
          <w:tcPr>
            <w:tcW w:type="dxa" w:w="2160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Weeks 33–44</w:t>
            </w:r>
          </w:p>
        </w:tc>
        <w:tc>
          <w:tcPr>
            <w:tcW w:type="dxa" w:w="7920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Oracle / complex workloads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  <w:t>DC Exit</w:t>
            </w:r>
          </w:p>
        </w:tc>
        <w:tc>
          <w:tcPr>
            <w:tcW w:type="dxa" w:w="2160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  <w:t>Weeks 45–52</w:t>
            </w:r>
          </w:p>
        </w:tc>
        <w:tc>
          <w:tcPr>
            <w:tcW w:type="dxa" w:w="7920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  <w:t>Decommission on-prem, final validation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4FD"/>
          </w:tcPr>
          <w:p>
            <w:r>
              <w:rPr>
                <w:i/>
                <w:color w:val="1A1F36"/>
                <w:sz w:val="20"/>
              </w:rPr>
              <w:t>Timeline is indicative and based on [N] VMs and [N] waves. Actual timeline confirmed at Part 2 kick-off after detailed wave planning.</w:t>
            </w:r>
          </w:p>
        </w:tc>
      </w:tr>
    </w:tbl>
    <w:p>
      <w:pPr>
        <w:spacing w:after="0" w:before="0"/>
      </w:pPr>
    </w:p>
    <w:p>
      <w:pPr>
        <w:pStyle w:val="Heading3"/>
      </w:pPr>
      <w:r>
        <w:rPr>
          <w:color w:val="E31C3D"/>
        </w:rPr>
        <w:t>9.3 Investment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5040"/>
            <w:shd w:val="clear" w:color="auto" w:fill="E31C3D"/>
          </w:tcPr>
          <w:p>
            <w:r/>
            <w:r>
              <w:rPr>
                <w:b/>
                <w:i w:val="0"/>
                <w:color w:val="FFFFFF"/>
                <w:sz w:val="19"/>
              </w:rPr>
              <w:t>Component</w:t>
            </w:r>
          </w:p>
        </w:tc>
        <w:tc>
          <w:tcPr>
            <w:tcW w:type="dxa" w:w="2880"/>
            <w:shd w:val="clear" w:color="auto" w:fill="E31C3D"/>
          </w:tcPr>
          <w:p>
            <w:r/>
            <w:r>
              <w:rPr>
                <w:b/>
                <w:i w:val="0"/>
                <w:color w:val="FFFFFF"/>
                <w:sz w:val="19"/>
              </w:rPr>
              <w:t>Indicative Range</w:t>
            </w:r>
          </w:p>
        </w:tc>
        <w:tc>
          <w:tcPr>
            <w:tcW w:type="dxa" w:w="4752"/>
            <w:shd w:val="clear" w:color="auto" w:fill="E31C3D"/>
          </w:tcPr>
          <w:p>
            <w:r/>
            <w:r>
              <w:rPr>
                <w:b/>
                <w:i w:val="0"/>
                <w:color w:val="FFFFFF"/>
                <w:sz w:val="19"/>
              </w:rPr>
              <w:t>Basis</w:t>
            </w:r>
          </w:p>
        </w:tc>
      </w:tr>
      <w:tr>
        <w:tc>
          <w:tcPr>
            <w:tcW w:type="dxa" w:w="5040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Professional services (Rackspace Part 2 delivery)</w:t>
            </w:r>
          </w:p>
        </w:tc>
        <w:tc>
          <w:tcPr>
            <w:tcW w:type="dxa" w:w="2880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£/$ [X]–[Y]</w:t>
            </w:r>
          </w:p>
        </w:tc>
        <w:tc>
          <w:tcPr>
            <w:tcW w:type="dxa" w:w="4752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Per SOW</w:t>
            </w:r>
          </w:p>
        </w:tc>
      </w:tr>
      <w:tr>
        <w:tc>
          <w:tcPr>
            <w:tcW w:type="dxa" w:w="5040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  <w:t>Cloud consumption (Year 1 — post-migration)</w:t>
            </w:r>
          </w:p>
        </w:tc>
        <w:tc>
          <w:tcPr>
            <w:tcW w:type="dxa" w:w="2880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  <w:t>£/$ [X]–[Y]</w:t>
            </w:r>
          </w:p>
        </w:tc>
        <w:tc>
          <w:tcPr>
            <w:tcW w:type="dxa" w:w="4752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  <w:t>Per TCO model</w:t>
            </w:r>
          </w:p>
        </w:tc>
      </w:tr>
      <w:tr>
        <w:tc>
          <w:tcPr>
            <w:tcW w:type="dxa" w:w="5040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Migration tooling (licences)</w:t>
            </w:r>
          </w:p>
        </w:tc>
        <w:tc>
          <w:tcPr>
            <w:tcW w:type="dxa" w:w="2880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£/$ [X]–[Y]</w:t>
            </w:r>
          </w:p>
        </w:tc>
        <w:tc>
          <w:tcPr>
            <w:tcW w:type="dxa" w:w="4752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5040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  <w:t>AMM / MAP / PSO funding offset</w:t>
            </w:r>
          </w:p>
        </w:tc>
        <w:tc>
          <w:tcPr>
            <w:tcW w:type="dxa" w:w="2880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  <w:t>(£/$ [X]–[Y])</w:t>
            </w:r>
          </w:p>
        </w:tc>
        <w:tc>
          <w:tcPr>
            <w:tcW w:type="dxa" w:w="4752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  <w:t>Subject to programme approval</w:t>
            </w:r>
          </w:p>
        </w:tc>
      </w:tr>
      <w:tr>
        <w:tc>
          <w:tcPr>
            <w:tcW w:type="dxa" w:w="5040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NET YEAR 1 INVESTMENT</w:t>
            </w:r>
          </w:p>
        </w:tc>
        <w:tc>
          <w:tcPr>
            <w:tcW w:type="dxa" w:w="2880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£/$ [X]–[Y]</w:t>
            </w:r>
          </w:p>
        </w:tc>
        <w:tc>
          <w:tcPr>
            <w:tcW w:type="dxa" w:w="4752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After partner funding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31C3D"/>
          </w:tcPr>
          <w:p>
            <w:r>
              <w:rPr>
                <w:b/>
                <w:color w:val="FFFFFF"/>
                <w:sz w:val="26"/>
              </w:rPr>
              <w:t>SECTION 10 — NEXT STEPS  [MANDATORY]</w:t>
            </w:r>
          </w:p>
        </w:tc>
      </w:tr>
    </w:tbl>
    <w:p>
      <w:pPr>
        <w:spacing w:after="0" w:before="0"/>
      </w:pPr>
    </w:p>
    <w:p>
      <w:pPr>
        <w:pStyle w:val="Heading2"/>
      </w:pPr>
      <w:r>
        <w:rPr>
          <w:color w:val="E31C3D"/>
        </w:rPr>
        <w:t>10. Next Steps</w:t>
      </w:r>
    </w:p>
    <w:p>
      <w:pPr>
        <w:spacing w:after="80"/>
      </w:pPr>
      <w:r>
        <w:rPr>
          <w:b w:val="0"/>
          <w:i w:val="0"/>
          <w:sz w:val="21"/>
        </w:rPr>
        <w:t>The customer must leave this document knowing exactly what happens next and who does what.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576"/>
            <w:shd w:val="clear" w:color="auto" w:fill="E31C3D"/>
          </w:tcPr>
          <w:p>
            <w:r/>
            <w:r>
              <w:rPr>
                <w:b/>
                <w:i w:val="0"/>
                <w:color w:val="FFFFFF"/>
                <w:sz w:val="19"/>
              </w:rPr>
              <w:t>#</w:t>
            </w:r>
          </w:p>
        </w:tc>
        <w:tc>
          <w:tcPr>
            <w:tcW w:type="dxa" w:w="5472"/>
            <w:shd w:val="clear" w:color="auto" w:fill="E31C3D"/>
          </w:tcPr>
          <w:p>
            <w:r/>
            <w:r>
              <w:rPr>
                <w:b/>
                <w:i w:val="0"/>
                <w:color w:val="FFFFFF"/>
                <w:sz w:val="19"/>
              </w:rPr>
              <w:t>Action</w:t>
            </w:r>
          </w:p>
        </w:tc>
        <w:tc>
          <w:tcPr>
            <w:tcW w:type="dxa" w:w="4032"/>
            <w:shd w:val="clear" w:color="auto" w:fill="E31C3D"/>
          </w:tcPr>
          <w:p>
            <w:r/>
            <w:r>
              <w:rPr>
                <w:b/>
                <w:i w:val="0"/>
                <w:color w:val="FFFFFF"/>
                <w:sz w:val="19"/>
              </w:rPr>
              <w:t>Owner</w:t>
            </w:r>
          </w:p>
        </w:tc>
        <w:tc>
          <w:tcPr>
            <w:tcW w:type="dxa" w:w="2592"/>
            <w:shd w:val="clear" w:color="auto" w:fill="E31C3D"/>
          </w:tcPr>
          <w:p>
            <w:r/>
            <w:r>
              <w:rPr>
                <w:b/>
                <w:i w:val="0"/>
                <w:color w:val="FFFFFF"/>
                <w:sz w:val="19"/>
              </w:rPr>
              <w:t>Target Date</w:t>
            </w:r>
          </w:p>
        </w:tc>
      </w:tr>
      <w:tr>
        <w:tc>
          <w:tcPr>
            <w:tcW w:type="dxa" w:w="576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5472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Customer sign-off on Part 2 Entry Point</w:t>
            </w:r>
          </w:p>
        </w:tc>
        <w:tc>
          <w:tcPr>
            <w:tcW w:type="dxa" w:w="4032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[Customer sponsor name]</w:t>
            </w:r>
          </w:p>
        </w:tc>
        <w:tc>
          <w:tcPr>
            <w:tcW w:type="dxa" w:w="2592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[DD Month YYYY]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  <w:t>2</w:t>
            </w:r>
          </w:p>
        </w:tc>
        <w:tc>
          <w:tcPr>
            <w:tcW w:type="dxa" w:w="5472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  <w:t>Rackspace issues Part 2 SOW for review</w:t>
            </w:r>
          </w:p>
        </w:tc>
        <w:tc>
          <w:tcPr>
            <w:tcW w:type="dxa" w:w="4032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  <w:t>Rackspace Delivery Manager</w:t>
            </w:r>
          </w:p>
        </w:tc>
        <w:tc>
          <w:tcPr>
            <w:tcW w:type="dxa" w:w="2592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  <w:t>[DD Month YYYY]</w:t>
            </w:r>
          </w:p>
        </w:tc>
      </w:tr>
      <w:tr>
        <w:tc>
          <w:tcPr>
            <w:tcW w:type="dxa" w:w="576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3</w:t>
            </w:r>
          </w:p>
        </w:tc>
        <w:tc>
          <w:tcPr>
            <w:tcW w:type="dxa" w:w="5472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AMM / MAP / PSO deal registration</w:t>
            </w:r>
          </w:p>
        </w:tc>
        <w:tc>
          <w:tcPr>
            <w:tcW w:type="dxa" w:w="4032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Rackspace Alliance Manager</w:t>
            </w:r>
          </w:p>
        </w:tc>
        <w:tc>
          <w:tcPr>
            <w:tcW w:type="dxa" w:w="2592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Before SOW signature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  <w:t>4</w:t>
            </w:r>
          </w:p>
        </w:tc>
        <w:tc>
          <w:tcPr>
            <w:tcW w:type="dxa" w:w="5472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  <w:t>Part 2 kick-off meeting (SAs + customer architects)</w:t>
            </w:r>
          </w:p>
        </w:tc>
        <w:tc>
          <w:tcPr>
            <w:tcW w:type="dxa" w:w="4032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  <w:t>[Lead Architect]</w:t>
            </w:r>
          </w:p>
        </w:tc>
        <w:tc>
          <w:tcPr>
            <w:tcW w:type="dxa" w:w="2592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  <w:t>[DD Month YYYY]</w:t>
            </w:r>
          </w:p>
        </w:tc>
      </w:tr>
      <w:tr>
        <w:tc>
          <w:tcPr>
            <w:tcW w:type="dxa" w:w="576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5</w:t>
            </w:r>
          </w:p>
        </w:tc>
        <w:tc>
          <w:tcPr>
            <w:tcW w:type="dxa" w:w="5472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Landing zone decision confirmed (greenfield vs. existing)</w:t>
            </w:r>
          </w:p>
        </w:tc>
        <w:tc>
          <w:tcPr>
            <w:tcW w:type="dxa" w:w="4032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[Customer CTO / Lead Architect]</w:t>
            </w:r>
          </w:p>
        </w:tc>
        <w:tc>
          <w:tcPr>
            <w:tcW w:type="dxa" w:w="2592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[DD Month YYYY]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  <w:t>6</w:t>
            </w:r>
          </w:p>
        </w:tc>
        <w:tc>
          <w:tcPr>
            <w:tcW w:type="dxa" w:w="5472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  <w:t>Oracle account management engagement</w:t>
            </w:r>
          </w:p>
        </w:tc>
        <w:tc>
          <w:tcPr>
            <w:tcW w:type="dxa" w:w="4032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  <w:t>[Customer Oracle owner]</w:t>
            </w:r>
          </w:p>
        </w:tc>
        <w:tc>
          <w:tcPr>
            <w:tcW w:type="dxa" w:w="2592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  <w:t>[DD Month YYYY]</w:t>
            </w:r>
          </w:p>
        </w:tc>
      </w:tr>
      <w:tr>
        <w:tc>
          <w:tcPr>
            <w:tcW w:type="dxa" w:w="576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[TEMPLATE ROW]</w:t>
            </w:r>
          </w:p>
        </w:tc>
        <w:tc>
          <w:tcPr>
            <w:tcW w:type="dxa" w:w="5472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4032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592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31C3D"/>
          </w:tcPr>
          <w:p>
            <w:r>
              <w:rPr>
                <w:b/>
                <w:color w:val="FFFFFF"/>
                <w:sz w:val="26"/>
              </w:rPr>
              <w:t>DOCUMENT CONTROL</w:t>
            </w:r>
          </w:p>
        </w:tc>
      </w:tr>
    </w:tbl>
    <w:p>
      <w:pPr>
        <w:spacing w:after="0" w:before="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40"/>
            <w:shd w:val="clear" w:color="auto" w:fill="E31C3D"/>
          </w:tcPr>
          <w:p>
            <w:r/>
            <w:r>
              <w:rPr>
                <w:b/>
                <w:i w:val="0"/>
                <w:color w:val="FFFFFF"/>
                <w:sz w:val="19"/>
              </w:rPr>
              <w:t>Version</w:t>
            </w:r>
          </w:p>
        </w:tc>
        <w:tc>
          <w:tcPr>
            <w:tcW w:type="dxa" w:w="2592"/>
            <w:shd w:val="clear" w:color="auto" w:fill="E31C3D"/>
          </w:tcPr>
          <w:p>
            <w:r/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2880"/>
            <w:shd w:val="clear" w:color="auto" w:fill="E31C3D"/>
          </w:tcPr>
          <w:p>
            <w:r/>
            <w:r>
              <w:rPr>
                <w:b/>
                <w:i w:val="0"/>
                <w:color w:val="FFFFFF"/>
                <w:sz w:val="19"/>
              </w:rPr>
              <w:t>Author</w:t>
            </w:r>
          </w:p>
        </w:tc>
        <w:tc>
          <w:tcPr>
            <w:tcW w:type="dxa" w:w="5760"/>
            <w:shd w:val="clear" w:color="auto" w:fill="E31C3D"/>
          </w:tcPr>
          <w:p>
            <w:r/>
            <w:r>
              <w:rPr>
                <w:b/>
                <w:i w:val="0"/>
                <w:color w:val="FFFFFF"/>
                <w:sz w:val="19"/>
              </w:rPr>
              <w:t>Changes</w:t>
            </w:r>
          </w:p>
        </w:tc>
      </w:tr>
      <w:tr>
        <w:tc>
          <w:tcPr>
            <w:tcW w:type="dxa" w:w="1440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0.1</w:t>
            </w:r>
          </w:p>
        </w:tc>
        <w:tc>
          <w:tcPr>
            <w:tcW w:type="dxa" w:w="2592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[DD Month YYYY]</w:t>
            </w:r>
          </w:p>
        </w:tc>
        <w:tc>
          <w:tcPr>
            <w:tcW w:type="dxa" w:w="2880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[Lead Architect]</w:t>
            </w:r>
          </w:p>
        </w:tc>
        <w:tc>
          <w:tcPr>
            <w:tcW w:type="dxa" w:w="5760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Initial draft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  <w:t>0.2</w:t>
            </w:r>
          </w:p>
        </w:tc>
        <w:tc>
          <w:tcPr>
            <w:tcW w:type="dxa" w:w="2592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  <w:t>[DD Month YYYY]</w:t>
            </w:r>
          </w:p>
        </w:tc>
        <w:tc>
          <w:tcPr>
            <w:tcW w:type="dxa" w:w="2880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  <w:t>[Lead Architect]</w:t>
            </w:r>
          </w:p>
        </w:tc>
        <w:tc>
          <w:tcPr>
            <w:tcW w:type="dxa" w:w="5760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  <w:t>Customer review feedback incorporated</w:t>
            </w:r>
          </w:p>
        </w:tc>
      </w:tr>
      <w:tr>
        <w:tc>
          <w:tcPr>
            <w:tcW w:type="dxa" w:w="1440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1.0</w:t>
            </w:r>
          </w:p>
        </w:tc>
        <w:tc>
          <w:tcPr>
            <w:tcW w:type="dxa" w:w="2592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[DD Month YYYY]</w:t>
            </w:r>
          </w:p>
        </w:tc>
        <w:tc>
          <w:tcPr>
            <w:tcW w:type="dxa" w:w="2880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[Delivery Director]</w:t>
            </w:r>
          </w:p>
        </w:tc>
        <w:tc>
          <w:tcPr>
            <w:tcW w:type="dxa" w:w="5760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Approved for customer presentation</w:t>
            </w:r>
          </w:p>
        </w:tc>
      </w:tr>
    </w:tbl>
    <w:p>
      <w:pPr>
        <w:spacing w:after="0" w:before="0"/>
      </w:pPr>
    </w:p>
    <w:p>
      <w:pPr>
        <w:pStyle w:val="Heading1"/>
      </w:pPr>
      <w:r>
        <w:rPr>
          <w:color w:val="E31C3D"/>
        </w:rPr>
        <w:t>Appendix A — Glossary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28"/>
            <w:shd w:val="clear" w:color="auto" w:fill="E31C3D"/>
          </w:tcPr>
          <w:p>
            <w:r/>
            <w:r>
              <w:rPr>
                <w:b/>
                <w:i w:val="0"/>
                <w:color w:val="FFFFFF"/>
                <w:sz w:val="19"/>
              </w:rPr>
              <w:t>Term</w:t>
            </w:r>
          </w:p>
        </w:tc>
        <w:tc>
          <w:tcPr>
            <w:tcW w:type="dxa" w:w="10944"/>
            <w:shd w:val="clear" w:color="auto" w:fill="E31C3D"/>
          </w:tcPr>
          <w:p>
            <w:r/>
            <w:r>
              <w:rPr>
                <w:b/>
                <w:i w:val="0"/>
                <w:color w:val="FFFFFF"/>
                <w:sz w:val="19"/>
              </w:rPr>
              <w:t>Definition</w:t>
            </w:r>
          </w:p>
        </w:tc>
      </w:tr>
      <w:tr>
        <w:tc>
          <w:tcPr>
            <w:tcW w:type="dxa" w:w="1728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AMM</w:t>
            </w:r>
          </w:p>
        </w:tc>
        <w:tc>
          <w:tcPr>
            <w:tcW w:type="dxa" w:w="10944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Azure Migration and Modernisation — Microsoft funded migration programme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  <w:t>AHB</w:t>
            </w:r>
          </w:p>
        </w:tc>
        <w:tc>
          <w:tcPr>
            <w:tcW w:type="dxa" w:w="10944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  <w:t>Azure Hybrid Benefit — licence portability for Windows Server and SQL Server on Azure</w:t>
            </w:r>
          </w:p>
        </w:tc>
      </w:tr>
      <w:tr>
        <w:tc>
          <w:tcPr>
            <w:tcW w:type="dxa" w:w="1728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CRA</w:t>
            </w:r>
          </w:p>
        </w:tc>
        <w:tc>
          <w:tcPr>
            <w:tcW w:type="dxa" w:w="10944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Cloud Readiness Assessment — Rackspace four-phase assessment framework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  <w:t>CUD</w:t>
            </w:r>
          </w:p>
        </w:tc>
        <w:tc>
          <w:tcPr>
            <w:tcW w:type="dxa" w:w="10944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  <w:t>Committed Use Discount — GCP equivalent of Reserved Instances</w:t>
            </w:r>
          </w:p>
        </w:tc>
      </w:tr>
      <w:tr>
        <w:tc>
          <w:tcPr>
            <w:tcW w:type="dxa" w:w="1728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L4L</w:t>
            </w:r>
          </w:p>
        </w:tc>
        <w:tc>
          <w:tcPr>
            <w:tcW w:type="dxa" w:w="10944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Like-for-Like — cloud sizing based on current on-prem specs without rightsizing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  <w:t>MAP</w:t>
            </w:r>
          </w:p>
        </w:tc>
        <w:tc>
          <w:tcPr>
            <w:tcW w:type="dxa" w:w="10944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  <w:t>Migration Acceleration Programme — AWS funded migration programme</w:t>
            </w:r>
          </w:p>
        </w:tc>
      </w:tr>
      <w:tr>
        <w:tc>
          <w:tcPr>
            <w:tcW w:type="dxa" w:w="1728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MRA</w:t>
            </w:r>
          </w:p>
        </w:tc>
        <w:tc>
          <w:tcPr>
            <w:tcW w:type="dxa" w:w="10944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Migration Readiness Assessment — structured questionnaire required for AMM and MAP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  <w:t>Part 2</w:t>
            </w:r>
          </w:p>
        </w:tc>
        <w:tc>
          <w:tcPr>
            <w:tcW w:type="dxa" w:w="10944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  <w:t>CRA Phase 2 — migration execution; follows this Entry Point document</w:t>
            </w:r>
          </w:p>
        </w:tc>
      </w:tr>
      <w:tr>
        <w:tc>
          <w:tcPr>
            <w:tcW w:type="dxa" w:w="1728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PSO</w:t>
            </w:r>
          </w:p>
        </w:tc>
        <w:tc>
          <w:tcPr>
            <w:tcW w:type="dxa" w:w="10944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Professional Services Organisation — Google Cloud delivery partner programme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  <w:t>RAMP</w:t>
            </w:r>
          </w:p>
        </w:tc>
        <w:tc>
          <w:tcPr>
            <w:tcW w:type="dxa" w:w="10944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  <w:t>Rapid Assessment &amp; Migration Program — Google structured migration programme</w:t>
            </w:r>
          </w:p>
        </w:tc>
      </w:tr>
      <w:tr>
        <w:tc>
          <w:tcPr>
            <w:tcW w:type="dxa" w:w="1728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RI</w:t>
            </w:r>
          </w:p>
        </w:tc>
        <w:tc>
          <w:tcPr>
            <w:tcW w:type="dxa" w:w="10944"/>
            <w:shd w:val="clear" w:color="auto" w:fill="F2F2F2"/>
          </w:tcPr>
          <w:p>
            <w:r/>
            <w:r>
              <w:rPr>
                <w:b w:val="0"/>
                <w:i w:val="0"/>
                <w:sz w:val="19"/>
              </w:rPr>
              <w:t>Reserved Instance — pre-committed compute pricing on AWS and Azure (1yr or 3yr)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  <w:t>7Rs</w:t>
            </w:r>
          </w:p>
        </w:tc>
        <w:tc>
          <w:tcPr>
            <w:tcW w:type="dxa" w:w="10944"/>
            <w:shd w:val="clear" w:color="auto" w:fill="FFFFFF"/>
          </w:tcPr>
          <w:p>
            <w:r/>
            <w:r>
              <w:rPr>
                <w:b w:val="0"/>
                <w:i w:val="0"/>
                <w:sz w:val="19"/>
              </w:rPr>
              <w:t>Seven migration patterns: Rehost, Replatform, Rearchitect, Repurchase, Retire, Retain, Relocate</w:t>
            </w:r>
          </w:p>
        </w:tc>
      </w:tr>
    </w:tbl>
    <w:p>
      <w:pPr>
        <w:spacing w:after="0" w:before="0"/>
      </w:pPr>
    </w:p>
    <w:p>
      <w:pPr>
        <w:spacing w:after="80"/>
      </w:pPr>
      <w:r>
        <w:rPr>
          <w:b w:val="0"/>
          <w:i/>
          <w:color w:val="444444"/>
          <w:sz w:val="21"/>
        </w:rPr>
        <w:t>Content Specification: Rackspace Cloud Solutions Architecture — CRA Framework v2.0</w:t>
      </w:r>
    </w:p>
    <w:p>
      <w:pPr>
        <w:spacing w:after="80"/>
      </w:pPr>
      <w:r>
        <w:rPr>
          <w:b w:val="0"/>
          <w:i/>
          <w:color w:val="444444"/>
          <w:sz w:val="21"/>
        </w:rPr>
        <w:t>© 2026 Rackspace Technology. All rights reserved.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E31C3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E31C3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E31C3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